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Registration No. 333-257774</w:t>
      </w:r>
    </w:p>
    <w:p>
      <w:pPr>
        <w:spacing w:after="0" w:line="135"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122555</wp:posOffset>
            </wp:positionV>
            <wp:extent cx="342900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Up to 110,898,382 Shares of Class A Common Stock</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Up to 105,014,011 Shares of Class A Common Stock</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Up to 7,000,000 Warrants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191" w:lineRule="exact"/>
        <w:rPr>
          <w:sz w:val="24"/>
          <w:szCs w:val="24"/>
          <w:color w:val="auto"/>
        </w:rPr>
      </w:pPr>
    </w:p>
    <w:p>
      <w:pPr>
        <w:jc w:val="both"/>
        <w:ind w:left="400" w:right="419"/>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4"/>
          <w:szCs w:val="24"/>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w:t>
      </w:r>
    </w:p>
    <w:p>
      <w:pPr>
        <w:spacing w:after="0" w:line="3" w:lineRule="exact"/>
        <w:rPr>
          <w:sz w:val="24"/>
          <w:szCs w:val="24"/>
          <w:color w:val="auto"/>
        </w:rPr>
      </w:pPr>
    </w:p>
    <w:p>
      <w:pPr>
        <w:ind w:left="720" w:hanging="320"/>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 and</w:t>
      </w:r>
    </w:p>
    <w:p>
      <w:pPr>
        <w:spacing w:after="0" w:line="9" w:lineRule="exact"/>
        <w:rPr>
          <w:rFonts w:ascii="Times New Roman" w:cs="Times New Roman" w:eastAsia="Times New Roman" w:hAnsi="Times New Roman"/>
          <w:sz w:val="18"/>
          <w:szCs w:val="18"/>
          <w:color w:val="auto"/>
        </w:rPr>
      </w:pPr>
    </w:p>
    <w:p>
      <w:pPr>
        <w:jc w:val="both"/>
        <w:ind w:left="400" w:right="419"/>
        <w:spacing w:after="0" w:line="253" w:lineRule="auto"/>
        <w:tabs>
          <w:tab w:leader="none" w:pos="6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79" w:lineRule="exact"/>
        <w:rPr>
          <w:sz w:val="24"/>
          <w:szCs w:val="24"/>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4"/>
          <w:szCs w:val="24"/>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May 6, 2025, the closing price of our Class A Common Stock was $1.14 and the closing price for our Public Warrants was $0.0225.</w:t>
      </w:r>
    </w:p>
    <w:p>
      <w:pPr>
        <w:spacing w:after="0" w:line="68" w:lineRule="exact"/>
        <w:rPr>
          <w:sz w:val="24"/>
          <w:szCs w:val="24"/>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4"/>
          <w:szCs w:val="24"/>
          <w:color w:val="auto"/>
        </w:rPr>
      </w:pPr>
    </w:p>
    <w:p>
      <w:pPr>
        <w:jc w:val="both"/>
        <w:ind w:left="400" w:right="419"/>
        <w:spacing w:after="0" w:line="264"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0000EE"/>
                <w:w w:val="79"/>
              </w:rPr>
              <w:t>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0" w:type="dxa"/>
            <w:vAlign w:val="bottom"/>
          </w:tcPr>
          <w:p>
            <w:pPr>
              <w:spacing w:after="0"/>
              <w:rPr>
                <w:sz w:val="16"/>
                <w:szCs w:val="16"/>
                <w:color w:val="auto"/>
              </w:rPr>
            </w:pPr>
          </w:p>
        </w:tc>
        <w:tc>
          <w:tcPr>
            <w:tcW w:w="16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EE"/>
                <w:w w:val="70"/>
              </w:rPr>
              <w:t>iii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gridSpan w:val="7"/>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040" w:type="dxa"/>
            <w:vAlign w:val="bottom"/>
            <w:gridSpan w:val="7"/>
          </w:tcPr>
          <w:p>
            <w:pPr>
              <w:spacing w:after="0"/>
              <w:rPr>
                <w:sz w:val="16"/>
                <w:szCs w:val="16"/>
                <w:color w:val="auto"/>
              </w:rPr>
            </w:pP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gridSpan w:val="5"/>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0"/>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2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00" w:type="dxa"/>
            <w:vAlign w:val="bottom"/>
            <w:gridSpan w:val="3"/>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407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64077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550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85509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33" w:lineRule="exact"/>
        <w:rPr>
          <w:sz w:val="20"/>
          <w:szCs w:val="20"/>
          <w:color w:val="auto"/>
        </w:rPr>
      </w:pPr>
    </w:p>
    <w:p>
      <w:pPr>
        <w:ind w:left="1480" w:right="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Issuance of Class A Common Stock 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63" w:lineRule="exact"/>
        <w:rPr>
          <w:sz w:val="20"/>
          <w:szCs w:val="20"/>
          <w:color w:val="auto"/>
        </w:rPr>
      </w:pPr>
    </w:p>
    <w:p>
      <w:pPr>
        <w:ind w:left="148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1280"/>
        <w:spacing w:after="0" w:line="282" w:lineRule="auto"/>
        <w:rPr>
          <w:sz w:val="20"/>
          <w:szCs w:val="20"/>
          <w:color w:val="auto"/>
        </w:rPr>
      </w:pPr>
      <w:r>
        <w:rPr>
          <w:rFonts w:ascii="Times New Roman" w:cs="Times New Roman" w:eastAsia="Times New Roman" w:hAnsi="Times New Roman"/>
          <w:sz w:val="18"/>
          <w:szCs w:val="18"/>
          <w:color w:val="auto"/>
        </w:rPr>
        <w:t>WM Technology, Inc. (f/k/a Silver Spike Acquisition Corp.).</w:t>
      </w:r>
    </w:p>
    <w:p>
      <w:pPr>
        <w:spacing w:after="0" w:line="270"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spacing w:after="0" w:line="252"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105,053,766 shares (as of April 28, 2025)</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187,677,013 shares (based on total shares outstanding as of April 28, 2025)</w:t>
      </w:r>
    </w:p>
    <w:p>
      <w:pPr>
        <w:spacing w:after="0" w:line="90" w:lineRule="exact"/>
        <w:rPr>
          <w:sz w:val="20"/>
          <w:szCs w:val="20"/>
          <w:color w:val="auto"/>
        </w:rPr>
      </w:pPr>
    </w:p>
    <w:p>
      <w:pPr>
        <w:sectPr>
          <w:pgSz w:w="11900" w:h="16838" w:orient="portrait"/>
          <w:cols w:equalWidth="0" w:num="2">
            <w:col w:w="5460" w:space="260"/>
            <w:col w:w="5300"/>
          </w:cols>
          <w:pgMar w:left="440" w:top="263"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Exercise Price of Warrants</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Resale of Class A Common Stock and Warrants Shares of Class A Common Stock Offered by the Selling Securityholders</w:t>
      </w:r>
    </w:p>
    <w:p>
      <w:pPr>
        <w:spacing w:after="0" w:line="20" w:lineRule="exact"/>
        <w:rPr>
          <w:sz w:val="20"/>
          <w:szCs w:val="20"/>
          <w:color w:val="auto"/>
        </w:rPr>
      </w:pPr>
      <w:r>
        <w:rPr>
          <w:sz w:val="20"/>
          <w:szCs w:val="20"/>
          <w:color w:val="auto"/>
        </w:rPr>
        <w:br w:type="column"/>
      </w:r>
    </w:p>
    <w:p>
      <w:pPr>
        <w:jc w:val="both"/>
        <w:ind w:right="1300"/>
        <w:spacing w:after="0" w:line="282" w:lineRule="auto"/>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81" w:lineRule="exact"/>
        <w:rPr>
          <w:sz w:val="20"/>
          <w:szCs w:val="20"/>
          <w:color w:val="auto"/>
        </w:rPr>
      </w:pPr>
    </w:p>
    <w:p>
      <w:pPr>
        <w:jc w:val="both"/>
        <w:ind w:right="130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See the section entitled “Use of Proceeds.”</w:t>
      </w:r>
    </w:p>
    <w:p>
      <w:pPr>
        <w:spacing w:after="0" w:line="200" w:lineRule="exact"/>
        <w:rPr>
          <w:sz w:val="20"/>
          <w:szCs w:val="20"/>
          <w:color w:val="auto"/>
        </w:rPr>
      </w:pPr>
    </w:p>
    <w:p>
      <w:pPr>
        <w:spacing w:after="0" w:line="311" w:lineRule="exact"/>
        <w:rPr>
          <w:sz w:val="20"/>
          <w:szCs w:val="20"/>
          <w:color w:val="auto"/>
        </w:rPr>
      </w:pPr>
    </w:p>
    <w:p>
      <w:pPr>
        <w:jc w:val="both"/>
        <w:ind w:right="1280"/>
        <w:spacing w:after="0" w:line="254" w:lineRule="auto"/>
        <w:rPr>
          <w:sz w:val="20"/>
          <w:szCs w:val="20"/>
          <w:color w:val="auto"/>
        </w:rPr>
      </w:pPr>
      <w:r>
        <w:rPr>
          <w:rFonts w:ascii="Times New Roman" w:cs="Times New Roman" w:eastAsia="Times New Roman" w:hAnsi="Times New Roman"/>
          <w:sz w:val="18"/>
          <w:szCs w:val="18"/>
          <w:color w:val="auto"/>
        </w:rPr>
        <w:t>Up to 105,014,011 shares of Class A Common Stock,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w:t>
      </w:r>
    </w:p>
    <w:p>
      <w:pPr>
        <w:spacing w:after="0" w:line="120" w:lineRule="exact"/>
        <w:rPr>
          <w:sz w:val="20"/>
          <w:szCs w:val="20"/>
          <w:color w:val="auto"/>
        </w:rPr>
      </w:pPr>
    </w:p>
    <w:p>
      <w:pPr>
        <w:sectPr>
          <w:pgSz w:w="11900" w:h="16838" w:orient="portrait"/>
          <w:cols w:equalWidth="0" w:num="2">
            <w:col w:w="5220" w:space="500"/>
            <w:col w:w="530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Warrants Offered by the Selling Securityholders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7,000,000 Private Placement Warrants</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Warrants are redeemable in certain circumstances.</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See the section entitled “Description of Securities—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Warrants” for further discussion.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currently traded on Nasdaq under the symbols “MAPS”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“MAPSW,” respectively.</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See  the  section  entitled  “Risk  Factors,”  other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this prospectus and the documents incorporated herein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reference, for a discussion of factors you should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Brian Camire</w:t>
            </w:r>
            <w:r>
              <w:rPr>
                <w:rFonts w:ascii="Times New Roman" w:cs="Times New Roman" w:eastAsia="Times New Roman" w:hAnsi="Times New Roman"/>
                <w:sz w:val="26"/>
                <w:szCs w:val="26"/>
                <w:color w:val="auto"/>
                <w:vertAlign w:val="superscript"/>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4"/>
        </w:trPr>
        <w:tc>
          <w:tcPr>
            <w:tcW w:w="20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 Bisat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91,666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91,666</w:t>
            </w: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Anthony</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Aquila</w:t>
            </w:r>
            <w:r>
              <w:rPr>
                <w:rFonts w:ascii="Times New Roman" w:cs="Times New Roman" w:eastAsia="Times New Roman" w:hAnsi="Times New Roman"/>
                <w:sz w:val="26"/>
                <w:szCs w:val="26"/>
                <w:color w:val="auto"/>
                <w:vertAlign w:val="superscript"/>
              </w:rPr>
              <w:t>(13)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Monashee Investment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(19)</w:t>
            </w:r>
          </w:p>
        </w:tc>
        <w:tc>
          <w:tcPr>
            <w:tcW w:w="5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LP</w:t>
            </w:r>
            <w:r>
              <w:rPr>
                <w:rFonts w:ascii="Times New Roman" w:cs="Times New Roman" w:eastAsia="Times New Roman" w:hAnsi="Times New Roman"/>
                <w:sz w:val="13"/>
                <w:szCs w:val="13"/>
                <w:color w:val="auto"/>
              </w:rPr>
              <w:t>(26)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Delaware Trust(27)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GS+A Global Special</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 w:name="page12"/>
    <w:bookmarkEnd w:id="11"/>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369,756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369,756</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LP</w:t>
            </w:r>
            <w:r>
              <w:rPr>
                <w:rFonts w:ascii="Times New Roman" w:cs="Times New Roman" w:eastAsia="Times New Roman" w:hAnsi="Times New Roman"/>
                <w:sz w:val="13"/>
                <w:szCs w:val="13"/>
                <w:color w:val="auto"/>
              </w:rPr>
              <w:t>(40)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Paul A. Halpern Trust date July</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40" w:type="dxa"/>
            <w:vAlign w:val="bottom"/>
          </w:tcPr>
          <w:p>
            <w:pPr>
              <w:ind w:left="160"/>
              <w:spacing w:after="0" w:line="256" w:lineRule="exact"/>
              <w:rPr>
                <w:sz w:val="20"/>
                <w:szCs w:val="20"/>
                <w:color w:val="auto"/>
              </w:rPr>
            </w:pPr>
            <w:r>
              <w:rPr>
                <w:rFonts w:ascii="Times New Roman" w:cs="Times New Roman" w:eastAsia="Times New Roman" w:hAnsi="Times New Roman"/>
                <w:sz w:val="16"/>
                <w:szCs w:val="16"/>
                <w:color w:val="auto"/>
              </w:rPr>
              <w:t>24, 2000</w:t>
            </w:r>
            <w:r>
              <w:rPr>
                <w:rFonts w:ascii="Times New Roman" w:cs="Times New Roman" w:eastAsia="Times New Roman" w:hAnsi="Times New Roman"/>
                <w:sz w:val="26"/>
                <w:szCs w:val="26"/>
                <w:color w:val="auto"/>
                <w:vertAlign w:val="superscript"/>
              </w:rPr>
              <w:t>(42)</w:t>
            </w:r>
          </w:p>
        </w:tc>
        <w:tc>
          <w:tcPr>
            <w:tcW w:w="5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 UAD 10/11/12 as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7,550</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40" w:type="dxa"/>
            <w:vAlign w:val="bottom"/>
          </w:tcPr>
          <w:p>
            <w:pPr>
              <w:ind w:left="160"/>
              <w:spacing w:after="0" w:line="256" w:lineRule="exact"/>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26"/>
                <w:szCs w:val="26"/>
                <w:color w:val="auto"/>
                <w:vertAlign w:val="superscript"/>
              </w:rPr>
              <w:t>(48)</w:t>
            </w:r>
          </w:p>
        </w:tc>
        <w:tc>
          <w:tcPr>
            <w:tcW w:w="5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Eiden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699,437</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297,000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297,000</w:t>
            </w:r>
          </w:p>
        </w:tc>
        <w:tc>
          <w:tcPr>
            <w:tcW w:w="8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Samantha Lewis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 w:name="page13"/>
    <w:bookmarkEnd w:id="12"/>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1,584,975</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3,468,682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(60)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Camire serves as the General Counsel and Secretary of the Company.</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serves as the Chief Executive Officer of the Company and a member of the Company’s board of directors. 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is a co-founder of the Company and served as a member of the Company’s board of directors until August 2023. 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4"/>
          <w:szCs w:val="14"/>
          <w:color w:val="auto"/>
        </w:rPr>
        <w:t>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April 28, 2025, there were (1) 105,053,766 shares of Class A Common Stock, (2) 49,319,542 shares of Class V Common Stock and no shares of preferred stock outstanding.</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299" w:hanging="8"/>
        <w:spacing w:after="0" w:line="250" w:lineRule="auto"/>
        <w:tabs>
          <w:tab w:leader="none" w:pos="5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319" w:hanging="8"/>
        <w:spacing w:after="0" w:line="251" w:lineRule="auto"/>
        <w:tabs>
          <w:tab w:leader="none" w:pos="5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28, 2025 there were 12,499,973 Public Warrants outstanding.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28,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exercise, disposition or lapse of our securities.</w:t>
      </w:r>
    </w:p>
    <w:p>
      <w:pPr>
        <w:spacing w:after="0" w:line="7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purchase, ownership, exercise, disposition or lapse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exercise, disposition or lapse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exercise, disposition or lapse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41"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2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 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 which will be treated as described under “Tax Considerations Applicable to Non-U.S. Holders—Gain on Sale, Exchange 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4"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44">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Exhibit 4.5 of our Annual Report on Form 10-K for the year ended December 31, 2021 filed with the SEC on </w:t>
      </w:r>
      <w:hyperlink r:id="rId45">
        <w:r>
          <w:rPr>
            <w:rFonts w:ascii="Times New Roman" w:cs="Times New Roman" w:eastAsia="Times New Roman" w:hAnsi="Times New Roman"/>
            <w:sz w:val="18"/>
            <w:szCs w:val="18"/>
            <w:u w:val="single" w:color="auto"/>
            <w:color w:val="0000EE"/>
          </w:rPr>
          <w:t>February 25, 2022</w:t>
        </w:r>
      </w:hyperlink>
      <w:r>
        <w:rPr>
          <w:rFonts w:ascii="Times New Roman" w:cs="Times New Roman" w:eastAsia="Times New Roman" w:hAnsi="Times New Roman"/>
          <w:sz w:val="18"/>
          <w:szCs w:val="18"/>
          <w:color w:val="auto"/>
        </w:rPr>
        <w:t>,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26"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20" w:hanging="221"/>
        <w:spacing w:after="0"/>
        <w:tabs>
          <w:tab w:leader="none" w:pos="4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780" w:right="3659" w:hanging="17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 Tel: (844) 933-3627</w:t>
      </w:r>
    </w:p>
    <w:p>
      <w:pPr>
        <w:spacing w:after="0" w:line="18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2940685</wp:posOffset>
            </wp:positionV>
            <wp:extent cx="3429000" cy="1019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61"/>
    </w:lvl>
  </w:abstractNum>
  <w:abstractNum w:abstractNumId="1">
    <w:nsid w:val="140E0F76"/>
    <w:multiLevelType w:val="hybridMultilevel"/>
    <w:lvl w:ilvl="0">
      <w:lvlJc w:val="left"/>
      <w:lvlText w:val="(%1)"/>
      <w:numFmt w:val="lowerLetter"/>
      <w:start w:val="2"/>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25"/>
    </w:lvl>
  </w:abstractNum>
  <w:abstractNum w:abstractNumId="8">
    <w:nsid w:val="6B68079A"/>
    <w:multiLevelType w:val="hybridMultilevel"/>
    <w:lvl w:ilvl="0">
      <w:lvlJc w:val="left"/>
      <w:lvlText w:val="(%1)"/>
      <w:numFmt w:val="decimal"/>
      <w:start w:val="49"/>
    </w:lvl>
  </w:abstractNum>
  <w:abstractNum w:abstractNumId="9">
    <w:nsid w:val="4E6AFB66"/>
    <w:multiLevelType w:val="hybridMultilevel"/>
    <w:lvl w:ilvl="0">
      <w:lvlJc w:val="left"/>
      <w:lvlText w:val="(%1)"/>
      <w:numFmt w:val="lowerRoman"/>
      <w:start w:val="10"/>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jpeg"/><Relationship Id="rId50" Type="http://schemas.openxmlformats.org/officeDocument/2006/relationships/image" Target="media/image40.png"/><Relationship Id="rId51" Type="http://schemas.openxmlformats.org/officeDocument/2006/relationships/image" Target="media/image41.png"/><Relationship Id="rId43" Type="http://schemas.openxmlformats.org/officeDocument/2006/relationships/hyperlink" Target="https://www.sec.gov/ix?doc=/Archives/edgar/data/1779474/000177947425000007/maps-20241231.htm" TargetMode="External"/><Relationship Id="rId44" Type="http://schemas.openxmlformats.org/officeDocument/2006/relationships/hyperlink" Target="https://www.sec.gov/ix?doc=/Archives/edgar/data/1779474/000114036125016331/ny20043216x1_def14a.htm" TargetMode="External"/><Relationship Id="rId45" Type="http://schemas.openxmlformats.org/officeDocument/2006/relationships/hyperlink" Target="https://www.sec.gov/Archives/edgar/data/1779474/000177947422000010/exhibit45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2025-05-08T05:22:07Z</dcterms:created>
  <dcterms:modified xsi:type="dcterms:W3CDTF">2025-05-08T05:22:07Z</dcterms:modified>
</cp:coreProperties>
</file>