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jc w:val="left"/>
        <w:rPr/>
      </w:pPr>
      <w:hyperlink w:anchor="TOC">
        <w:bookmarkStart w:id="0" w:name="nt10003752x4_424b4.htm"/>
        <w:bookmarkStart w:id="1" w:name="ksnt10003752x4_424b4"/>
        <w:bookmarkEnd w:id="0"/>
        <w:bookmarkEnd w:id="1"/>
        <w:r>
          <w:rPr>
            <w:rStyle w:val="InternetLink"/>
            <w:rFonts w:ascii="Times New Roman;Times;Serif" w:hAnsi="Times New Roman;Times;Serif"/>
            <w:b/>
            <w:caps w:val="false"/>
            <w:smallCaps w:val="false"/>
            <w:sz w:val="12"/>
          </w:rPr>
          <w:t>TABLE OF CONTENTS</w:t>
        </w:r>
      </w:hyperlink>
    </w:p>
    <w:p>
      <w:pPr>
        <w:pStyle w:val="TextBody"/>
        <w:spacing w:lineRule="atLeast" w:line="210" w:before="240" w:after="0"/>
        <w:ind w:left="0" w:right="0" w:hanging="0"/>
        <w:jc w:val="right"/>
        <w:rPr>
          <w:rFonts w:ascii="Times New Roman;Times;Serif" w:hAnsi="Times New Roman;Times;Serif"/>
          <w:color w:val="000000"/>
          <w:sz w:val="17"/>
        </w:rPr>
      </w:pPr>
      <w:r>
        <w:rPr>
          <w:rFonts w:ascii="Times New Roman;Times;Serif" w:hAnsi="Times New Roman;Times;Serif"/>
          <w:b/>
          <w:color w:val="000000"/>
          <w:sz w:val="17"/>
        </w:rPr>
        <w:t>Filed pursuant to Rule 424(b)(4)</w:t>
        <w:br/>
        <w:t>Registration Statement No. 333-232734</w:t>
      </w:r>
      <w:r>
        <w:rPr>
          <w:rFonts w:ascii="Times New Roman;Times;Serif" w:hAnsi="Times New Roman;Times;Serif"/>
          <w:color w:val="000000"/>
          <w:sz w:val="17"/>
        </w:rPr>
        <w:t xml:space="preserve"> </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PROSPECTUS</w:t>
      </w:r>
    </w:p>
    <w:p>
      <w:pPr>
        <w:pStyle w:val="TextBody"/>
        <w:spacing w:before="0" w:after="0"/>
        <w:ind w:left="0" w:right="0" w:hanging="0"/>
        <w:jc w:val="center"/>
        <w:rPr>
          <w:rFonts w:ascii="Times New Roman;Times;Serif" w:hAnsi="Times New Roman;Times;Serif"/>
          <w:color w:val="000000"/>
          <w:sz w:val="18"/>
        </w:rPr>
      </w:pPr>
      <w:r>
        <w:rPr>
          <w:rFonts w:ascii="Times New Roman;Times;Serif" w:hAnsi="Times New Roman;Times;Serif"/>
          <w:color w:val="000000"/>
          <w:sz w:val="18"/>
        </w:rPr>
        <w:t>$250,000,000</w:t>
      </w:r>
    </w:p>
    <w:p>
      <w:pPr>
        <w:pStyle w:val="TextBody"/>
        <w:spacing w:before="15" w:after="0"/>
        <w:ind w:left="0" w:right="0" w:hanging="0"/>
        <w:jc w:val="center"/>
        <w:rPr>
          <w:rFonts w:ascii="Times New Roman;Times;Serif" w:hAnsi="Times New Roman;Times;Serif"/>
          <w:b/>
          <w:color w:val="000000"/>
          <w:sz w:val="21"/>
        </w:rPr>
      </w:pPr>
      <w:r>
        <w:rPr>
          <w:rFonts w:ascii="Times New Roman;Times;Serif" w:hAnsi="Times New Roman;Times;Serif"/>
          <w:b/>
          <w:color w:val="000000"/>
          <w:sz w:val="21"/>
        </w:rPr>
        <w:t>Silver Spike Acquisition Corp.</w:t>
      </w:r>
    </w:p>
    <w:p>
      <w:pPr>
        <w:pStyle w:val="TextBody"/>
        <w:spacing w:before="15" w:after="0"/>
        <w:ind w:left="0" w:right="0" w:hanging="0"/>
        <w:jc w:val="center"/>
        <w:rPr>
          <w:rFonts w:ascii="Times New Roman;Times;Serif" w:hAnsi="Times New Roman;Times;Serif"/>
          <w:color w:val="000000"/>
          <w:sz w:val="18"/>
        </w:rPr>
      </w:pPr>
      <w:r>
        <w:rPr>
          <w:rFonts w:ascii="Times New Roman;Times;Serif" w:hAnsi="Times New Roman;Times;Serif"/>
          <w:color w:val="000000"/>
          <w:sz w:val="18"/>
        </w:rPr>
        <w:t>25,000,000 Units</w:t>
      </w:r>
    </w:p>
    <w:p>
      <w:pPr>
        <w:pStyle w:val="TextBody"/>
        <w:spacing w:lineRule="atLeast" w:line="150" w:before="45"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Silver Spike Acquisition Corp. is a newly incorporated blank check company incorporated as a Cayman Islands exempted company and incorporated for the purpose of effecting a merger, amalgamation, share exchange, asset acquisition, share purchase, reorganization or similar business combination with one or more businesses, which we refer to throughout this prospectus as our initial business combination. We have not selected any business combination target and we have not, nor has anyone on our behalf, initiated any substantive discussions, directly or indirectly, with any business combination target. While we may pursue a business combination target in any business, industry or geographical location, we intend to focus our search for businesses in the cannabis industry that are compliant with all applicable laws and regulations within the jurisdictions in which they are located or operate and, in particular, we will not invest in, or consummate a business combination with, a target business that we determine has been operating, or whose business plan is to operate, in violation of U.S. federal laws, including the U.S. Controlled Substances Act. </w:t>
      </w:r>
    </w:p>
    <w:p>
      <w:pPr>
        <w:pStyle w:val="TextBody"/>
        <w:spacing w:lineRule="atLeast" w:line="150" w:before="45"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This is an initial public offering of our securities. Each unit has an offering price of $10.00 and consists of one Class A ordinary share and one-half of one redeemable warrant. Each whole warrant entitles the holder thereof to purchase one Class A ordinary share at a price of $11.50 per share, subject to adjustment as provided herein, and only whole warrants are exercisable. The warrants will become exercisable on the later of 30 days after the completion of our initial business combination and 12 months from the closing of this offering, and will expire five years after the completion of our initial business combination or earlier upon redemption or liquidation, as described in this prospectus. We have also granted the underwriters a 45-day option to purchase up to an additional 3,750,000 units to cover over-allotments, if any. </w:t>
      </w:r>
    </w:p>
    <w:p>
      <w:pPr>
        <w:pStyle w:val="TextBody"/>
        <w:spacing w:lineRule="atLeast" w:line="150" w:before="45"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We will provide our public shareholders with the opportunity to redeem all or a portion of their Class A ordinary shares upon the completion of our initial business combination at a per-share price, payable in cash, equal to the aggregate amount then on deposit in the trust account described below as of two business days prior to the completion of our initial business combination, including interest (which interest shall be net of taxes payable), divided by the number of then issued and outstanding Class A ordinary shares that were sold as part of the units in this offering, which we refer to collectively as our public shares, subject to the limitations described herein. If we are unable to complete our initial business combination within 18 months from the closing of this offering, we will redeem 100% of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subject to applicable law and as further described herein.</w:t>
      </w:r>
    </w:p>
    <w:p>
      <w:pPr>
        <w:pStyle w:val="TextBody"/>
        <w:spacing w:lineRule="atLeast" w:line="150" w:before="45"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Our sponsor, Silver Spike Sponsor, LLC, a Delaware limited liability company (which we refer to as our sponsor throughout this prospectus), has committed to purchase an aggregate of 7,000,000 warrants (or 7,750,000 warrants if the underwriters over-allotment option is exercised in full) at a price of $1.00 per warrant ($7,000,000 in the aggregate or $7,750,000 in the aggregate if the underwriters over-allotment option is exercised in full) in a private placement that will close simultaneously with the closing of this offering. We refer to these warrants throughout this prospectus as the private placement warrants. Each private placement warrant entitles the holder thereof to purchase one Class A ordinary share at $11.50 per share, subject to adjustment as provided herein. </w:t>
      </w:r>
    </w:p>
    <w:p>
      <w:pPr>
        <w:pStyle w:val="TextBody"/>
        <w:spacing w:lineRule="atLeast" w:line="150" w:before="45"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Our initial shareholders currently hold 7,187,500 Class B ordinary shares (which we refer to as founders shares, as further described herein), up to 937,500 of which are subject to forfeiture by our sponsor depending on the extent to which the underwriters over-allotment option is exercised. Holders of Class A ordinary shares and Class B ordinary shares are entitled to one vote for each share held on all matters to be voted on by our shareholders, except as required by law; provided that, prior to our initial business combination, only holders of our Class B ordinary shares will have the right to vote on the election of directors, and holders of a majority of our Class B ordinary shares may remove a member of the board of directors for any reason. With respect to any other matter submitted to a vote of our shareholders, including any vote in connection with our initial business combination, except as required by law, holders of Class A ordinary shares and holders of Class B ordinary shares will vote together as a single class. The Class B ordinary shares held by our initial shareholders will automatically convert into Class A ordinary shares on the first business day following the completion of our initial business combination on a one-for-one basis, subject to adjustment as provided herein. </w:t>
      </w:r>
    </w:p>
    <w:p>
      <w:pPr>
        <w:pStyle w:val="TextBody"/>
        <w:spacing w:lineRule="atLeast" w:line="150" w:before="45"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Prior to this offering, there has been no public market for our units, ordinary shares or warrants. Our units have been approved for trading on the Nasdaq Capital Market, or Nasdaq, under the symbol SSPKU. The Class A ordinary shares and warrants constituting the units will begin separate trading on the 52nd day following the date of this prospectus unless Credit Suisse Securities (USA) LLC informs us of its decision to allow earlier separate trading, subject to our filing a Current Report on Form 8-K with the Securities and Exchange Commission, or the SEC, containing an audited balance sheet of the Company reflecting our receipt of the gross proceeds of this offering and issuing a press release announcing when such separate trading will begin. Once the securities constituting the units begin separate trading, we expect that the Class A ordinary shares and warrants will be listed on Nasdaq under the symbols SSPK and  SSPKW, respectively. </w:t>
      </w:r>
    </w:p>
    <w:p>
      <w:pPr>
        <w:pStyle w:val="TextBody"/>
        <w:spacing w:lineRule="atLeast" w:line="150" w:before="45" w:after="0"/>
        <w:ind w:left="0" w:right="0" w:hanging="0"/>
        <w:jc w:val="left"/>
        <w:rPr/>
      </w:pPr>
      <w:r>
        <w:rPr>
          <w:rFonts w:ascii="Times New Roman;Times;Serif" w:hAnsi="Times New Roman;Times;Serif"/>
          <w:b/>
          <w:color w:val="000000"/>
          <w:sz w:val="14"/>
        </w:rPr>
        <w:t xml:space="preserve">We are an emerging growth company under applicable federal securities laws and will be subject to reduced public company reporting requirements. Investing in our securities involves risks. See the section of this prospectus entitled Risk Factors beginning on page </w:t>
      </w:r>
      <w:hyperlink w:anchor="tRF">
        <w:r>
          <w:rPr>
            <w:rStyle w:val="InternetLink"/>
          </w:rPr>
          <w:t>29</w:t>
        </w:r>
      </w:hyperlink>
      <w:r>
        <w:rPr>
          <w:rFonts w:ascii="Times New Roman;Times;Serif" w:hAnsi="Times New Roman;Times;Serif"/>
          <w:b/>
          <w:color w:val="000000"/>
          <w:sz w:val="14"/>
        </w:rPr>
        <w:t>. Investors will not be entitled to protections normally afforded to investors in Rule 419 blank check offerings.</w:t>
      </w:r>
      <w:r>
        <w:rPr>
          <w:rFonts w:ascii="Times New Roman;Times;Serif" w:hAnsi="Times New Roman;Times;Serif"/>
          <w:color w:val="000000"/>
          <w:sz w:val="14"/>
        </w:rPr>
        <w:t xml:space="preserve"> </w:t>
      </w:r>
    </w:p>
    <w:tbl>
      <w:tblPr>
        <w:tblW w:w="5000" w:type="pct"/>
        <w:jc w:val="center"/>
        <w:tblInd w:w="0" w:type="dxa"/>
        <w:tblCellMar>
          <w:top w:w="0" w:type="dxa"/>
          <w:left w:w="0" w:type="dxa"/>
          <w:bottom w:w="0" w:type="dxa"/>
          <w:right w:w="0" w:type="dxa"/>
        </w:tblCellMar>
      </w:tblPr>
      <w:tblGrid>
        <w:gridCol w:w="6980"/>
        <w:gridCol w:w="281"/>
        <w:gridCol w:w="858"/>
        <w:gridCol w:w="225"/>
        <w:gridCol w:w="281"/>
        <w:gridCol w:w="1368"/>
        <w:gridCol w:w="212"/>
      </w:tblGrid>
      <w:tr>
        <w:trPr/>
        <w:tc>
          <w:tcPr>
            <w:tcW w:w="6980" w:type="dxa"/>
            <w:tcBorders/>
            <w:shd w:fill="auto" w:val="clear"/>
            <w:vAlign w:val="bottom"/>
          </w:tcPr>
          <w:p>
            <w:pPr>
              <w:pStyle w:val="TableContents"/>
              <w:spacing w:before="0" w:after="0"/>
              <w:ind w:left="0" w:right="0" w:firstLine="90"/>
              <w:jc w:val="left"/>
              <w:rPr>
                <w:color w:val="000000"/>
              </w:rPr>
            </w:pPr>
            <w:r>
              <w:rPr>
                <w:color w:val="000000"/>
              </w:rPr>
              <w:t> </w:t>
            </w:r>
          </w:p>
        </w:tc>
        <w:tc>
          <w:tcPr>
            <w:tcW w:w="1364" w:type="dxa"/>
            <w:gridSpan w:val="3"/>
            <w:tcBorders/>
            <w:shd w:fill="auto" w:val="clear"/>
            <w:vAlign w:val="bottom"/>
          </w:tcPr>
          <w:p>
            <w:pPr>
              <w:pStyle w:val="TableContents"/>
              <w:spacing w:before="0" w:after="0"/>
              <w:ind w:left="0" w:right="0" w:firstLine="9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Per Unit</w:t>
            </w:r>
          </w:p>
        </w:tc>
        <w:tc>
          <w:tcPr>
            <w:tcW w:w="1861" w:type="dxa"/>
            <w:gridSpan w:val="3"/>
            <w:tcBorders/>
            <w:shd w:fill="auto" w:val="clear"/>
            <w:vAlign w:val="bottom"/>
          </w:tcPr>
          <w:p>
            <w:pPr>
              <w:pStyle w:val="TableContents"/>
              <w:spacing w:before="0" w:after="0"/>
              <w:ind w:left="0" w:right="0" w:hanging="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Total</w:t>
            </w:r>
          </w:p>
        </w:tc>
      </w:tr>
      <w:tr>
        <w:trPr/>
        <w:tc>
          <w:tcPr>
            <w:tcW w:w="6980" w:type="dxa"/>
            <w:tcBorders/>
            <w:shd w:fill="CCEEFF" w:val="clear"/>
            <w:vAlign w:val="bottom"/>
          </w:tcPr>
          <w:p>
            <w:pPr>
              <w:pStyle w:val="TableContents"/>
              <w:spacing w:before="0" w:after="0"/>
              <w:ind w:left="0" w:right="0" w:firstLine="75"/>
              <w:jc w:val="left"/>
              <w:rPr>
                <w:rFonts w:ascii="Times New Roman;Times;Serif" w:hAnsi="Times New Roman;Times;Serif"/>
                <w:color w:val="000000"/>
                <w:sz w:val="14"/>
              </w:rPr>
            </w:pPr>
            <w:r>
              <w:rPr>
                <w:rFonts w:ascii="Times New Roman;Times;Serif" w:hAnsi="Times New Roman;Times;Serif"/>
                <w:color w:val="000000"/>
                <w:sz w:val="14"/>
              </w:rPr>
              <w:t>Public offering price</w:t>
            </w:r>
          </w:p>
        </w:tc>
        <w:tc>
          <w:tcPr>
            <w:tcW w:w="281"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4"/>
              </w:rPr>
            </w:pPr>
            <w:r>
              <w:rPr>
                <w:rFonts w:ascii="Times New Roman;Times;Serif" w:hAnsi="Times New Roman;Times;Serif"/>
                <w:color w:val="000000"/>
                <w:sz w:val="14"/>
              </w:rPr>
              <w:t>$</w:t>
            </w:r>
          </w:p>
        </w:tc>
        <w:tc>
          <w:tcPr>
            <w:tcW w:w="858"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4"/>
              </w:rPr>
            </w:pPr>
            <w:r>
              <w:rPr>
                <w:rFonts w:ascii="Times New Roman;Times;Serif" w:hAnsi="Times New Roman;Times;Serif"/>
                <w:color w:val="000000"/>
                <w:sz w:val="14"/>
              </w:rPr>
              <w:t>10.00</w:t>
            </w:r>
          </w:p>
        </w:tc>
        <w:tc>
          <w:tcPr>
            <w:tcW w:w="225" w:type="dxa"/>
            <w:tcBorders/>
            <w:shd w:fill="CCEEFF" w:val="clear"/>
            <w:vAlign w:val="bottom"/>
          </w:tcPr>
          <w:p>
            <w:pPr>
              <w:pStyle w:val="TableContents"/>
              <w:spacing w:before="0" w:after="0"/>
              <w:ind w:left="0" w:right="0" w:firstLine="75"/>
              <w:jc w:val="left"/>
              <w:rPr>
                <w:color w:val="000000"/>
              </w:rPr>
            </w:pPr>
            <w:r>
              <w:rPr>
                <w:color w:val="000000"/>
              </w:rPr>
              <w:t> </w:t>
            </w:r>
          </w:p>
        </w:tc>
        <w:tc>
          <w:tcPr>
            <w:tcW w:w="281"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4"/>
              </w:rPr>
            </w:pPr>
            <w:r>
              <w:rPr>
                <w:rFonts w:ascii="Times New Roman;Times;Serif" w:hAnsi="Times New Roman;Times;Serif"/>
                <w:color w:val="000000"/>
                <w:sz w:val="14"/>
              </w:rPr>
              <w:t>$</w:t>
            </w:r>
          </w:p>
        </w:tc>
        <w:tc>
          <w:tcPr>
            <w:tcW w:w="1368"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4"/>
              </w:rPr>
            </w:pPr>
            <w:r>
              <w:rPr>
                <w:rFonts w:ascii="Times New Roman;Times;Serif" w:hAnsi="Times New Roman;Times;Serif"/>
                <w:color w:val="000000"/>
                <w:sz w:val="14"/>
              </w:rPr>
              <w:t>250,000,000</w:t>
            </w:r>
          </w:p>
        </w:tc>
        <w:tc>
          <w:tcPr>
            <w:tcW w:w="212" w:type="dxa"/>
            <w:tcBorders/>
            <w:shd w:fill="CCEEFF" w:val="clear"/>
            <w:vAlign w:val="bottom"/>
          </w:tcPr>
          <w:p>
            <w:pPr>
              <w:pStyle w:val="TableContents"/>
              <w:spacing w:before="0" w:after="0"/>
              <w:ind w:left="0" w:right="0" w:hanging="0"/>
              <w:jc w:val="left"/>
              <w:rPr>
                <w:color w:val="000000"/>
              </w:rPr>
            </w:pPr>
            <w:r>
              <w:rPr>
                <w:color w:val="000000"/>
              </w:rPr>
              <w:t> </w:t>
            </w:r>
          </w:p>
        </w:tc>
      </w:tr>
      <w:tr>
        <w:trPr/>
        <w:tc>
          <w:tcPr>
            <w:tcW w:w="6980" w:type="dxa"/>
            <w:tcBorders/>
            <w:shd w:fill="auto" w:val="clear"/>
            <w:vAlign w:val="bottom"/>
          </w:tcPr>
          <w:p>
            <w:pPr>
              <w:pStyle w:val="TableContents"/>
              <w:spacing w:lineRule="auto" w:line="240" w:before="0" w:after="0"/>
              <w:ind w:left="0" w:right="0" w:firstLine="75"/>
              <w:jc w:val="left"/>
              <w:rPr>
                <w:rFonts w:ascii="Times New Roman;Times;Serif" w:hAnsi="Times New Roman;Times;Serif"/>
                <w:color w:val="000000"/>
                <w:sz w:val="14"/>
              </w:rPr>
            </w:pPr>
            <w:r>
              <w:rPr>
                <w:rFonts w:ascii="Times New Roman;Times;Serif" w:hAnsi="Times New Roman;Times;Serif"/>
                <w:color w:val="000000"/>
                <w:sz w:val="14"/>
              </w:rPr>
              <w:t>Underwriting discounts and commissions(1)</w:t>
            </w:r>
          </w:p>
        </w:tc>
        <w:tc>
          <w:tcPr>
            <w:tcW w:w="281" w:type="dxa"/>
            <w:tcBorders/>
            <w:shd w:fill="auto" w:val="clear"/>
            <w:vAlign w:val="bottom"/>
          </w:tcPr>
          <w:p>
            <w:pPr>
              <w:pStyle w:val="TableContents"/>
              <w:spacing w:before="0" w:after="0"/>
              <w:ind w:left="0" w:right="0" w:hanging="0"/>
              <w:jc w:val="right"/>
              <w:rPr>
                <w:rFonts w:ascii="Times New Roman;Times;Serif" w:hAnsi="Times New Roman;Times;Serif"/>
                <w:color w:val="000000"/>
                <w:sz w:val="14"/>
              </w:rPr>
            </w:pPr>
            <w:r>
              <w:rPr>
                <w:rFonts w:ascii="Times New Roman;Times;Serif" w:hAnsi="Times New Roman;Times;Serif"/>
                <w:color w:val="000000"/>
                <w:sz w:val="14"/>
              </w:rPr>
              <w:t>$</w:t>
            </w:r>
          </w:p>
        </w:tc>
        <w:tc>
          <w:tcPr>
            <w:tcW w:w="858" w:type="dxa"/>
            <w:tcBorders/>
            <w:shd w:fill="auto" w:val="clear"/>
            <w:vAlign w:val="bottom"/>
          </w:tcPr>
          <w:p>
            <w:pPr>
              <w:pStyle w:val="TableContents"/>
              <w:spacing w:before="0" w:after="0"/>
              <w:ind w:left="0" w:right="0" w:hanging="0"/>
              <w:jc w:val="right"/>
              <w:rPr>
                <w:rFonts w:ascii="Times New Roman;Times;Serif" w:hAnsi="Times New Roman;Times;Serif"/>
                <w:color w:val="000000"/>
                <w:sz w:val="14"/>
              </w:rPr>
            </w:pPr>
            <w:r>
              <w:rPr>
                <w:rFonts w:ascii="Times New Roman;Times;Serif" w:hAnsi="Times New Roman;Times;Serif"/>
                <w:color w:val="000000"/>
                <w:sz w:val="14"/>
              </w:rPr>
              <w:t>0.55</w:t>
            </w:r>
          </w:p>
        </w:tc>
        <w:tc>
          <w:tcPr>
            <w:tcW w:w="225" w:type="dxa"/>
            <w:tcBorders/>
            <w:shd w:fill="auto" w:val="clear"/>
            <w:vAlign w:val="bottom"/>
          </w:tcPr>
          <w:p>
            <w:pPr>
              <w:pStyle w:val="TableContents"/>
              <w:spacing w:before="0" w:after="0"/>
              <w:ind w:left="0" w:right="0" w:firstLine="75"/>
              <w:jc w:val="left"/>
              <w:rPr>
                <w:color w:val="000000"/>
              </w:rPr>
            </w:pPr>
            <w:r>
              <w:rPr>
                <w:color w:val="000000"/>
              </w:rPr>
              <w:t> </w:t>
            </w:r>
          </w:p>
        </w:tc>
        <w:tc>
          <w:tcPr>
            <w:tcW w:w="281" w:type="dxa"/>
            <w:tcBorders/>
            <w:shd w:fill="auto" w:val="clear"/>
            <w:vAlign w:val="bottom"/>
          </w:tcPr>
          <w:p>
            <w:pPr>
              <w:pStyle w:val="TableContents"/>
              <w:spacing w:before="0" w:after="0"/>
              <w:ind w:left="0" w:right="0" w:hanging="0"/>
              <w:jc w:val="right"/>
              <w:rPr>
                <w:rFonts w:ascii="Times New Roman;Times;Serif" w:hAnsi="Times New Roman;Times;Serif"/>
                <w:color w:val="000000"/>
                <w:sz w:val="14"/>
              </w:rPr>
            </w:pPr>
            <w:r>
              <w:rPr>
                <w:rFonts w:ascii="Times New Roman;Times;Serif" w:hAnsi="Times New Roman;Times;Serif"/>
                <w:color w:val="000000"/>
                <w:sz w:val="14"/>
              </w:rPr>
              <w:t>$</w:t>
            </w:r>
          </w:p>
        </w:tc>
        <w:tc>
          <w:tcPr>
            <w:tcW w:w="1368" w:type="dxa"/>
            <w:tcBorders/>
            <w:shd w:fill="auto" w:val="clear"/>
            <w:vAlign w:val="bottom"/>
          </w:tcPr>
          <w:p>
            <w:pPr>
              <w:pStyle w:val="TableContents"/>
              <w:spacing w:before="0" w:after="0"/>
              <w:ind w:left="0" w:right="0" w:hanging="0"/>
              <w:jc w:val="right"/>
              <w:rPr>
                <w:rFonts w:ascii="Times New Roman;Times;Serif" w:hAnsi="Times New Roman;Times;Serif"/>
                <w:color w:val="000000"/>
                <w:sz w:val="14"/>
              </w:rPr>
            </w:pPr>
            <w:r>
              <w:rPr>
                <w:rFonts w:ascii="Times New Roman;Times;Serif" w:hAnsi="Times New Roman;Times;Serif"/>
                <w:color w:val="000000"/>
                <w:sz w:val="14"/>
              </w:rPr>
              <w:t>13,750,000</w:t>
            </w:r>
          </w:p>
        </w:tc>
        <w:tc>
          <w:tcPr>
            <w:tcW w:w="212" w:type="dxa"/>
            <w:tcBorders/>
            <w:shd w:fill="auto" w:val="clear"/>
            <w:vAlign w:val="bottom"/>
          </w:tcPr>
          <w:p>
            <w:pPr>
              <w:pStyle w:val="TableContents"/>
              <w:spacing w:before="0" w:after="0"/>
              <w:ind w:left="0" w:right="0" w:hanging="0"/>
              <w:jc w:val="left"/>
              <w:rPr>
                <w:color w:val="000000"/>
              </w:rPr>
            </w:pPr>
            <w:r>
              <w:rPr>
                <w:color w:val="000000"/>
              </w:rPr>
              <w:t> </w:t>
            </w:r>
          </w:p>
        </w:tc>
      </w:tr>
      <w:tr>
        <w:trPr/>
        <w:tc>
          <w:tcPr>
            <w:tcW w:w="6980" w:type="dxa"/>
            <w:tcBorders/>
            <w:shd w:fill="CCEEFF" w:val="clear"/>
            <w:vAlign w:val="bottom"/>
          </w:tcPr>
          <w:p>
            <w:pPr>
              <w:pStyle w:val="TableContents"/>
              <w:spacing w:before="0" w:after="0"/>
              <w:ind w:left="0" w:right="0" w:firstLine="75"/>
              <w:jc w:val="left"/>
              <w:rPr>
                <w:rFonts w:ascii="Times New Roman;Times;Serif" w:hAnsi="Times New Roman;Times;Serif"/>
                <w:color w:val="000000"/>
                <w:sz w:val="14"/>
              </w:rPr>
            </w:pPr>
            <w:r>
              <w:rPr>
                <w:rFonts w:ascii="Times New Roman;Times;Serif" w:hAnsi="Times New Roman;Times;Serif"/>
                <w:color w:val="000000"/>
                <w:sz w:val="14"/>
              </w:rPr>
              <w:t>Proceeds, before expenses, to us</w:t>
            </w:r>
          </w:p>
        </w:tc>
        <w:tc>
          <w:tcPr>
            <w:tcW w:w="281"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4"/>
              </w:rPr>
            </w:pPr>
            <w:r>
              <w:rPr>
                <w:rFonts w:ascii="Times New Roman;Times;Serif" w:hAnsi="Times New Roman;Times;Serif"/>
                <w:color w:val="000000"/>
                <w:sz w:val="14"/>
              </w:rPr>
              <w:t>$</w:t>
            </w:r>
          </w:p>
        </w:tc>
        <w:tc>
          <w:tcPr>
            <w:tcW w:w="858"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4"/>
              </w:rPr>
            </w:pPr>
            <w:r>
              <w:rPr>
                <w:rFonts w:ascii="Times New Roman;Times;Serif" w:hAnsi="Times New Roman;Times;Serif"/>
                <w:color w:val="000000"/>
                <w:sz w:val="14"/>
              </w:rPr>
              <w:t>9.45</w:t>
            </w:r>
          </w:p>
        </w:tc>
        <w:tc>
          <w:tcPr>
            <w:tcW w:w="225" w:type="dxa"/>
            <w:tcBorders/>
            <w:shd w:fill="CCEEFF" w:val="clear"/>
            <w:vAlign w:val="bottom"/>
          </w:tcPr>
          <w:p>
            <w:pPr>
              <w:pStyle w:val="TableContents"/>
              <w:spacing w:before="0" w:after="0"/>
              <w:ind w:left="0" w:right="0" w:firstLine="75"/>
              <w:jc w:val="left"/>
              <w:rPr>
                <w:color w:val="000000"/>
              </w:rPr>
            </w:pPr>
            <w:r>
              <w:rPr>
                <w:color w:val="000000"/>
              </w:rPr>
              <w:t> </w:t>
            </w:r>
          </w:p>
        </w:tc>
        <w:tc>
          <w:tcPr>
            <w:tcW w:w="281"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4"/>
              </w:rPr>
            </w:pPr>
            <w:r>
              <w:rPr>
                <w:rFonts w:ascii="Times New Roman;Times;Serif" w:hAnsi="Times New Roman;Times;Serif"/>
                <w:color w:val="000000"/>
                <w:sz w:val="14"/>
              </w:rPr>
              <w:t>$</w:t>
            </w:r>
          </w:p>
        </w:tc>
        <w:tc>
          <w:tcPr>
            <w:tcW w:w="1368"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4"/>
              </w:rPr>
            </w:pPr>
            <w:r>
              <w:rPr>
                <w:rFonts w:ascii="Times New Roman;Times;Serif" w:hAnsi="Times New Roman;Times;Serif"/>
                <w:color w:val="000000"/>
                <w:sz w:val="14"/>
              </w:rPr>
              <w:t>236,250,000</w:t>
            </w:r>
          </w:p>
        </w:tc>
        <w:tc>
          <w:tcPr>
            <w:tcW w:w="212" w:type="dxa"/>
            <w:tcBorders/>
            <w:shd w:fill="CCEEFF" w:val="clear"/>
            <w:vAlign w:val="bottom"/>
          </w:tcPr>
          <w:p>
            <w:pPr>
              <w:pStyle w:val="TableContents"/>
              <w:spacing w:before="0" w:after="0"/>
              <w:jc w:val="left"/>
              <w:rPr>
                <w:color w:val="000000"/>
              </w:rPr>
            </w:pPr>
            <w:r>
              <w:rPr>
                <w:color w:val="000000"/>
              </w:rPr>
              <w:t> </w:t>
            </w:r>
          </w:p>
        </w:tc>
      </w:tr>
    </w:tbl>
    <w:tbl>
      <w:tblPr>
        <w:tblW w:w="5000" w:type="pct"/>
        <w:jc w:val="left"/>
        <w:tblInd w:w="0" w:type="dxa"/>
        <w:tblCellMar>
          <w:top w:w="0" w:type="dxa"/>
          <w:left w:w="0" w:type="dxa"/>
          <w:bottom w:w="0" w:type="dxa"/>
          <w:right w:w="0" w:type="dxa"/>
        </w:tblCellMar>
      </w:tblPr>
      <w:tblGrid>
        <w:gridCol w:w="37"/>
        <w:gridCol w:w="225"/>
        <w:gridCol w:w="9943"/>
      </w:tblGrid>
      <w:tr>
        <w:trPr/>
        <w:tc>
          <w:tcPr>
            <w:tcW w:w="37"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jc w:val="left"/>
              <w:rPr>
                <w:rFonts w:ascii="Times New Roman;Times;Serif" w:hAnsi="Times New Roman;Times;Serif"/>
                <w:color w:val="000000"/>
                <w:sz w:val="12"/>
              </w:rPr>
            </w:pPr>
            <w:r>
              <w:rPr>
                <w:rFonts w:ascii="Times New Roman;Times;Serif" w:hAnsi="Times New Roman;Times;Serif"/>
                <w:color w:val="000000"/>
                <w:sz w:val="12"/>
              </w:rPr>
              <w:t>(1)</w:t>
            </w:r>
          </w:p>
        </w:tc>
        <w:tc>
          <w:tcPr>
            <w:tcW w:w="9943" w:type="dxa"/>
            <w:tcBorders/>
            <w:shd w:fill="auto" w:val="clear"/>
            <w:vAlign w:val="center"/>
          </w:tcPr>
          <w:p>
            <w:pPr>
              <w:pStyle w:val="TableContents"/>
              <w:spacing w:before="0" w:after="283"/>
              <w:jc w:val="left"/>
              <w:rPr>
                <w:rFonts w:ascii="Times New Roman;Times;Serif" w:hAnsi="Times New Roman;Times;Serif"/>
                <w:color w:val="000000"/>
                <w:sz w:val="12"/>
              </w:rPr>
            </w:pPr>
            <w:r>
              <w:rPr>
                <w:rFonts w:ascii="Times New Roman;Times;Serif" w:hAnsi="Times New Roman;Times;Serif"/>
                <w:color w:val="000000"/>
                <w:sz w:val="12"/>
              </w:rPr>
              <w:t>Includes $0.35 per unit, or $8,750,000 (or up to $10,062,500 if the underwriters’ over-allotment option is exercised in full) in the aggregate, payable to the underwriters for deferred underwriting commissions to be placed in a trust account located in the United States as described herein. Does not include certain fees and expenses payable to the underwriters in connection with this offering. See also Underwriting for a description of compensation and other items of value payable to the underwriters.</w:t>
            </w:r>
          </w:p>
        </w:tc>
      </w:tr>
    </w:tbl>
    <w:p>
      <w:pPr>
        <w:pStyle w:val="TextBody"/>
        <w:spacing w:lineRule="atLeast" w:line="150" w:before="45"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Of the proceeds we receive from this offering and the sale of the private placement warrants described in this prospectus, $250,000,000 or $287,500,000 if the underwriters over-allotment option is exercised in full ($10.00 per unit), will be deposited into a U.S.-based trust account with Continental Stock Transfer &amp; Trust Company acting as trustee. Except with respect to interest earned on the funds held in the trust account that may be released to us to pay our taxes, if any, the funds held in the trust account will not be released from the trust account until the earliest to occur of: (1) the completion of our initial business combination; (2) the redemption of any public shares properly submitted in connection with a shareholder vote to amend our amended and restated memorandum and articles of association (A) to modify the substance or timing of our obligation to redeem 100% of our public shares if we do not complete our initial business combination within 18 months from the closing of this offering or (B) with respect to any other provision relating to shareholders rights or pre-initial business combination activity; and (3) the redemption of our public shares if we are unable to complete our initial business combination within 18 months from the closing of this offering, subject to applicable law. The proceeds deposited in the trust account could become subject to the claims of our creditors, if any, which could have priority over the claims of our public shareholders. </w:t>
      </w:r>
    </w:p>
    <w:p>
      <w:pPr>
        <w:pStyle w:val="TextBody"/>
        <w:spacing w:before="45"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The underwriters are offering the units for sale on a firm commitment basis. Delivery of the units will be made on or about August 12, 2019. </w:t>
      </w:r>
    </w:p>
    <w:p>
      <w:pPr>
        <w:pStyle w:val="TextBody"/>
        <w:spacing w:lineRule="atLeast" w:line="150" w:before="45" w:after="0"/>
        <w:ind w:left="0" w:right="0" w:hanging="0"/>
        <w:jc w:val="left"/>
        <w:rPr>
          <w:rFonts w:ascii="Times New Roman;Times;Serif" w:hAnsi="Times New Roman;Times;Serif"/>
          <w:b/>
          <w:color w:val="000000"/>
          <w:sz w:val="14"/>
        </w:rPr>
      </w:pPr>
      <w:r>
        <w:rPr>
          <w:rFonts w:ascii="Times New Roman;Times;Serif" w:hAnsi="Times New Roman;Times;Serif"/>
          <w:b/>
          <w:color w:val="000000"/>
          <w:sz w:val="14"/>
        </w:rPr>
        <w:t>Neither the SEC nor any state securities commission has approved or disapproved of these securities or determined if this prospectus is truthful or complete. Any representation to the contrary is a criminal offense.</w:t>
      </w:r>
    </w:p>
    <w:p>
      <w:pPr>
        <w:pStyle w:val="TextBody"/>
        <w:spacing w:before="45"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No invitation, whether directly or indirectly, may be made to the public in the Cayman Islands to subscribe for our securities.</w:t>
      </w:r>
    </w:p>
    <w:p>
      <w:pPr>
        <w:pStyle w:val="TextBody"/>
        <w:spacing w:before="60" w:after="0"/>
        <w:ind w:left="0" w:right="0" w:hanging="0"/>
        <w:jc w:val="center"/>
        <w:rPr>
          <w:rFonts w:ascii="Times New Roman;Times;Serif" w:hAnsi="Times New Roman;Times;Serif"/>
          <w:color w:val="000000"/>
          <w:sz w:val="17"/>
        </w:rPr>
      </w:pPr>
      <w:r>
        <w:rPr>
          <w:rFonts w:ascii="Times New Roman;Times;Serif" w:hAnsi="Times New Roman;Times;Serif"/>
          <w:i/>
          <w:color w:val="000000"/>
          <w:sz w:val="17"/>
        </w:rPr>
        <w:t>Sole Book-Running Manager</w:t>
      </w:r>
      <w:r>
        <w:rPr>
          <w:rFonts w:ascii="Times New Roman;Times;Serif" w:hAnsi="Times New Roman;Times;Serif"/>
          <w:color w:val="000000"/>
          <w:sz w:val="17"/>
        </w:rPr>
        <w:t xml:space="preserve"> </w:t>
      </w:r>
    </w:p>
    <w:p>
      <w:pPr>
        <w:pStyle w:val="TextBody"/>
        <w:spacing w:before="15" w:after="0"/>
        <w:ind w:left="0" w:right="0" w:hanging="0"/>
        <w:jc w:val="center"/>
        <w:rPr>
          <w:rFonts w:ascii="Times New Roman;Times;Serif" w:hAnsi="Times New Roman;Times;Serif"/>
          <w:b/>
          <w:color w:val="000000"/>
          <w:sz w:val="23"/>
        </w:rPr>
      </w:pPr>
      <w:r>
        <w:rPr>
          <w:rFonts w:ascii="Times New Roman;Times;Serif" w:hAnsi="Times New Roman;Times;Serif"/>
          <w:b/>
          <w:color w:val="000000"/>
          <w:sz w:val="23"/>
        </w:rPr>
        <w:t>Credit Suisse</w:t>
      </w:r>
    </w:p>
    <w:p>
      <w:pPr>
        <w:pStyle w:val="TextBody"/>
        <w:spacing w:before="60" w:after="0"/>
        <w:ind w:left="0" w:right="0" w:hanging="0"/>
        <w:jc w:val="center"/>
        <w:rPr>
          <w:rFonts w:ascii="Times New Roman;Times;Serif" w:hAnsi="Times New Roman;Times;Serif"/>
          <w:i/>
          <w:color w:val="000000"/>
          <w:sz w:val="17"/>
        </w:rPr>
      </w:pPr>
      <w:r>
        <w:rPr>
          <w:rFonts w:ascii="Times New Roman;Times;Serif" w:hAnsi="Times New Roman;Times;Serif"/>
          <w:i/>
          <w:color w:val="000000"/>
          <w:sz w:val="17"/>
        </w:rPr>
        <w:t>Co-Manager</w:t>
      </w:r>
    </w:p>
    <w:p>
      <w:pPr>
        <w:pStyle w:val="TextBody"/>
        <w:spacing w:before="60" w:after="0"/>
        <w:ind w:left="0" w:right="0" w:hanging="0"/>
        <w:jc w:val="center"/>
        <w:rPr>
          <w:rFonts w:ascii="Times New Roman;Times;Serif" w:hAnsi="Times New Roman;Times;Serif"/>
          <w:color w:val="000000"/>
          <w:sz w:val="17"/>
        </w:rPr>
      </w:pPr>
      <w:r>
        <w:rPr>
          <w:rFonts w:ascii="Times New Roman;Times;Serif" w:hAnsi="Times New Roman;Times;Serif"/>
          <w:b/>
          <w:color w:val="000000"/>
          <w:sz w:val="17"/>
        </w:rPr>
        <w:t>I-Bankers Securities, Inc.</w:t>
      </w:r>
      <w:r>
        <w:rPr>
          <w:rFonts w:ascii="Times New Roman;Times;Serif" w:hAnsi="Times New Roman;Times;Serif"/>
          <w:color w:val="000000"/>
          <w:sz w:val="17"/>
        </w:rPr>
        <w:t xml:space="preserve"> </w:t>
      </w:r>
    </w:p>
    <w:p>
      <w:pPr>
        <w:pStyle w:val="TextBody"/>
        <w:spacing w:before="30" w:after="0"/>
        <w:ind w:left="0" w:right="0" w:hanging="0"/>
        <w:jc w:val="center"/>
        <w:rPr>
          <w:rFonts w:ascii="Times New Roman;Times;Serif" w:hAnsi="Times New Roman;Times;Serif"/>
          <w:color w:val="000000"/>
          <w:sz w:val="12"/>
        </w:rPr>
      </w:pPr>
      <w:r>
        <w:rPr>
          <w:rFonts w:ascii="Times New Roman;Times;Serif" w:hAnsi="Times New Roman;Times;Serif"/>
          <w:color w:val="000000"/>
          <w:sz w:val="12"/>
        </w:rPr>
        <w:t>The date of this prospectus is August 7, 2019</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before="240" w:after="0"/>
        <w:ind w:left="0" w:right="0" w:hanging="0"/>
        <w:jc w:val="center"/>
        <w:rPr>
          <w:rFonts w:ascii="Times New Roman;Times;Serif" w:hAnsi="Times New Roman;Times;Serif"/>
          <w:b/>
          <w:caps/>
          <w:color w:val="000000"/>
          <w:sz w:val="17"/>
        </w:rPr>
      </w:pPr>
      <w:r>
        <w:rPr>
          <w:rFonts w:ascii="Times New Roman;Times;Serif" w:hAnsi="Times New Roman;Times;Serif"/>
          <w:b/>
          <w:caps/>
          <w:color w:val="000000"/>
          <w:sz w:val="17"/>
        </w:rPr>
        <w:t>table of contents</w:t>
      </w:r>
    </w:p>
    <w:p>
      <w:pPr>
        <w:pStyle w:val="Normal"/>
        <w:spacing w:before="0" w:after="0"/>
        <w:rPr>
          <w:sz w:val="4"/>
          <w:szCs w:val="4"/>
        </w:rPr>
      </w:pPr>
      <w:r>
        <w:rPr>
          <w:sz w:val="4"/>
          <w:szCs w:val="4"/>
        </w:rPr>
      </w:r>
      <w:bookmarkStart w:id="2" w:name="TOC"/>
      <w:bookmarkStart w:id="3" w:name="TOC"/>
      <w:bookmarkEnd w:id="3"/>
    </w:p>
    <w:tbl>
      <w:tblPr>
        <w:tblW w:w="5000" w:type="pct"/>
        <w:jc w:val="center"/>
        <w:tblInd w:w="0" w:type="dxa"/>
        <w:tblCellMar>
          <w:top w:w="0" w:type="dxa"/>
          <w:left w:w="0" w:type="dxa"/>
          <w:bottom w:w="0" w:type="dxa"/>
          <w:right w:w="0" w:type="dxa"/>
        </w:tblCellMar>
      </w:tblPr>
      <w:tblGrid>
        <w:gridCol w:w="9097"/>
        <w:gridCol w:w="259"/>
        <w:gridCol w:w="654"/>
        <w:gridCol w:w="195"/>
      </w:tblGrid>
      <w:tr>
        <w:trPr/>
        <w:tc>
          <w:tcPr>
            <w:tcW w:w="9097" w:type="dxa"/>
            <w:tcBorders/>
            <w:shd w:fill="auto" w:val="clear"/>
            <w:vAlign w:val="bottom"/>
          </w:tcPr>
          <w:p>
            <w:pPr>
              <w:pStyle w:val="TableContents"/>
              <w:spacing w:before="0" w:after="0"/>
              <w:ind w:left="0" w:right="0" w:firstLine="90"/>
              <w:jc w:val="left"/>
              <w:rPr>
                <w:color w:val="000000"/>
              </w:rPr>
            </w:pPr>
            <w:r>
              <w:rPr>
                <w:color w:val="000000"/>
              </w:rPr>
              <w:t> </w:t>
            </w:r>
          </w:p>
        </w:tc>
        <w:tc>
          <w:tcPr>
            <w:tcW w:w="1108" w:type="dxa"/>
            <w:gridSpan w:val="3"/>
            <w:tcBorders/>
            <w:shd w:fill="auto" w:val="clear"/>
            <w:vAlign w:val="bottom"/>
          </w:tcPr>
          <w:p>
            <w:pPr>
              <w:pStyle w:val="TableContents"/>
              <w:spacing w:before="0" w:after="0"/>
              <w:ind w:left="0" w:right="0" w:hanging="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Page</w:t>
            </w:r>
          </w:p>
        </w:tc>
      </w:tr>
      <w:tr>
        <w:trPr/>
        <w:tc>
          <w:tcPr>
            <w:tcW w:w="9097" w:type="dxa"/>
            <w:tcBorders/>
            <w:shd w:fill="CCEEFF" w:val="clear"/>
            <w:vAlign w:val="bottom"/>
          </w:tcPr>
          <w:p>
            <w:pPr>
              <w:pStyle w:val="TableContents"/>
              <w:spacing w:before="0" w:after="0"/>
              <w:ind w:left="0" w:right="0" w:firstLine="75"/>
              <w:jc w:val="left"/>
              <w:rPr/>
            </w:pPr>
            <w:hyperlink w:anchor="tSUM">
              <w:r>
                <w:rPr>
                  <w:rStyle w:val="InternetLink"/>
                  <w:rFonts w:ascii="Times New Roman;Times;Serif" w:hAnsi="Times New Roman;Times;Serif"/>
                  <w:color w:val="000000"/>
                  <w:sz w:val="17"/>
                </w:rPr>
                <w:t>Summary</w:t>
              </w:r>
            </w:hyperlink>
          </w:p>
        </w:tc>
        <w:tc>
          <w:tcPr>
            <w:tcW w:w="259" w:type="dxa"/>
            <w:tcBorders/>
            <w:shd w:fill="CCEEFF" w:val="clear"/>
            <w:vAlign w:val="bottom"/>
          </w:tcPr>
          <w:p>
            <w:pPr>
              <w:pStyle w:val="TableContents"/>
              <w:spacing w:before="0" w:after="0"/>
              <w:ind w:left="0" w:right="0" w:hanging="0"/>
              <w:jc w:val="right"/>
              <w:rPr>
                <w:color w:val="000000"/>
              </w:rPr>
            </w:pPr>
            <w:r>
              <w:rPr>
                <w:color w:val="000000"/>
              </w:rPr>
              <w:t> </w:t>
            </w:r>
          </w:p>
        </w:tc>
        <w:tc>
          <w:tcPr>
            <w:tcW w:w="654" w:type="dxa"/>
            <w:tcBorders/>
            <w:shd w:fill="CCEEFF" w:val="clear"/>
            <w:vAlign w:val="bottom"/>
          </w:tcPr>
          <w:p>
            <w:pPr>
              <w:pStyle w:val="TableContents"/>
              <w:spacing w:before="0" w:after="0"/>
              <w:ind w:left="0" w:right="0" w:hanging="0"/>
              <w:jc w:val="right"/>
              <w:rPr/>
            </w:pPr>
            <w:hyperlink w:anchor="tSUM">
              <w:r>
                <w:rPr>
                  <w:rStyle w:val="InternetLink"/>
                  <w:rFonts w:ascii="Times New Roman;Times;Serif" w:hAnsi="Times New Roman;Times;Serif"/>
                  <w:color w:val="000000"/>
                  <w:sz w:val="17"/>
                </w:rPr>
                <w:t>1</w:t>
              </w:r>
            </w:hyperlink>
          </w:p>
        </w:tc>
        <w:tc>
          <w:tcPr>
            <w:tcW w:w="195" w:type="dxa"/>
            <w:tcBorders/>
            <w:shd w:fill="CCEEFF" w:val="clear"/>
            <w:vAlign w:val="bottom"/>
          </w:tcPr>
          <w:p>
            <w:pPr>
              <w:pStyle w:val="TableContents"/>
              <w:spacing w:before="0" w:after="0"/>
              <w:ind w:left="0" w:right="0" w:hanging="0"/>
              <w:jc w:val="left"/>
              <w:rPr>
                <w:color w:val="000000"/>
              </w:rPr>
            </w:pPr>
            <w:r>
              <w:rPr>
                <w:color w:val="000000"/>
              </w:rPr>
              <w:t> </w:t>
            </w:r>
          </w:p>
        </w:tc>
      </w:tr>
      <w:tr>
        <w:trPr/>
        <w:tc>
          <w:tcPr>
            <w:tcW w:w="9097" w:type="dxa"/>
            <w:tcBorders/>
            <w:shd w:fill="auto" w:val="clear"/>
            <w:vAlign w:val="bottom"/>
          </w:tcPr>
          <w:p>
            <w:pPr>
              <w:pStyle w:val="TableContents"/>
              <w:spacing w:before="0" w:after="0"/>
              <w:ind w:left="0" w:right="0" w:firstLine="75"/>
              <w:jc w:val="left"/>
              <w:rPr/>
            </w:pPr>
            <w:hyperlink w:anchor="tTO">
              <w:r>
                <w:rPr>
                  <w:rStyle w:val="InternetLink"/>
                  <w:rFonts w:ascii="Times New Roman;Times;Serif" w:hAnsi="Times New Roman;Times;Serif"/>
                  <w:color w:val="000000"/>
                  <w:sz w:val="17"/>
                </w:rPr>
                <w:t>The Offering</w:t>
              </w:r>
            </w:hyperlink>
          </w:p>
        </w:tc>
        <w:tc>
          <w:tcPr>
            <w:tcW w:w="259" w:type="dxa"/>
            <w:tcBorders/>
            <w:shd w:fill="auto" w:val="clear"/>
            <w:vAlign w:val="bottom"/>
          </w:tcPr>
          <w:p>
            <w:pPr>
              <w:pStyle w:val="TableContents"/>
              <w:spacing w:before="0" w:after="0"/>
              <w:ind w:left="0" w:right="0" w:hanging="0"/>
              <w:jc w:val="right"/>
              <w:rPr>
                <w:color w:val="000000"/>
              </w:rPr>
            </w:pPr>
            <w:r>
              <w:rPr>
                <w:color w:val="000000"/>
              </w:rPr>
              <w:t> </w:t>
            </w:r>
          </w:p>
        </w:tc>
        <w:tc>
          <w:tcPr>
            <w:tcW w:w="654" w:type="dxa"/>
            <w:tcBorders/>
            <w:shd w:fill="auto" w:val="clear"/>
            <w:vAlign w:val="bottom"/>
          </w:tcPr>
          <w:p>
            <w:pPr>
              <w:pStyle w:val="TableContents"/>
              <w:spacing w:before="0" w:after="0"/>
              <w:ind w:left="0" w:right="0" w:hanging="0"/>
              <w:jc w:val="right"/>
              <w:rPr/>
            </w:pPr>
            <w:hyperlink w:anchor="tTO">
              <w:r>
                <w:rPr>
                  <w:rStyle w:val="InternetLink"/>
                  <w:rFonts w:ascii="Times New Roman;Times;Serif" w:hAnsi="Times New Roman;Times;Serif"/>
                  <w:color w:val="000000"/>
                  <w:sz w:val="17"/>
                </w:rPr>
                <w:t>7</w:t>
              </w:r>
            </w:hyperlink>
          </w:p>
        </w:tc>
        <w:tc>
          <w:tcPr>
            <w:tcW w:w="195" w:type="dxa"/>
            <w:tcBorders/>
            <w:shd w:fill="auto" w:val="clear"/>
            <w:vAlign w:val="bottom"/>
          </w:tcPr>
          <w:p>
            <w:pPr>
              <w:pStyle w:val="TableContents"/>
              <w:spacing w:before="0" w:after="0"/>
              <w:ind w:left="0" w:right="0" w:hanging="0"/>
              <w:jc w:val="left"/>
              <w:rPr>
                <w:color w:val="000000"/>
              </w:rPr>
            </w:pPr>
            <w:r>
              <w:rPr>
                <w:color w:val="000000"/>
              </w:rPr>
              <w:t> </w:t>
            </w:r>
          </w:p>
        </w:tc>
      </w:tr>
      <w:tr>
        <w:trPr/>
        <w:tc>
          <w:tcPr>
            <w:tcW w:w="9097" w:type="dxa"/>
            <w:tcBorders/>
            <w:shd w:fill="CCEEFF" w:val="clear"/>
            <w:vAlign w:val="bottom"/>
          </w:tcPr>
          <w:p>
            <w:pPr>
              <w:pStyle w:val="TableContents"/>
              <w:spacing w:before="0" w:after="0"/>
              <w:ind w:left="0" w:right="0" w:firstLine="75"/>
              <w:jc w:val="left"/>
              <w:rPr/>
            </w:pPr>
            <w:hyperlink w:anchor="tRF">
              <w:r>
                <w:rPr>
                  <w:rStyle w:val="InternetLink"/>
                  <w:rFonts w:ascii="Times New Roman;Times;Serif" w:hAnsi="Times New Roman;Times;Serif"/>
                  <w:color w:val="000000"/>
                  <w:sz w:val="17"/>
                </w:rPr>
                <w:t>Risk Factors</w:t>
              </w:r>
            </w:hyperlink>
          </w:p>
        </w:tc>
        <w:tc>
          <w:tcPr>
            <w:tcW w:w="259" w:type="dxa"/>
            <w:tcBorders/>
            <w:shd w:fill="CCEEFF" w:val="clear"/>
            <w:vAlign w:val="bottom"/>
          </w:tcPr>
          <w:p>
            <w:pPr>
              <w:pStyle w:val="TableContents"/>
              <w:spacing w:before="0" w:after="0"/>
              <w:ind w:left="0" w:right="0" w:hanging="0"/>
              <w:jc w:val="right"/>
              <w:rPr>
                <w:color w:val="000000"/>
              </w:rPr>
            </w:pPr>
            <w:r>
              <w:rPr>
                <w:color w:val="000000"/>
              </w:rPr>
              <w:t> </w:t>
            </w:r>
          </w:p>
        </w:tc>
        <w:tc>
          <w:tcPr>
            <w:tcW w:w="654" w:type="dxa"/>
            <w:tcBorders/>
            <w:shd w:fill="CCEEFF" w:val="clear"/>
            <w:vAlign w:val="bottom"/>
          </w:tcPr>
          <w:p>
            <w:pPr>
              <w:pStyle w:val="TableContents"/>
              <w:spacing w:before="0" w:after="0"/>
              <w:ind w:left="0" w:right="0" w:hanging="0"/>
              <w:jc w:val="right"/>
              <w:rPr/>
            </w:pPr>
            <w:hyperlink w:anchor="tRF">
              <w:r>
                <w:rPr>
                  <w:rStyle w:val="InternetLink"/>
                  <w:rFonts w:ascii="Times New Roman;Times;Serif" w:hAnsi="Times New Roman;Times;Serif"/>
                  <w:color w:val="000000"/>
                  <w:sz w:val="17"/>
                </w:rPr>
                <w:t>29</w:t>
              </w:r>
            </w:hyperlink>
          </w:p>
        </w:tc>
        <w:tc>
          <w:tcPr>
            <w:tcW w:w="195" w:type="dxa"/>
            <w:tcBorders/>
            <w:shd w:fill="CCEEFF" w:val="clear"/>
            <w:vAlign w:val="bottom"/>
          </w:tcPr>
          <w:p>
            <w:pPr>
              <w:pStyle w:val="TableContents"/>
              <w:spacing w:before="0" w:after="0"/>
              <w:ind w:left="0" w:right="0" w:hanging="0"/>
              <w:jc w:val="left"/>
              <w:rPr>
                <w:color w:val="000000"/>
              </w:rPr>
            </w:pPr>
            <w:r>
              <w:rPr>
                <w:color w:val="000000"/>
              </w:rPr>
              <w:t> </w:t>
            </w:r>
          </w:p>
        </w:tc>
      </w:tr>
      <w:tr>
        <w:trPr/>
        <w:tc>
          <w:tcPr>
            <w:tcW w:w="9097" w:type="dxa"/>
            <w:tcBorders/>
            <w:shd w:fill="auto" w:val="clear"/>
            <w:vAlign w:val="bottom"/>
          </w:tcPr>
          <w:p>
            <w:pPr>
              <w:pStyle w:val="TableContents"/>
              <w:spacing w:before="0" w:after="0"/>
              <w:ind w:left="0" w:right="0" w:firstLine="75"/>
              <w:jc w:val="left"/>
              <w:rPr/>
            </w:pPr>
            <w:hyperlink w:anchor="tCNR">
              <w:r>
                <w:rPr>
                  <w:rStyle w:val="InternetLink"/>
                  <w:rFonts w:ascii="Times New Roman;Times;Serif" w:hAnsi="Times New Roman;Times;Serif"/>
                  <w:color w:val="000000"/>
                  <w:sz w:val="17"/>
                </w:rPr>
                <w:t>Cautionary Note Regarding Forward-Looking Statements</w:t>
              </w:r>
            </w:hyperlink>
          </w:p>
        </w:tc>
        <w:tc>
          <w:tcPr>
            <w:tcW w:w="259" w:type="dxa"/>
            <w:tcBorders/>
            <w:shd w:fill="auto" w:val="clear"/>
            <w:vAlign w:val="bottom"/>
          </w:tcPr>
          <w:p>
            <w:pPr>
              <w:pStyle w:val="TableContents"/>
              <w:spacing w:before="0" w:after="0"/>
              <w:ind w:left="0" w:right="0" w:hanging="0"/>
              <w:jc w:val="right"/>
              <w:rPr>
                <w:color w:val="000000"/>
              </w:rPr>
            </w:pPr>
            <w:r>
              <w:rPr>
                <w:color w:val="000000"/>
              </w:rPr>
              <w:t> </w:t>
            </w:r>
          </w:p>
        </w:tc>
        <w:tc>
          <w:tcPr>
            <w:tcW w:w="654" w:type="dxa"/>
            <w:tcBorders/>
            <w:shd w:fill="auto" w:val="clear"/>
            <w:vAlign w:val="bottom"/>
          </w:tcPr>
          <w:p>
            <w:pPr>
              <w:pStyle w:val="TableContents"/>
              <w:spacing w:before="0" w:after="0"/>
              <w:ind w:left="0" w:right="0" w:hanging="0"/>
              <w:jc w:val="right"/>
              <w:rPr/>
            </w:pPr>
            <w:hyperlink w:anchor="tCNR">
              <w:r>
                <w:rPr>
                  <w:rStyle w:val="InternetLink"/>
                  <w:rFonts w:ascii="Times New Roman;Times;Serif" w:hAnsi="Times New Roman;Times;Serif"/>
                  <w:color w:val="000000"/>
                  <w:sz w:val="17"/>
                </w:rPr>
                <w:t>71</w:t>
              </w:r>
            </w:hyperlink>
          </w:p>
        </w:tc>
        <w:tc>
          <w:tcPr>
            <w:tcW w:w="195" w:type="dxa"/>
            <w:tcBorders/>
            <w:shd w:fill="auto" w:val="clear"/>
            <w:vAlign w:val="bottom"/>
          </w:tcPr>
          <w:p>
            <w:pPr>
              <w:pStyle w:val="TableContents"/>
              <w:spacing w:before="0" w:after="0"/>
              <w:ind w:left="0" w:right="0" w:hanging="0"/>
              <w:jc w:val="left"/>
              <w:rPr>
                <w:color w:val="000000"/>
              </w:rPr>
            </w:pPr>
            <w:r>
              <w:rPr>
                <w:color w:val="000000"/>
              </w:rPr>
              <w:t> </w:t>
            </w:r>
          </w:p>
        </w:tc>
      </w:tr>
      <w:tr>
        <w:trPr/>
        <w:tc>
          <w:tcPr>
            <w:tcW w:w="9097" w:type="dxa"/>
            <w:tcBorders/>
            <w:shd w:fill="CCEEFF" w:val="clear"/>
            <w:vAlign w:val="bottom"/>
          </w:tcPr>
          <w:p>
            <w:pPr>
              <w:pStyle w:val="TableContents"/>
              <w:spacing w:before="0" w:after="0"/>
              <w:ind w:left="0" w:right="0" w:firstLine="75"/>
              <w:jc w:val="left"/>
              <w:rPr/>
            </w:pPr>
            <w:hyperlink w:anchor="tUOP">
              <w:r>
                <w:rPr>
                  <w:rStyle w:val="InternetLink"/>
                  <w:rFonts w:ascii="Times New Roman;Times;Serif" w:hAnsi="Times New Roman;Times;Serif"/>
                  <w:color w:val="000000"/>
                  <w:sz w:val="17"/>
                </w:rPr>
                <w:t>Use of Proceeds</w:t>
              </w:r>
            </w:hyperlink>
          </w:p>
        </w:tc>
        <w:tc>
          <w:tcPr>
            <w:tcW w:w="259" w:type="dxa"/>
            <w:tcBorders/>
            <w:shd w:fill="CCEEFF" w:val="clear"/>
            <w:vAlign w:val="bottom"/>
          </w:tcPr>
          <w:p>
            <w:pPr>
              <w:pStyle w:val="TableContents"/>
              <w:spacing w:before="0" w:after="0"/>
              <w:ind w:left="0" w:right="0" w:hanging="0"/>
              <w:jc w:val="right"/>
              <w:rPr>
                <w:color w:val="000000"/>
              </w:rPr>
            </w:pPr>
            <w:r>
              <w:rPr>
                <w:color w:val="000000"/>
              </w:rPr>
              <w:t> </w:t>
            </w:r>
          </w:p>
        </w:tc>
        <w:tc>
          <w:tcPr>
            <w:tcW w:w="654" w:type="dxa"/>
            <w:tcBorders/>
            <w:shd w:fill="CCEEFF" w:val="clear"/>
            <w:vAlign w:val="bottom"/>
          </w:tcPr>
          <w:p>
            <w:pPr>
              <w:pStyle w:val="TableContents"/>
              <w:spacing w:before="0" w:after="0"/>
              <w:ind w:left="0" w:right="0" w:hanging="0"/>
              <w:jc w:val="right"/>
              <w:rPr/>
            </w:pPr>
            <w:hyperlink w:anchor="tUOP">
              <w:r>
                <w:rPr>
                  <w:rStyle w:val="InternetLink"/>
                  <w:rFonts w:ascii="Times New Roman;Times;Serif" w:hAnsi="Times New Roman;Times;Serif"/>
                  <w:color w:val="000000"/>
                  <w:sz w:val="17"/>
                </w:rPr>
                <w:t>72</w:t>
              </w:r>
            </w:hyperlink>
          </w:p>
        </w:tc>
        <w:tc>
          <w:tcPr>
            <w:tcW w:w="195" w:type="dxa"/>
            <w:tcBorders/>
            <w:shd w:fill="CCEEFF" w:val="clear"/>
            <w:vAlign w:val="bottom"/>
          </w:tcPr>
          <w:p>
            <w:pPr>
              <w:pStyle w:val="TableContents"/>
              <w:spacing w:before="0" w:after="0"/>
              <w:ind w:left="0" w:right="0" w:hanging="0"/>
              <w:jc w:val="left"/>
              <w:rPr>
                <w:color w:val="000000"/>
              </w:rPr>
            </w:pPr>
            <w:r>
              <w:rPr>
                <w:color w:val="000000"/>
              </w:rPr>
              <w:t> </w:t>
            </w:r>
          </w:p>
        </w:tc>
      </w:tr>
      <w:tr>
        <w:trPr/>
        <w:tc>
          <w:tcPr>
            <w:tcW w:w="9097" w:type="dxa"/>
            <w:tcBorders/>
            <w:shd w:fill="auto" w:val="clear"/>
            <w:vAlign w:val="bottom"/>
          </w:tcPr>
          <w:p>
            <w:pPr>
              <w:pStyle w:val="TableContents"/>
              <w:spacing w:before="0" w:after="0"/>
              <w:ind w:left="0" w:right="0" w:firstLine="75"/>
              <w:jc w:val="left"/>
              <w:rPr/>
            </w:pPr>
            <w:hyperlink w:anchor="tDP">
              <w:r>
                <w:rPr>
                  <w:rStyle w:val="InternetLink"/>
                  <w:rFonts w:ascii="Times New Roman;Times;Serif" w:hAnsi="Times New Roman;Times;Serif"/>
                  <w:color w:val="000000"/>
                  <w:sz w:val="17"/>
                </w:rPr>
                <w:t>Dividend Policy</w:t>
              </w:r>
            </w:hyperlink>
          </w:p>
        </w:tc>
        <w:tc>
          <w:tcPr>
            <w:tcW w:w="259" w:type="dxa"/>
            <w:tcBorders/>
            <w:shd w:fill="auto" w:val="clear"/>
            <w:vAlign w:val="bottom"/>
          </w:tcPr>
          <w:p>
            <w:pPr>
              <w:pStyle w:val="TableContents"/>
              <w:spacing w:before="0" w:after="0"/>
              <w:ind w:left="0" w:right="0" w:hanging="0"/>
              <w:jc w:val="right"/>
              <w:rPr>
                <w:color w:val="000000"/>
              </w:rPr>
            </w:pPr>
            <w:r>
              <w:rPr>
                <w:color w:val="000000"/>
              </w:rPr>
              <w:t> </w:t>
            </w:r>
          </w:p>
        </w:tc>
        <w:tc>
          <w:tcPr>
            <w:tcW w:w="654" w:type="dxa"/>
            <w:tcBorders/>
            <w:shd w:fill="auto" w:val="clear"/>
            <w:vAlign w:val="bottom"/>
          </w:tcPr>
          <w:p>
            <w:pPr>
              <w:pStyle w:val="TableContents"/>
              <w:spacing w:before="0" w:after="0"/>
              <w:ind w:left="0" w:right="0" w:hanging="0"/>
              <w:jc w:val="right"/>
              <w:rPr/>
            </w:pPr>
            <w:hyperlink w:anchor="tDP">
              <w:r>
                <w:rPr>
                  <w:rStyle w:val="InternetLink"/>
                  <w:rFonts w:ascii="Times New Roman;Times;Serif" w:hAnsi="Times New Roman;Times;Serif"/>
                  <w:color w:val="000000"/>
                  <w:sz w:val="17"/>
                </w:rPr>
                <w:t>76</w:t>
              </w:r>
            </w:hyperlink>
          </w:p>
        </w:tc>
        <w:tc>
          <w:tcPr>
            <w:tcW w:w="195" w:type="dxa"/>
            <w:tcBorders/>
            <w:shd w:fill="auto" w:val="clear"/>
            <w:vAlign w:val="bottom"/>
          </w:tcPr>
          <w:p>
            <w:pPr>
              <w:pStyle w:val="TableContents"/>
              <w:spacing w:before="0" w:after="0"/>
              <w:ind w:left="0" w:right="0" w:hanging="0"/>
              <w:jc w:val="left"/>
              <w:rPr>
                <w:color w:val="000000"/>
              </w:rPr>
            </w:pPr>
            <w:r>
              <w:rPr>
                <w:color w:val="000000"/>
              </w:rPr>
              <w:t> </w:t>
            </w:r>
          </w:p>
        </w:tc>
      </w:tr>
      <w:tr>
        <w:trPr/>
        <w:tc>
          <w:tcPr>
            <w:tcW w:w="9097" w:type="dxa"/>
            <w:tcBorders/>
            <w:shd w:fill="CCEEFF" w:val="clear"/>
            <w:vAlign w:val="bottom"/>
          </w:tcPr>
          <w:p>
            <w:pPr>
              <w:pStyle w:val="TableContents"/>
              <w:spacing w:before="0" w:after="0"/>
              <w:ind w:left="0" w:right="0" w:firstLine="75"/>
              <w:jc w:val="left"/>
              <w:rPr/>
            </w:pPr>
            <w:hyperlink w:anchor="tDI">
              <w:r>
                <w:rPr>
                  <w:rStyle w:val="InternetLink"/>
                  <w:rFonts w:ascii="Times New Roman;Times;Serif" w:hAnsi="Times New Roman;Times;Serif"/>
                  <w:color w:val="000000"/>
                  <w:sz w:val="17"/>
                </w:rPr>
                <w:t>Dilution</w:t>
              </w:r>
            </w:hyperlink>
          </w:p>
        </w:tc>
        <w:tc>
          <w:tcPr>
            <w:tcW w:w="259" w:type="dxa"/>
            <w:tcBorders/>
            <w:shd w:fill="CCEEFF" w:val="clear"/>
            <w:vAlign w:val="bottom"/>
          </w:tcPr>
          <w:p>
            <w:pPr>
              <w:pStyle w:val="TableContents"/>
              <w:spacing w:before="0" w:after="0"/>
              <w:ind w:left="0" w:right="0" w:hanging="0"/>
              <w:jc w:val="right"/>
              <w:rPr>
                <w:color w:val="000000"/>
              </w:rPr>
            </w:pPr>
            <w:r>
              <w:rPr>
                <w:color w:val="000000"/>
              </w:rPr>
              <w:t> </w:t>
            </w:r>
          </w:p>
        </w:tc>
        <w:tc>
          <w:tcPr>
            <w:tcW w:w="654" w:type="dxa"/>
            <w:tcBorders/>
            <w:shd w:fill="CCEEFF" w:val="clear"/>
            <w:vAlign w:val="bottom"/>
          </w:tcPr>
          <w:p>
            <w:pPr>
              <w:pStyle w:val="TableContents"/>
              <w:spacing w:before="0" w:after="0"/>
              <w:ind w:left="0" w:right="0" w:hanging="0"/>
              <w:jc w:val="right"/>
              <w:rPr/>
            </w:pPr>
            <w:hyperlink w:anchor="tDI">
              <w:r>
                <w:rPr>
                  <w:rStyle w:val="InternetLink"/>
                  <w:rFonts w:ascii="Times New Roman;Times;Serif" w:hAnsi="Times New Roman;Times;Serif"/>
                  <w:color w:val="000000"/>
                  <w:sz w:val="17"/>
                </w:rPr>
                <w:t>77</w:t>
              </w:r>
            </w:hyperlink>
          </w:p>
        </w:tc>
        <w:tc>
          <w:tcPr>
            <w:tcW w:w="195" w:type="dxa"/>
            <w:tcBorders/>
            <w:shd w:fill="CCEEFF" w:val="clear"/>
            <w:vAlign w:val="bottom"/>
          </w:tcPr>
          <w:p>
            <w:pPr>
              <w:pStyle w:val="TableContents"/>
              <w:spacing w:before="0" w:after="0"/>
              <w:ind w:left="0" w:right="0" w:hanging="0"/>
              <w:jc w:val="left"/>
              <w:rPr>
                <w:color w:val="000000"/>
              </w:rPr>
            </w:pPr>
            <w:r>
              <w:rPr>
                <w:color w:val="000000"/>
              </w:rPr>
              <w:t> </w:t>
            </w:r>
          </w:p>
        </w:tc>
      </w:tr>
      <w:tr>
        <w:trPr/>
        <w:tc>
          <w:tcPr>
            <w:tcW w:w="9097" w:type="dxa"/>
            <w:tcBorders/>
            <w:shd w:fill="auto" w:val="clear"/>
            <w:vAlign w:val="bottom"/>
          </w:tcPr>
          <w:p>
            <w:pPr>
              <w:pStyle w:val="TableContents"/>
              <w:spacing w:before="0" w:after="0"/>
              <w:ind w:left="0" w:right="0" w:firstLine="75"/>
              <w:jc w:val="left"/>
              <w:rPr/>
            </w:pPr>
            <w:hyperlink w:anchor="tCAP">
              <w:r>
                <w:rPr>
                  <w:rStyle w:val="InternetLink"/>
                  <w:rFonts w:ascii="Times New Roman;Times;Serif" w:hAnsi="Times New Roman;Times;Serif"/>
                  <w:color w:val="000000"/>
                  <w:sz w:val="17"/>
                </w:rPr>
                <w:t>Capitalization</w:t>
              </w:r>
            </w:hyperlink>
          </w:p>
        </w:tc>
        <w:tc>
          <w:tcPr>
            <w:tcW w:w="259" w:type="dxa"/>
            <w:tcBorders/>
            <w:shd w:fill="auto" w:val="clear"/>
            <w:vAlign w:val="bottom"/>
          </w:tcPr>
          <w:p>
            <w:pPr>
              <w:pStyle w:val="TableContents"/>
              <w:spacing w:before="0" w:after="0"/>
              <w:ind w:left="0" w:right="0" w:hanging="0"/>
              <w:jc w:val="right"/>
              <w:rPr>
                <w:color w:val="000000"/>
              </w:rPr>
            </w:pPr>
            <w:r>
              <w:rPr>
                <w:color w:val="000000"/>
              </w:rPr>
              <w:t> </w:t>
            </w:r>
          </w:p>
        </w:tc>
        <w:tc>
          <w:tcPr>
            <w:tcW w:w="654" w:type="dxa"/>
            <w:tcBorders/>
            <w:shd w:fill="auto" w:val="clear"/>
            <w:vAlign w:val="bottom"/>
          </w:tcPr>
          <w:p>
            <w:pPr>
              <w:pStyle w:val="TableContents"/>
              <w:spacing w:before="0" w:after="0"/>
              <w:ind w:left="0" w:right="0" w:hanging="0"/>
              <w:jc w:val="right"/>
              <w:rPr/>
            </w:pPr>
            <w:hyperlink w:anchor="tCAP">
              <w:r>
                <w:rPr>
                  <w:rStyle w:val="InternetLink"/>
                  <w:rFonts w:ascii="Times New Roman;Times;Serif" w:hAnsi="Times New Roman;Times;Serif"/>
                  <w:color w:val="000000"/>
                  <w:sz w:val="17"/>
                </w:rPr>
                <w:t>79</w:t>
              </w:r>
            </w:hyperlink>
          </w:p>
        </w:tc>
        <w:tc>
          <w:tcPr>
            <w:tcW w:w="195" w:type="dxa"/>
            <w:tcBorders/>
            <w:shd w:fill="auto" w:val="clear"/>
            <w:vAlign w:val="bottom"/>
          </w:tcPr>
          <w:p>
            <w:pPr>
              <w:pStyle w:val="TableContents"/>
              <w:spacing w:before="0" w:after="0"/>
              <w:ind w:left="0" w:right="0" w:hanging="0"/>
              <w:jc w:val="left"/>
              <w:rPr>
                <w:color w:val="000000"/>
              </w:rPr>
            </w:pPr>
            <w:r>
              <w:rPr>
                <w:color w:val="000000"/>
              </w:rPr>
              <w:t> </w:t>
            </w:r>
          </w:p>
        </w:tc>
      </w:tr>
      <w:tr>
        <w:trPr/>
        <w:tc>
          <w:tcPr>
            <w:tcW w:w="9097" w:type="dxa"/>
            <w:tcBorders/>
            <w:shd w:fill="CCEEFF" w:val="clear"/>
            <w:vAlign w:val="bottom"/>
          </w:tcPr>
          <w:p>
            <w:pPr>
              <w:pStyle w:val="TableContents"/>
              <w:spacing w:before="0" w:after="0"/>
              <w:ind w:left="0" w:right="0" w:firstLine="75"/>
              <w:jc w:val="left"/>
              <w:rPr/>
            </w:pPr>
            <w:hyperlink w:anchor="tMDA">
              <w:r>
                <w:rPr>
                  <w:rStyle w:val="InternetLink"/>
                  <w:rFonts w:ascii="Times New Roman;Times;Serif" w:hAnsi="Times New Roman;Times;Serif"/>
                  <w:color w:val="000000"/>
                  <w:sz w:val="17"/>
                </w:rPr>
                <w:t>Management’s Discussion and Analysis of Financial Condition and Results of Operations</w:t>
              </w:r>
            </w:hyperlink>
          </w:p>
        </w:tc>
        <w:tc>
          <w:tcPr>
            <w:tcW w:w="259" w:type="dxa"/>
            <w:tcBorders/>
            <w:shd w:fill="CCEEFF" w:val="clear"/>
            <w:vAlign w:val="bottom"/>
          </w:tcPr>
          <w:p>
            <w:pPr>
              <w:pStyle w:val="TableContents"/>
              <w:spacing w:before="0" w:after="0"/>
              <w:ind w:left="0" w:right="0" w:hanging="0"/>
              <w:jc w:val="right"/>
              <w:rPr>
                <w:color w:val="000000"/>
              </w:rPr>
            </w:pPr>
            <w:r>
              <w:rPr>
                <w:color w:val="000000"/>
              </w:rPr>
              <w:t> </w:t>
            </w:r>
          </w:p>
        </w:tc>
        <w:tc>
          <w:tcPr>
            <w:tcW w:w="654" w:type="dxa"/>
            <w:tcBorders/>
            <w:shd w:fill="CCEEFF" w:val="clear"/>
            <w:vAlign w:val="bottom"/>
          </w:tcPr>
          <w:p>
            <w:pPr>
              <w:pStyle w:val="TableContents"/>
              <w:spacing w:before="0" w:after="0"/>
              <w:ind w:left="0" w:right="0" w:hanging="0"/>
              <w:jc w:val="right"/>
              <w:rPr/>
            </w:pPr>
            <w:hyperlink w:anchor="tMDA">
              <w:r>
                <w:rPr>
                  <w:rStyle w:val="InternetLink"/>
                  <w:rFonts w:ascii="Times New Roman;Times;Serif" w:hAnsi="Times New Roman;Times;Serif"/>
                  <w:color w:val="000000"/>
                  <w:sz w:val="17"/>
                </w:rPr>
                <w:t>80</w:t>
              </w:r>
            </w:hyperlink>
          </w:p>
        </w:tc>
        <w:tc>
          <w:tcPr>
            <w:tcW w:w="195" w:type="dxa"/>
            <w:tcBorders/>
            <w:shd w:fill="CCEEFF" w:val="clear"/>
            <w:vAlign w:val="bottom"/>
          </w:tcPr>
          <w:p>
            <w:pPr>
              <w:pStyle w:val="TableContents"/>
              <w:spacing w:before="0" w:after="0"/>
              <w:ind w:left="0" w:right="0" w:hanging="0"/>
              <w:jc w:val="left"/>
              <w:rPr>
                <w:color w:val="000000"/>
              </w:rPr>
            </w:pPr>
            <w:r>
              <w:rPr>
                <w:color w:val="000000"/>
              </w:rPr>
              <w:t> </w:t>
            </w:r>
          </w:p>
        </w:tc>
      </w:tr>
      <w:tr>
        <w:trPr/>
        <w:tc>
          <w:tcPr>
            <w:tcW w:w="9097" w:type="dxa"/>
            <w:tcBorders/>
            <w:shd w:fill="auto" w:val="clear"/>
            <w:vAlign w:val="bottom"/>
          </w:tcPr>
          <w:p>
            <w:pPr>
              <w:pStyle w:val="TableContents"/>
              <w:spacing w:before="0" w:after="0"/>
              <w:ind w:left="0" w:right="0" w:firstLine="75"/>
              <w:jc w:val="left"/>
              <w:rPr/>
            </w:pPr>
            <w:hyperlink w:anchor="tPBU">
              <w:r>
                <w:rPr>
                  <w:rStyle w:val="InternetLink"/>
                  <w:rFonts w:ascii="Times New Roman;Times;Serif" w:hAnsi="Times New Roman;Times;Serif"/>
                  <w:color w:val="000000"/>
                  <w:sz w:val="17"/>
                </w:rPr>
                <w:t>Proposed Business</w:t>
              </w:r>
            </w:hyperlink>
          </w:p>
        </w:tc>
        <w:tc>
          <w:tcPr>
            <w:tcW w:w="259" w:type="dxa"/>
            <w:tcBorders/>
            <w:shd w:fill="auto" w:val="clear"/>
            <w:vAlign w:val="bottom"/>
          </w:tcPr>
          <w:p>
            <w:pPr>
              <w:pStyle w:val="TableContents"/>
              <w:spacing w:before="0" w:after="0"/>
              <w:ind w:left="0" w:right="0" w:hanging="0"/>
              <w:jc w:val="right"/>
              <w:rPr>
                <w:color w:val="000000"/>
              </w:rPr>
            </w:pPr>
            <w:r>
              <w:rPr>
                <w:color w:val="000000"/>
              </w:rPr>
              <w:t> </w:t>
            </w:r>
          </w:p>
        </w:tc>
        <w:tc>
          <w:tcPr>
            <w:tcW w:w="654" w:type="dxa"/>
            <w:tcBorders/>
            <w:shd w:fill="auto" w:val="clear"/>
            <w:vAlign w:val="bottom"/>
          </w:tcPr>
          <w:p>
            <w:pPr>
              <w:pStyle w:val="TableContents"/>
              <w:spacing w:before="0" w:after="0"/>
              <w:ind w:left="0" w:right="0" w:hanging="0"/>
              <w:jc w:val="right"/>
              <w:rPr/>
            </w:pPr>
            <w:hyperlink w:anchor="tPBU">
              <w:r>
                <w:rPr>
                  <w:rStyle w:val="InternetLink"/>
                  <w:rFonts w:ascii="Times New Roman;Times;Serif" w:hAnsi="Times New Roman;Times;Serif"/>
                  <w:color w:val="000000"/>
                  <w:sz w:val="17"/>
                </w:rPr>
                <w:t>85</w:t>
              </w:r>
            </w:hyperlink>
          </w:p>
        </w:tc>
        <w:tc>
          <w:tcPr>
            <w:tcW w:w="195" w:type="dxa"/>
            <w:tcBorders/>
            <w:shd w:fill="auto" w:val="clear"/>
            <w:vAlign w:val="bottom"/>
          </w:tcPr>
          <w:p>
            <w:pPr>
              <w:pStyle w:val="TableContents"/>
              <w:spacing w:before="0" w:after="0"/>
              <w:ind w:left="0" w:right="0" w:hanging="0"/>
              <w:jc w:val="left"/>
              <w:rPr>
                <w:color w:val="000000"/>
              </w:rPr>
            </w:pPr>
            <w:r>
              <w:rPr>
                <w:color w:val="000000"/>
              </w:rPr>
              <w:t> </w:t>
            </w:r>
          </w:p>
        </w:tc>
      </w:tr>
      <w:tr>
        <w:trPr/>
        <w:tc>
          <w:tcPr>
            <w:tcW w:w="9097" w:type="dxa"/>
            <w:tcBorders/>
            <w:shd w:fill="CCEEFF" w:val="clear"/>
            <w:vAlign w:val="bottom"/>
          </w:tcPr>
          <w:p>
            <w:pPr>
              <w:pStyle w:val="TableContents"/>
              <w:spacing w:before="0" w:after="0"/>
              <w:ind w:left="0" w:right="0" w:firstLine="75"/>
              <w:jc w:val="left"/>
              <w:rPr/>
            </w:pPr>
            <w:hyperlink w:anchor="tMAN">
              <w:r>
                <w:rPr>
                  <w:rStyle w:val="InternetLink"/>
                  <w:rFonts w:ascii="Times New Roman;Times;Serif" w:hAnsi="Times New Roman;Times;Serif"/>
                  <w:color w:val="000000"/>
                  <w:sz w:val="17"/>
                </w:rPr>
                <w:t>Management</w:t>
              </w:r>
            </w:hyperlink>
          </w:p>
        </w:tc>
        <w:tc>
          <w:tcPr>
            <w:tcW w:w="259" w:type="dxa"/>
            <w:tcBorders/>
            <w:shd w:fill="CCEEFF" w:val="clear"/>
            <w:vAlign w:val="bottom"/>
          </w:tcPr>
          <w:p>
            <w:pPr>
              <w:pStyle w:val="TableContents"/>
              <w:spacing w:before="0" w:after="0"/>
              <w:ind w:left="0" w:right="0" w:hanging="0"/>
              <w:jc w:val="right"/>
              <w:rPr>
                <w:color w:val="000000"/>
              </w:rPr>
            </w:pPr>
            <w:r>
              <w:rPr>
                <w:color w:val="000000"/>
              </w:rPr>
              <w:t> </w:t>
            </w:r>
          </w:p>
        </w:tc>
        <w:tc>
          <w:tcPr>
            <w:tcW w:w="654" w:type="dxa"/>
            <w:tcBorders/>
            <w:shd w:fill="CCEEFF" w:val="clear"/>
            <w:vAlign w:val="bottom"/>
          </w:tcPr>
          <w:p>
            <w:pPr>
              <w:pStyle w:val="TableContents"/>
              <w:spacing w:before="0" w:after="0"/>
              <w:ind w:left="0" w:right="0" w:hanging="0"/>
              <w:jc w:val="right"/>
              <w:rPr/>
            </w:pPr>
            <w:hyperlink w:anchor="tMAN">
              <w:r>
                <w:rPr>
                  <w:rStyle w:val="InternetLink"/>
                  <w:rFonts w:ascii="Times New Roman;Times;Serif" w:hAnsi="Times New Roman;Times;Serif"/>
                  <w:color w:val="000000"/>
                  <w:sz w:val="17"/>
                </w:rPr>
                <w:t>111</w:t>
              </w:r>
            </w:hyperlink>
          </w:p>
        </w:tc>
        <w:tc>
          <w:tcPr>
            <w:tcW w:w="195" w:type="dxa"/>
            <w:tcBorders/>
            <w:shd w:fill="CCEEFF" w:val="clear"/>
            <w:vAlign w:val="bottom"/>
          </w:tcPr>
          <w:p>
            <w:pPr>
              <w:pStyle w:val="TableContents"/>
              <w:spacing w:before="0" w:after="0"/>
              <w:ind w:left="0" w:right="0" w:hanging="0"/>
              <w:jc w:val="left"/>
              <w:rPr>
                <w:color w:val="000000"/>
              </w:rPr>
            </w:pPr>
            <w:r>
              <w:rPr>
                <w:color w:val="000000"/>
              </w:rPr>
              <w:t> </w:t>
            </w:r>
          </w:p>
        </w:tc>
      </w:tr>
      <w:tr>
        <w:trPr/>
        <w:tc>
          <w:tcPr>
            <w:tcW w:w="9097" w:type="dxa"/>
            <w:tcBorders/>
            <w:shd w:fill="auto" w:val="clear"/>
            <w:vAlign w:val="bottom"/>
          </w:tcPr>
          <w:p>
            <w:pPr>
              <w:pStyle w:val="TableContents"/>
              <w:spacing w:before="0" w:after="0"/>
              <w:ind w:left="0" w:right="0" w:firstLine="75"/>
              <w:jc w:val="left"/>
              <w:rPr/>
            </w:pPr>
            <w:hyperlink w:anchor="tPS">
              <w:r>
                <w:rPr>
                  <w:rStyle w:val="InternetLink"/>
                  <w:rFonts w:ascii="Times New Roman;Times;Serif" w:hAnsi="Times New Roman;Times;Serif"/>
                  <w:color w:val="000000"/>
                  <w:sz w:val="17"/>
                </w:rPr>
                <w:t>Principal Shareholders</w:t>
              </w:r>
            </w:hyperlink>
          </w:p>
        </w:tc>
        <w:tc>
          <w:tcPr>
            <w:tcW w:w="259" w:type="dxa"/>
            <w:tcBorders/>
            <w:shd w:fill="auto" w:val="clear"/>
            <w:vAlign w:val="bottom"/>
          </w:tcPr>
          <w:p>
            <w:pPr>
              <w:pStyle w:val="TableContents"/>
              <w:spacing w:before="0" w:after="0"/>
              <w:ind w:left="0" w:right="0" w:hanging="0"/>
              <w:jc w:val="right"/>
              <w:rPr>
                <w:color w:val="000000"/>
              </w:rPr>
            </w:pPr>
            <w:r>
              <w:rPr>
                <w:color w:val="000000"/>
              </w:rPr>
              <w:t> </w:t>
            </w:r>
          </w:p>
        </w:tc>
        <w:tc>
          <w:tcPr>
            <w:tcW w:w="654" w:type="dxa"/>
            <w:tcBorders/>
            <w:shd w:fill="auto" w:val="clear"/>
            <w:vAlign w:val="bottom"/>
          </w:tcPr>
          <w:p>
            <w:pPr>
              <w:pStyle w:val="TableContents"/>
              <w:spacing w:before="0" w:after="0"/>
              <w:ind w:left="0" w:right="0" w:hanging="0"/>
              <w:jc w:val="right"/>
              <w:rPr/>
            </w:pPr>
            <w:hyperlink w:anchor="tPS">
              <w:r>
                <w:rPr>
                  <w:rStyle w:val="InternetLink"/>
                  <w:rFonts w:ascii="Times New Roman;Times;Serif" w:hAnsi="Times New Roman;Times;Serif"/>
                  <w:color w:val="000000"/>
                  <w:sz w:val="17"/>
                </w:rPr>
                <w:t>120</w:t>
              </w:r>
            </w:hyperlink>
          </w:p>
        </w:tc>
        <w:tc>
          <w:tcPr>
            <w:tcW w:w="195" w:type="dxa"/>
            <w:tcBorders/>
            <w:shd w:fill="auto" w:val="clear"/>
            <w:vAlign w:val="bottom"/>
          </w:tcPr>
          <w:p>
            <w:pPr>
              <w:pStyle w:val="TableContents"/>
              <w:spacing w:before="0" w:after="0"/>
              <w:ind w:left="0" w:right="0" w:hanging="0"/>
              <w:jc w:val="left"/>
              <w:rPr>
                <w:color w:val="000000"/>
              </w:rPr>
            </w:pPr>
            <w:r>
              <w:rPr>
                <w:color w:val="000000"/>
              </w:rPr>
              <w:t> </w:t>
            </w:r>
          </w:p>
        </w:tc>
      </w:tr>
      <w:tr>
        <w:trPr/>
        <w:tc>
          <w:tcPr>
            <w:tcW w:w="9097" w:type="dxa"/>
            <w:tcBorders/>
            <w:shd w:fill="CCEEFF" w:val="clear"/>
            <w:vAlign w:val="bottom"/>
          </w:tcPr>
          <w:p>
            <w:pPr>
              <w:pStyle w:val="TableContents"/>
              <w:spacing w:before="0" w:after="0"/>
              <w:ind w:left="0" w:right="0" w:firstLine="75"/>
              <w:jc w:val="left"/>
              <w:rPr/>
            </w:pPr>
            <w:hyperlink w:anchor="tCRR">
              <w:r>
                <w:rPr>
                  <w:rStyle w:val="InternetLink"/>
                  <w:rFonts w:ascii="Times New Roman;Times;Serif" w:hAnsi="Times New Roman;Times;Serif"/>
                  <w:color w:val="000000"/>
                  <w:sz w:val="17"/>
                </w:rPr>
                <w:t>Certain Relationships and Related Party Transactions</w:t>
              </w:r>
            </w:hyperlink>
          </w:p>
        </w:tc>
        <w:tc>
          <w:tcPr>
            <w:tcW w:w="259" w:type="dxa"/>
            <w:tcBorders/>
            <w:shd w:fill="CCEEFF" w:val="clear"/>
            <w:vAlign w:val="bottom"/>
          </w:tcPr>
          <w:p>
            <w:pPr>
              <w:pStyle w:val="TableContents"/>
              <w:spacing w:before="0" w:after="0"/>
              <w:ind w:left="0" w:right="0" w:hanging="0"/>
              <w:jc w:val="right"/>
              <w:rPr>
                <w:color w:val="000000"/>
              </w:rPr>
            </w:pPr>
            <w:r>
              <w:rPr>
                <w:color w:val="000000"/>
              </w:rPr>
              <w:t> </w:t>
            </w:r>
          </w:p>
        </w:tc>
        <w:tc>
          <w:tcPr>
            <w:tcW w:w="654" w:type="dxa"/>
            <w:tcBorders/>
            <w:shd w:fill="CCEEFF" w:val="clear"/>
            <w:vAlign w:val="bottom"/>
          </w:tcPr>
          <w:p>
            <w:pPr>
              <w:pStyle w:val="TableContents"/>
              <w:spacing w:before="0" w:after="0"/>
              <w:ind w:left="0" w:right="0" w:hanging="0"/>
              <w:jc w:val="right"/>
              <w:rPr/>
            </w:pPr>
            <w:hyperlink w:anchor="tCRR">
              <w:r>
                <w:rPr>
                  <w:rStyle w:val="InternetLink"/>
                  <w:rFonts w:ascii="Times New Roman;Times;Serif" w:hAnsi="Times New Roman;Times;Serif"/>
                  <w:color w:val="000000"/>
                  <w:sz w:val="17"/>
                </w:rPr>
                <w:t>123</w:t>
              </w:r>
            </w:hyperlink>
          </w:p>
        </w:tc>
        <w:tc>
          <w:tcPr>
            <w:tcW w:w="195" w:type="dxa"/>
            <w:tcBorders/>
            <w:shd w:fill="CCEEFF" w:val="clear"/>
            <w:vAlign w:val="bottom"/>
          </w:tcPr>
          <w:p>
            <w:pPr>
              <w:pStyle w:val="TableContents"/>
              <w:spacing w:before="0" w:after="0"/>
              <w:ind w:left="0" w:right="0" w:hanging="0"/>
              <w:jc w:val="left"/>
              <w:rPr>
                <w:color w:val="000000"/>
              </w:rPr>
            </w:pPr>
            <w:r>
              <w:rPr>
                <w:color w:val="000000"/>
              </w:rPr>
              <w:t> </w:t>
            </w:r>
          </w:p>
        </w:tc>
      </w:tr>
      <w:tr>
        <w:trPr/>
        <w:tc>
          <w:tcPr>
            <w:tcW w:w="9097" w:type="dxa"/>
            <w:tcBorders/>
            <w:shd w:fill="auto" w:val="clear"/>
            <w:vAlign w:val="bottom"/>
          </w:tcPr>
          <w:p>
            <w:pPr>
              <w:pStyle w:val="TableContents"/>
              <w:spacing w:before="0" w:after="0"/>
              <w:ind w:left="0" w:right="0" w:firstLine="75"/>
              <w:jc w:val="left"/>
              <w:rPr/>
            </w:pPr>
            <w:hyperlink w:anchor="tDOS">
              <w:r>
                <w:rPr>
                  <w:rStyle w:val="InternetLink"/>
                  <w:rFonts w:ascii="Times New Roman;Times;Serif" w:hAnsi="Times New Roman;Times;Serif"/>
                  <w:color w:val="000000"/>
                  <w:sz w:val="17"/>
                </w:rPr>
                <w:t>Description of Securities</w:t>
              </w:r>
            </w:hyperlink>
          </w:p>
        </w:tc>
        <w:tc>
          <w:tcPr>
            <w:tcW w:w="259" w:type="dxa"/>
            <w:tcBorders/>
            <w:shd w:fill="auto" w:val="clear"/>
            <w:vAlign w:val="bottom"/>
          </w:tcPr>
          <w:p>
            <w:pPr>
              <w:pStyle w:val="TableContents"/>
              <w:spacing w:before="0" w:after="0"/>
              <w:ind w:left="0" w:right="0" w:hanging="0"/>
              <w:jc w:val="right"/>
              <w:rPr>
                <w:color w:val="000000"/>
              </w:rPr>
            </w:pPr>
            <w:r>
              <w:rPr>
                <w:color w:val="000000"/>
              </w:rPr>
              <w:t> </w:t>
            </w:r>
          </w:p>
        </w:tc>
        <w:tc>
          <w:tcPr>
            <w:tcW w:w="654" w:type="dxa"/>
            <w:tcBorders/>
            <w:shd w:fill="auto" w:val="clear"/>
            <w:vAlign w:val="bottom"/>
          </w:tcPr>
          <w:p>
            <w:pPr>
              <w:pStyle w:val="TableContents"/>
              <w:spacing w:before="0" w:after="0"/>
              <w:ind w:left="0" w:right="0" w:hanging="0"/>
              <w:jc w:val="right"/>
              <w:rPr/>
            </w:pPr>
            <w:hyperlink w:anchor="tDOS">
              <w:r>
                <w:rPr>
                  <w:rStyle w:val="InternetLink"/>
                  <w:rFonts w:ascii="Times New Roman;Times;Serif" w:hAnsi="Times New Roman;Times;Serif"/>
                  <w:color w:val="000000"/>
                  <w:sz w:val="17"/>
                </w:rPr>
                <w:t>126</w:t>
              </w:r>
            </w:hyperlink>
          </w:p>
        </w:tc>
        <w:tc>
          <w:tcPr>
            <w:tcW w:w="195" w:type="dxa"/>
            <w:tcBorders/>
            <w:shd w:fill="auto" w:val="clear"/>
            <w:vAlign w:val="bottom"/>
          </w:tcPr>
          <w:p>
            <w:pPr>
              <w:pStyle w:val="TableContents"/>
              <w:spacing w:before="0" w:after="0"/>
              <w:ind w:left="0" w:right="0" w:hanging="0"/>
              <w:jc w:val="left"/>
              <w:rPr>
                <w:color w:val="000000"/>
              </w:rPr>
            </w:pPr>
            <w:r>
              <w:rPr>
                <w:color w:val="000000"/>
              </w:rPr>
              <w:t> </w:t>
            </w:r>
          </w:p>
        </w:tc>
      </w:tr>
      <w:tr>
        <w:trPr/>
        <w:tc>
          <w:tcPr>
            <w:tcW w:w="9097" w:type="dxa"/>
            <w:tcBorders/>
            <w:shd w:fill="CCEEFF" w:val="clear"/>
            <w:vAlign w:val="bottom"/>
          </w:tcPr>
          <w:p>
            <w:pPr>
              <w:pStyle w:val="TableContents"/>
              <w:spacing w:before="0" w:after="0"/>
              <w:ind w:left="0" w:right="0" w:firstLine="75"/>
              <w:jc w:val="left"/>
              <w:rPr/>
            </w:pPr>
            <w:hyperlink w:anchor="tITC">
              <w:r>
                <w:rPr>
                  <w:rStyle w:val="InternetLink"/>
                  <w:rFonts w:ascii="Times New Roman;Times;Serif" w:hAnsi="Times New Roman;Times;Serif"/>
                  <w:color w:val="000000"/>
                  <w:sz w:val="17"/>
                </w:rPr>
                <w:t>Income Tax Considerations</w:t>
              </w:r>
            </w:hyperlink>
          </w:p>
        </w:tc>
        <w:tc>
          <w:tcPr>
            <w:tcW w:w="259" w:type="dxa"/>
            <w:tcBorders/>
            <w:shd w:fill="CCEEFF" w:val="clear"/>
            <w:vAlign w:val="bottom"/>
          </w:tcPr>
          <w:p>
            <w:pPr>
              <w:pStyle w:val="TableContents"/>
              <w:spacing w:before="0" w:after="0"/>
              <w:ind w:left="0" w:right="0" w:hanging="0"/>
              <w:jc w:val="right"/>
              <w:rPr>
                <w:color w:val="000000"/>
              </w:rPr>
            </w:pPr>
            <w:r>
              <w:rPr>
                <w:color w:val="000000"/>
              </w:rPr>
              <w:t> </w:t>
            </w:r>
          </w:p>
        </w:tc>
        <w:tc>
          <w:tcPr>
            <w:tcW w:w="654" w:type="dxa"/>
            <w:tcBorders/>
            <w:shd w:fill="CCEEFF" w:val="clear"/>
            <w:vAlign w:val="bottom"/>
          </w:tcPr>
          <w:p>
            <w:pPr>
              <w:pStyle w:val="TableContents"/>
              <w:spacing w:before="0" w:after="0"/>
              <w:ind w:left="0" w:right="0" w:hanging="0"/>
              <w:jc w:val="right"/>
              <w:rPr/>
            </w:pPr>
            <w:hyperlink w:anchor="tITC">
              <w:r>
                <w:rPr>
                  <w:rStyle w:val="InternetLink"/>
                  <w:rFonts w:ascii="Times New Roman;Times;Serif" w:hAnsi="Times New Roman;Times;Serif"/>
                  <w:color w:val="000000"/>
                  <w:sz w:val="17"/>
                </w:rPr>
                <w:t>143</w:t>
              </w:r>
            </w:hyperlink>
          </w:p>
        </w:tc>
        <w:tc>
          <w:tcPr>
            <w:tcW w:w="195" w:type="dxa"/>
            <w:tcBorders/>
            <w:shd w:fill="CCEEFF" w:val="clear"/>
            <w:vAlign w:val="bottom"/>
          </w:tcPr>
          <w:p>
            <w:pPr>
              <w:pStyle w:val="TableContents"/>
              <w:spacing w:before="0" w:after="0"/>
              <w:ind w:left="0" w:right="0" w:hanging="0"/>
              <w:jc w:val="left"/>
              <w:rPr>
                <w:color w:val="000000"/>
              </w:rPr>
            </w:pPr>
            <w:r>
              <w:rPr>
                <w:color w:val="000000"/>
              </w:rPr>
              <w:t> </w:t>
            </w:r>
          </w:p>
        </w:tc>
      </w:tr>
      <w:tr>
        <w:trPr/>
        <w:tc>
          <w:tcPr>
            <w:tcW w:w="9097" w:type="dxa"/>
            <w:tcBorders/>
            <w:shd w:fill="auto" w:val="clear"/>
            <w:vAlign w:val="bottom"/>
          </w:tcPr>
          <w:p>
            <w:pPr>
              <w:pStyle w:val="TableContents"/>
              <w:spacing w:before="0" w:after="0"/>
              <w:ind w:left="0" w:right="0" w:firstLine="75"/>
              <w:jc w:val="left"/>
              <w:rPr/>
            </w:pPr>
            <w:hyperlink w:anchor="tUNDER">
              <w:r>
                <w:rPr>
                  <w:rStyle w:val="InternetLink"/>
                  <w:rFonts w:ascii="Times New Roman;Times;Serif" w:hAnsi="Times New Roman;Times;Serif"/>
                  <w:color w:val="000000"/>
                  <w:sz w:val="17"/>
                </w:rPr>
                <w:t>Underwriting</w:t>
              </w:r>
            </w:hyperlink>
          </w:p>
        </w:tc>
        <w:tc>
          <w:tcPr>
            <w:tcW w:w="259" w:type="dxa"/>
            <w:tcBorders/>
            <w:shd w:fill="auto" w:val="clear"/>
            <w:vAlign w:val="bottom"/>
          </w:tcPr>
          <w:p>
            <w:pPr>
              <w:pStyle w:val="TableContents"/>
              <w:spacing w:before="0" w:after="0"/>
              <w:ind w:left="0" w:right="0" w:hanging="0"/>
              <w:jc w:val="right"/>
              <w:rPr>
                <w:color w:val="000000"/>
              </w:rPr>
            </w:pPr>
            <w:r>
              <w:rPr>
                <w:color w:val="000000"/>
              </w:rPr>
              <w:t> </w:t>
            </w:r>
          </w:p>
        </w:tc>
        <w:tc>
          <w:tcPr>
            <w:tcW w:w="654" w:type="dxa"/>
            <w:tcBorders/>
            <w:shd w:fill="auto" w:val="clear"/>
            <w:vAlign w:val="bottom"/>
          </w:tcPr>
          <w:p>
            <w:pPr>
              <w:pStyle w:val="TableContents"/>
              <w:spacing w:before="0" w:after="0"/>
              <w:ind w:left="0" w:right="0" w:hanging="0"/>
              <w:jc w:val="right"/>
              <w:rPr/>
            </w:pPr>
            <w:hyperlink w:anchor="tUNDER">
              <w:r>
                <w:rPr>
                  <w:rStyle w:val="InternetLink"/>
                  <w:rFonts w:ascii="Times New Roman;Times;Serif" w:hAnsi="Times New Roman;Times;Serif"/>
                  <w:color w:val="000000"/>
                  <w:sz w:val="17"/>
                </w:rPr>
                <w:t>153</w:t>
              </w:r>
            </w:hyperlink>
          </w:p>
        </w:tc>
        <w:tc>
          <w:tcPr>
            <w:tcW w:w="195" w:type="dxa"/>
            <w:tcBorders/>
            <w:shd w:fill="auto" w:val="clear"/>
            <w:vAlign w:val="bottom"/>
          </w:tcPr>
          <w:p>
            <w:pPr>
              <w:pStyle w:val="TableContents"/>
              <w:spacing w:before="0" w:after="0"/>
              <w:ind w:left="0" w:right="0" w:hanging="0"/>
              <w:jc w:val="left"/>
              <w:rPr>
                <w:color w:val="000000"/>
              </w:rPr>
            </w:pPr>
            <w:r>
              <w:rPr>
                <w:color w:val="000000"/>
              </w:rPr>
              <w:t> </w:t>
            </w:r>
          </w:p>
        </w:tc>
      </w:tr>
      <w:tr>
        <w:trPr/>
        <w:tc>
          <w:tcPr>
            <w:tcW w:w="9097" w:type="dxa"/>
            <w:tcBorders/>
            <w:shd w:fill="CCEEFF" w:val="clear"/>
            <w:vAlign w:val="bottom"/>
          </w:tcPr>
          <w:p>
            <w:pPr>
              <w:pStyle w:val="TableContents"/>
              <w:spacing w:before="0" w:after="0"/>
              <w:ind w:left="0" w:right="0" w:firstLine="75"/>
              <w:jc w:val="left"/>
              <w:rPr/>
            </w:pPr>
            <w:hyperlink w:anchor="tLM">
              <w:r>
                <w:rPr>
                  <w:rStyle w:val="InternetLink"/>
                  <w:rFonts w:ascii="Times New Roman;Times;Serif" w:hAnsi="Times New Roman;Times;Serif"/>
                  <w:color w:val="000000"/>
                  <w:sz w:val="17"/>
                </w:rPr>
                <w:t>Legal Matters</w:t>
              </w:r>
            </w:hyperlink>
          </w:p>
        </w:tc>
        <w:tc>
          <w:tcPr>
            <w:tcW w:w="259" w:type="dxa"/>
            <w:tcBorders/>
            <w:shd w:fill="CCEEFF" w:val="clear"/>
            <w:vAlign w:val="bottom"/>
          </w:tcPr>
          <w:p>
            <w:pPr>
              <w:pStyle w:val="TableContents"/>
              <w:spacing w:before="0" w:after="0"/>
              <w:ind w:left="0" w:right="0" w:hanging="0"/>
              <w:jc w:val="right"/>
              <w:rPr>
                <w:color w:val="000000"/>
              </w:rPr>
            </w:pPr>
            <w:r>
              <w:rPr>
                <w:color w:val="000000"/>
              </w:rPr>
              <w:t> </w:t>
            </w:r>
          </w:p>
        </w:tc>
        <w:tc>
          <w:tcPr>
            <w:tcW w:w="654" w:type="dxa"/>
            <w:tcBorders/>
            <w:shd w:fill="CCEEFF" w:val="clear"/>
            <w:vAlign w:val="bottom"/>
          </w:tcPr>
          <w:p>
            <w:pPr>
              <w:pStyle w:val="TableContents"/>
              <w:spacing w:before="0" w:after="0"/>
              <w:ind w:left="0" w:right="0" w:hanging="0"/>
              <w:jc w:val="right"/>
              <w:rPr/>
            </w:pPr>
            <w:hyperlink w:anchor="tLM">
              <w:r>
                <w:rPr>
                  <w:rStyle w:val="InternetLink"/>
                  <w:rFonts w:ascii="Times New Roman;Times;Serif" w:hAnsi="Times New Roman;Times;Serif"/>
                  <w:color w:val="000000"/>
                  <w:sz w:val="17"/>
                </w:rPr>
                <w:t>159</w:t>
              </w:r>
            </w:hyperlink>
          </w:p>
        </w:tc>
        <w:tc>
          <w:tcPr>
            <w:tcW w:w="195" w:type="dxa"/>
            <w:tcBorders/>
            <w:shd w:fill="CCEEFF" w:val="clear"/>
            <w:vAlign w:val="bottom"/>
          </w:tcPr>
          <w:p>
            <w:pPr>
              <w:pStyle w:val="TableContents"/>
              <w:spacing w:before="0" w:after="0"/>
              <w:ind w:left="0" w:right="0" w:hanging="0"/>
              <w:jc w:val="left"/>
              <w:rPr>
                <w:color w:val="000000"/>
              </w:rPr>
            </w:pPr>
            <w:r>
              <w:rPr>
                <w:color w:val="000000"/>
              </w:rPr>
              <w:t> </w:t>
            </w:r>
          </w:p>
        </w:tc>
      </w:tr>
      <w:tr>
        <w:trPr/>
        <w:tc>
          <w:tcPr>
            <w:tcW w:w="9097" w:type="dxa"/>
            <w:tcBorders/>
            <w:shd w:fill="auto" w:val="clear"/>
            <w:vAlign w:val="bottom"/>
          </w:tcPr>
          <w:p>
            <w:pPr>
              <w:pStyle w:val="TableContents"/>
              <w:spacing w:before="0" w:after="0"/>
              <w:ind w:left="0" w:right="0" w:firstLine="75"/>
              <w:jc w:val="left"/>
              <w:rPr/>
            </w:pPr>
            <w:hyperlink w:anchor="tEXP">
              <w:r>
                <w:rPr>
                  <w:rStyle w:val="InternetLink"/>
                  <w:rFonts w:ascii="Times New Roman;Times;Serif" w:hAnsi="Times New Roman;Times;Serif"/>
                  <w:color w:val="000000"/>
                  <w:sz w:val="17"/>
                </w:rPr>
                <w:t>Experts</w:t>
              </w:r>
            </w:hyperlink>
          </w:p>
        </w:tc>
        <w:tc>
          <w:tcPr>
            <w:tcW w:w="259" w:type="dxa"/>
            <w:tcBorders/>
            <w:shd w:fill="auto" w:val="clear"/>
            <w:vAlign w:val="bottom"/>
          </w:tcPr>
          <w:p>
            <w:pPr>
              <w:pStyle w:val="TableContents"/>
              <w:spacing w:before="0" w:after="0"/>
              <w:ind w:left="0" w:right="0" w:hanging="0"/>
              <w:jc w:val="right"/>
              <w:rPr>
                <w:color w:val="000000"/>
              </w:rPr>
            </w:pPr>
            <w:r>
              <w:rPr>
                <w:color w:val="000000"/>
              </w:rPr>
              <w:t> </w:t>
            </w:r>
          </w:p>
        </w:tc>
        <w:tc>
          <w:tcPr>
            <w:tcW w:w="654" w:type="dxa"/>
            <w:tcBorders/>
            <w:shd w:fill="auto" w:val="clear"/>
            <w:vAlign w:val="bottom"/>
          </w:tcPr>
          <w:p>
            <w:pPr>
              <w:pStyle w:val="TableContents"/>
              <w:spacing w:before="0" w:after="0"/>
              <w:ind w:left="0" w:right="0" w:hanging="0"/>
              <w:jc w:val="right"/>
              <w:rPr/>
            </w:pPr>
            <w:hyperlink w:anchor="tEXP">
              <w:r>
                <w:rPr>
                  <w:rStyle w:val="InternetLink"/>
                  <w:rFonts w:ascii="Times New Roman;Times;Serif" w:hAnsi="Times New Roman;Times;Serif"/>
                  <w:color w:val="000000"/>
                  <w:sz w:val="17"/>
                </w:rPr>
                <w:t>159</w:t>
              </w:r>
            </w:hyperlink>
          </w:p>
        </w:tc>
        <w:tc>
          <w:tcPr>
            <w:tcW w:w="195" w:type="dxa"/>
            <w:tcBorders/>
            <w:shd w:fill="auto" w:val="clear"/>
            <w:vAlign w:val="bottom"/>
          </w:tcPr>
          <w:p>
            <w:pPr>
              <w:pStyle w:val="TableContents"/>
              <w:spacing w:before="0" w:after="0"/>
              <w:ind w:left="0" w:right="0" w:hanging="0"/>
              <w:jc w:val="left"/>
              <w:rPr>
                <w:color w:val="000000"/>
              </w:rPr>
            </w:pPr>
            <w:r>
              <w:rPr>
                <w:color w:val="000000"/>
              </w:rPr>
              <w:t> </w:t>
            </w:r>
          </w:p>
        </w:tc>
      </w:tr>
      <w:tr>
        <w:trPr/>
        <w:tc>
          <w:tcPr>
            <w:tcW w:w="9097" w:type="dxa"/>
            <w:tcBorders/>
            <w:shd w:fill="CCEEFF" w:val="clear"/>
            <w:vAlign w:val="bottom"/>
          </w:tcPr>
          <w:p>
            <w:pPr>
              <w:pStyle w:val="TableContents"/>
              <w:spacing w:before="0" w:after="0"/>
              <w:ind w:left="0" w:right="0" w:firstLine="75"/>
              <w:jc w:val="left"/>
              <w:rPr/>
            </w:pPr>
            <w:hyperlink w:anchor="tWYC">
              <w:r>
                <w:rPr>
                  <w:rStyle w:val="InternetLink"/>
                  <w:rFonts w:ascii="Times New Roman;Times;Serif" w:hAnsi="Times New Roman;Times;Serif"/>
                  <w:color w:val="000000"/>
                  <w:sz w:val="17"/>
                </w:rPr>
                <w:t>Where You Can Find Additional Information</w:t>
              </w:r>
            </w:hyperlink>
          </w:p>
        </w:tc>
        <w:tc>
          <w:tcPr>
            <w:tcW w:w="259" w:type="dxa"/>
            <w:tcBorders/>
            <w:shd w:fill="CCEEFF" w:val="clear"/>
            <w:vAlign w:val="bottom"/>
          </w:tcPr>
          <w:p>
            <w:pPr>
              <w:pStyle w:val="TableContents"/>
              <w:spacing w:before="0" w:after="0"/>
              <w:ind w:left="0" w:right="0" w:hanging="0"/>
              <w:jc w:val="right"/>
              <w:rPr>
                <w:color w:val="000000"/>
              </w:rPr>
            </w:pPr>
            <w:r>
              <w:rPr>
                <w:color w:val="000000"/>
              </w:rPr>
              <w:t> </w:t>
            </w:r>
          </w:p>
        </w:tc>
        <w:tc>
          <w:tcPr>
            <w:tcW w:w="654" w:type="dxa"/>
            <w:tcBorders/>
            <w:shd w:fill="CCEEFF" w:val="clear"/>
            <w:vAlign w:val="bottom"/>
          </w:tcPr>
          <w:p>
            <w:pPr>
              <w:pStyle w:val="TableContents"/>
              <w:spacing w:before="0" w:after="0"/>
              <w:ind w:left="0" w:right="0" w:hanging="0"/>
              <w:jc w:val="right"/>
              <w:rPr/>
            </w:pPr>
            <w:hyperlink w:anchor="tWYC">
              <w:r>
                <w:rPr>
                  <w:rStyle w:val="InternetLink"/>
                  <w:rFonts w:ascii="Times New Roman;Times;Serif" w:hAnsi="Times New Roman;Times;Serif"/>
                  <w:color w:val="000000"/>
                  <w:sz w:val="17"/>
                </w:rPr>
                <w:t>159</w:t>
              </w:r>
            </w:hyperlink>
          </w:p>
        </w:tc>
        <w:tc>
          <w:tcPr>
            <w:tcW w:w="195" w:type="dxa"/>
            <w:tcBorders/>
            <w:shd w:fill="CCEEFF" w:val="clear"/>
            <w:vAlign w:val="bottom"/>
          </w:tcPr>
          <w:p>
            <w:pPr>
              <w:pStyle w:val="TableContents"/>
              <w:spacing w:before="0" w:after="0"/>
              <w:ind w:left="0" w:right="0" w:hanging="0"/>
              <w:jc w:val="left"/>
              <w:rPr>
                <w:color w:val="000000"/>
              </w:rPr>
            </w:pPr>
            <w:r>
              <w:rPr>
                <w:color w:val="000000"/>
              </w:rPr>
              <w:t> </w:t>
            </w:r>
          </w:p>
        </w:tc>
      </w:tr>
      <w:tr>
        <w:trPr/>
        <w:tc>
          <w:tcPr>
            <w:tcW w:w="9097" w:type="dxa"/>
            <w:tcBorders/>
            <w:shd w:fill="auto" w:val="clear"/>
            <w:vAlign w:val="bottom"/>
          </w:tcPr>
          <w:p>
            <w:pPr>
              <w:pStyle w:val="TableContents"/>
              <w:spacing w:before="0" w:after="0"/>
              <w:ind w:left="0" w:right="0" w:firstLine="75"/>
              <w:jc w:val="left"/>
              <w:rPr/>
            </w:pPr>
            <w:hyperlink w:anchor="tIFS">
              <w:r>
                <w:rPr>
                  <w:rStyle w:val="InternetLink"/>
                  <w:rFonts w:ascii="Times New Roman;Times;Serif" w:hAnsi="Times New Roman;Times;Serif"/>
                  <w:color w:val="000000"/>
                  <w:sz w:val="17"/>
                </w:rPr>
                <w:t>Index to Financial Statements</w:t>
              </w:r>
            </w:hyperlink>
          </w:p>
        </w:tc>
        <w:tc>
          <w:tcPr>
            <w:tcW w:w="259" w:type="dxa"/>
            <w:tcBorders/>
            <w:shd w:fill="auto" w:val="clear"/>
            <w:vAlign w:val="bottom"/>
          </w:tcPr>
          <w:p>
            <w:pPr>
              <w:pStyle w:val="TableContents"/>
              <w:spacing w:before="0" w:after="0"/>
              <w:ind w:left="0" w:right="0" w:hanging="0"/>
              <w:jc w:val="right"/>
              <w:rPr>
                <w:color w:val="000000"/>
              </w:rPr>
            </w:pPr>
            <w:r>
              <w:rPr>
                <w:color w:val="000000"/>
              </w:rPr>
              <w:t> </w:t>
            </w:r>
          </w:p>
        </w:tc>
        <w:tc>
          <w:tcPr>
            <w:tcW w:w="654" w:type="dxa"/>
            <w:tcBorders/>
            <w:shd w:fill="auto" w:val="clear"/>
            <w:vAlign w:val="bottom"/>
          </w:tcPr>
          <w:p>
            <w:pPr>
              <w:pStyle w:val="TableContents"/>
              <w:spacing w:before="0" w:after="0"/>
              <w:ind w:left="0" w:right="0" w:hanging="0"/>
              <w:jc w:val="right"/>
              <w:rPr/>
            </w:pPr>
            <w:hyperlink w:anchor="tIFS">
              <w:r>
                <w:rPr>
                  <w:rStyle w:val="InternetLink"/>
                  <w:rFonts w:ascii="Times New Roman;Times;Serif" w:hAnsi="Times New Roman;Times;Serif"/>
                  <w:color w:val="000000"/>
                  <w:sz w:val="17"/>
                </w:rPr>
                <w:t>F-1</w:t>
              </w:r>
            </w:hyperlink>
          </w:p>
        </w:tc>
        <w:tc>
          <w:tcPr>
            <w:tcW w:w="195" w:type="dxa"/>
            <w:tcBorders/>
            <w:shd w:fill="auto" w:val="clear"/>
            <w:vAlign w:val="bottom"/>
          </w:tcPr>
          <w:p>
            <w:pPr>
              <w:pStyle w:val="TableContents"/>
              <w:spacing w:before="0" w:after="0"/>
              <w:jc w:val="left"/>
              <w:rPr>
                <w:color w:val="000000"/>
              </w:rPr>
            </w:pPr>
            <w:r>
              <w:rPr>
                <w:color w:val="000000"/>
              </w:rPr>
              <w:t> </w:t>
            </w:r>
          </w:p>
        </w:tc>
      </w:tr>
    </w:tbl>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We are responsible for the information contained in this prospectus. We have not authorized anyone to provide any information or to make any representations other than those contained in this prospectus. We and the underwriters take no responsibility for, and can provide no assurance as to the reliability of, any other information that others may give you. This prospectus is an offer to sell only the units offered hereby, but only under circumstances and in jurisdictions where it is lawful to do so. The information contained in this prospectus is current only as of its date. </w:t>
      </w:r>
    </w:p>
    <w:p>
      <w:pPr>
        <w:pStyle w:val="TextBody"/>
        <w:spacing w:lineRule="atLeast" w:line="225"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Until September 1, 2019, all dealers that effect transactions in these securities, whether or not participating in this offering, may be required to deliver a prospectus. This is in addition to the dealers obligation to deliver a prospectus when acting as an underwriter and with respect to unsold allotments or subscriptions.</w:t>
      </w:r>
    </w:p>
    <w:p>
      <w:pPr>
        <w:pStyle w:val="TextBody"/>
        <w:spacing w:before="240" w:after="0"/>
        <w:ind w:left="0" w:right="0" w:hanging="0"/>
        <w:jc w:val="center"/>
        <w:rPr>
          <w:rFonts w:ascii="Times New Roman;Times;Serif" w:hAnsi="Times New Roman;Times;Serif"/>
          <w:b/>
          <w:color w:val="000000"/>
          <w:sz w:val="17"/>
        </w:rPr>
      </w:pPr>
      <w:r>
        <w:rPr>
          <w:rFonts w:ascii="Times New Roman;Times;Serif" w:hAnsi="Times New Roman;Times;Serif"/>
          <w:b/>
          <w:color w:val="000000"/>
          <w:sz w:val="17"/>
        </w:rPr>
        <w:t>TRADEMARKS</w:t>
      </w:r>
    </w:p>
    <w:p>
      <w:pPr>
        <w:pStyle w:val="TextBody"/>
        <w:spacing w:lineRule="auto"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This prospectus contains references to trademarks and service marks belonging to other entities. Solely for convenience, trademarks and trade names referred to in this prospectus may appear without the ® or ™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i</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before="240" w:after="0"/>
        <w:ind w:left="0" w:right="0" w:hanging="0"/>
        <w:jc w:val="center"/>
        <w:rPr>
          <w:rFonts w:ascii="Times New Roman;Times;Serif" w:hAnsi="Times New Roman;Times;Serif"/>
          <w:b/>
          <w:color w:val="000000"/>
          <w:sz w:val="17"/>
          <w:bdr w:val="single" w:sz="8" w:space="1" w:color="000000"/>
        </w:rPr>
      </w:pPr>
      <w:bookmarkStart w:id="4" w:name="tSUM"/>
      <w:bookmarkEnd w:id="4"/>
      <w:r>
        <w:rPr>
          <w:rFonts w:ascii="Times New Roman;Times;Serif" w:hAnsi="Times New Roman;Times;Serif"/>
          <w:b/>
          <w:color w:val="000000"/>
          <w:sz w:val="17"/>
          <w:bdr w:val="single" w:sz="8" w:space="1" w:color="000000"/>
        </w:rPr>
        <w:t>SUMMARY</w:t>
      </w:r>
    </w:p>
    <w:p>
      <w:pPr>
        <w:pStyle w:val="TextBody"/>
        <w:spacing w:lineRule="atLeast" w:line="240" w:before="120" w:after="0"/>
        <w:ind w:left="0" w:right="0" w:hanging="0"/>
        <w:jc w:val="left"/>
        <w:rPr>
          <w:rFonts w:ascii="Times New Roman;Times;Serif" w:hAnsi="Times New Roman;Times;Serif"/>
          <w:i/>
          <w:color w:val="000000"/>
          <w:sz w:val="17"/>
          <w:bdr w:val="single" w:sz="8" w:space="1" w:color="000000"/>
        </w:rPr>
      </w:pPr>
      <w:r>
        <w:rPr>
          <w:rFonts w:ascii="Times New Roman;Times;Serif" w:hAnsi="Times New Roman;Times;Serif"/>
          <w:i/>
          <w:color w:val="000000"/>
          <w:sz w:val="17"/>
          <w:bdr w:val="single" w:sz="8" w:space="1" w:color="000000"/>
        </w:rPr>
        <w:t>This summary only highlights the more detailed information appearing elsewhere in this prospectus. You should read this entire prospectus carefully, including the information under Risk Factors and our financial statements and the related notes included elsewhere in this prospectus, before investing.</w:t>
      </w:r>
    </w:p>
    <w:p>
      <w:pPr>
        <w:pStyle w:val="TextBody"/>
        <w:spacing w:before="240" w:after="0"/>
        <w:ind w:left="0" w:right="0" w:hanging="0"/>
        <w:jc w:val="left"/>
        <w:rPr>
          <w:rFonts w:ascii="Times New Roman;Times;Serif" w:hAnsi="Times New Roman;Times;Serif"/>
          <w:i/>
          <w:color w:val="000000"/>
          <w:sz w:val="17"/>
          <w:bdr w:val="single" w:sz="8" w:space="1" w:color="000000"/>
        </w:rPr>
      </w:pPr>
      <w:r>
        <w:rPr>
          <w:rFonts w:ascii="Times New Roman;Times;Serif" w:hAnsi="Times New Roman;Times;Serif"/>
          <w:i/>
          <w:color w:val="000000"/>
          <w:sz w:val="17"/>
          <w:bdr w:val="single" w:sz="8" w:space="1" w:color="000000"/>
        </w:rPr>
        <w:t xml:space="preserve">Unless otherwise stated in this prospectus or the context otherwise requires, references to: </w:t>
      </w:r>
    </w:p>
    <w:tbl>
      <w:tblPr>
        <w:tblW w:w="5000" w:type="pct"/>
        <w:jc w:val="left"/>
        <w:tblInd w:w="0" w:type="dxa"/>
        <w:tblCellMar>
          <w:top w:w="0" w:type="dxa"/>
          <w:left w:w="0" w:type="dxa"/>
          <w:bottom w:w="0" w:type="dxa"/>
          <w:right w:w="0" w:type="dxa"/>
        </w:tblCellMar>
      </w:tblPr>
      <w:tblGrid>
        <w:gridCol w:w="406"/>
        <w:gridCol w:w="391"/>
        <w:gridCol w:w="9408"/>
      </w:tblGrid>
      <w:tr>
        <w:trPr/>
        <w:tc>
          <w:tcPr>
            <w:tcW w:w="40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jc w:val="left"/>
              <w:rPr>
                <w:color w:val="000000"/>
              </w:rPr>
            </w:pPr>
            <w:r>
              <w:rPr>
                <w:color w:val="000000"/>
              </w:rPr>
              <w:t>•</w:t>
            </w:r>
          </w:p>
        </w:tc>
        <w:tc>
          <w:tcPr>
            <w:tcW w:w="9408"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i/>
                <w:color w:val="000000"/>
                <w:sz w:val="17"/>
              </w:rPr>
              <w:t>we, us, our, company or our company are to Silver Spike Acquisition Corp., a Cayman Islands exempted company;</w:t>
            </w:r>
            <w:r>
              <w:rPr>
                <w:rFonts w:ascii="Times New Roman;Times;Serif" w:hAnsi="Times New Roman;Times;Serif"/>
                <w:color w:val="000000"/>
                <w:sz w:val="17"/>
              </w:rPr>
              <w:t xml:space="preserve"> </w:t>
            </w:r>
          </w:p>
        </w:tc>
      </w:tr>
    </w:tbl>
    <w:tbl>
      <w:tblPr>
        <w:tblW w:w="5000" w:type="pct"/>
        <w:jc w:val="left"/>
        <w:tblInd w:w="0" w:type="dxa"/>
        <w:tblCellMar>
          <w:top w:w="0" w:type="dxa"/>
          <w:left w:w="0" w:type="dxa"/>
          <w:bottom w:w="0" w:type="dxa"/>
          <w:right w:w="0" w:type="dxa"/>
        </w:tblCellMar>
      </w:tblPr>
      <w:tblGrid>
        <w:gridCol w:w="332"/>
        <w:gridCol w:w="335"/>
        <w:gridCol w:w="9538"/>
      </w:tblGrid>
      <w:tr>
        <w:trPr/>
        <w:tc>
          <w:tcPr>
            <w:tcW w:w="332"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jc w:val="left"/>
              <w:rPr>
                <w:color w:val="000000"/>
              </w:rPr>
            </w:pPr>
            <w:r>
              <w:rPr>
                <w:color w:val="000000"/>
              </w:rPr>
              <w:t>•</w:t>
            </w:r>
          </w:p>
        </w:tc>
        <w:tc>
          <w:tcPr>
            <w:tcW w:w="9538"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i/>
                <w:color w:val="000000"/>
                <w:sz w:val="17"/>
              </w:rPr>
              <w:t>amended and restated memorandum and articles of association are to our memorandum and articles of association to be in effect upon completion of this offering;</w:t>
            </w:r>
            <w:r>
              <w:rPr>
                <w:rFonts w:ascii="Times New Roman;Times;Serif" w:hAnsi="Times New Roman;Times;Serif"/>
                <w:color w:val="000000"/>
                <w:sz w:val="17"/>
              </w:rPr>
              <w:t xml:space="preserve"> </w:t>
            </w:r>
          </w:p>
        </w:tc>
      </w:tr>
    </w:tbl>
    <w:tbl>
      <w:tblPr>
        <w:tblW w:w="5000" w:type="pct"/>
        <w:jc w:val="left"/>
        <w:tblInd w:w="0" w:type="dxa"/>
        <w:tblCellMar>
          <w:top w:w="0" w:type="dxa"/>
          <w:left w:w="0" w:type="dxa"/>
          <w:bottom w:w="0" w:type="dxa"/>
          <w:right w:w="0" w:type="dxa"/>
        </w:tblCellMar>
      </w:tblPr>
      <w:tblGrid>
        <w:gridCol w:w="567"/>
        <w:gridCol w:w="547"/>
        <w:gridCol w:w="9091"/>
      </w:tblGrid>
      <w:tr>
        <w:trPr/>
        <w:tc>
          <w:tcPr>
            <w:tcW w:w="567"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jc w:val="left"/>
              <w:rPr>
                <w:color w:val="000000"/>
              </w:rPr>
            </w:pPr>
            <w:r>
              <w:rPr>
                <w:color w:val="000000"/>
              </w:rPr>
              <w:t>•</w:t>
            </w:r>
          </w:p>
        </w:tc>
        <w:tc>
          <w:tcPr>
            <w:tcW w:w="9091" w:type="dxa"/>
            <w:tcBorders/>
            <w:shd w:fill="auto" w:val="clear"/>
            <w:vAlign w:val="center"/>
          </w:tcPr>
          <w:p>
            <w:pPr>
              <w:pStyle w:val="TableContents"/>
              <w:spacing w:before="0" w:after="283"/>
              <w:jc w:val="left"/>
              <w:rPr>
                <w:rFonts w:ascii="Times New Roman;Times;Serif" w:hAnsi="Times New Roman;Times;Serif"/>
                <w:i/>
                <w:color w:val="000000"/>
                <w:sz w:val="17"/>
              </w:rPr>
            </w:pPr>
            <w:r>
              <w:rPr>
                <w:rFonts w:ascii="Times New Roman;Times;Serif" w:hAnsi="Times New Roman;Times;Serif"/>
                <w:i/>
                <w:color w:val="000000"/>
                <w:sz w:val="17"/>
              </w:rPr>
              <w:t>Class A ordinary shares are to our Class A ordinary shares, par value $0.0001 per share;</w:t>
            </w:r>
          </w:p>
        </w:tc>
      </w:tr>
    </w:tbl>
    <w:tbl>
      <w:tblPr>
        <w:tblW w:w="5000" w:type="pct"/>
        <w:jc w:val="left"/>
        <w:tblInd w:w="0" w:type="dxa"/>
        <w:tblCellMar>
          <w:top w:w="0" w:type="dxa"/>
          <w:left w:w="0" w:type="dxa"/>
          <w:bottom w:w="0" w:type="dxa"/>
          <w:right w:w="0" w:type="dxa"/>
        </w:tblCellMar>
      </w:tblPr>
      <w:tblGrid>
        <w:gridCol w:w="567"/>
        <w:gridCol w:w="547"/>
        <w:gridCol w:w="9091"/>
      </w:tblGrid>
      <w:tr>
        <w:trPr/>
        <w:tc>
          <w:tcPr>
            <w:tcW w:w="567"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jc w:val="left"/>
              <w:rPr>
                <w:color w:val="000000"/>
              </w:rPr>
            </w:pPr>
            <w:r>
              <w:rPr>
                <w:color w:val="000000"/>
              </w:rPr>
              <w:t>•</w:t>
            </w:r>
          </w:p>
        </w:tc>
        <w:tc>
          <w:tcPr>
            <w:tcW w:w="9091" w:type="dxa"/>
            <w:tcBorders/>
            <w:shd w:fill="auto" w:val="clear"/>
            <w:vAlign w:val="center"/>
          </w:tcPr>
          <w:p>
            <w:pPr>
              <w:pStyle w:val="TableContents"/>
              <w:spacing w:before="0" w:after="283"/>
              <w:jc w:val="left"/>
              <w:rPr>
                <w:rFonts w:ascii="Times New Roman;Times;Serif" w:hAnsi="Times New Roman;Times;Serif"/>
                <w:i/>
                <w:color w:val="000000"/>
                <w:sz w:val="17"/>
              </w:rPr>
            </w:pPr>
            <w:r>
              <w:rPr>
                <w:rFonts w:ascii="Times New Roman;Times;Serif" w:hAnsi="Times New Roman;Times;Serif"/>
                <w:i/>
                <w:color w:val="000000"/>
                <w:sz w:val="17"/>
              </w:rPr>
              <w:t>Class B ordinary shares are to our Class B ordinary shares, par value $0.0001 per share;</w:t>
            </w:r>
          </w:p>
        </w:tc>
      </w:tr>
    </w:tbl>
    <w:tbl>
      <w:tblPr>
        <w:tblW w:w="5000" w:type="pct"/>
        <w:jc w:val="left"/>
        <w:tblInd w:w="0" w:type="dxa"/>
        <w:tblCellMar>
          <w:top w:w="0" w:type="dxa"/>
          <w:left w:w="0" w:type="dxa"/>
          <w:bottom w:w="0" w:type="dxa"/>
          <w:right w:w="0" w:type="dxa"/>
        </w:tblCellMar>
      </w:tblPr>
      <w:tblGrid>
        <w:gridCol w:w="409"/>
        <w:gridCol w:w="394"/>
        <w:gridCol w:w="9402"/>
      </w:tblGrid>
      <w:tr>
        <w:trPr/>
        <w:tc>
          <w:tcPr>
            <w:tcW w:w="409"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jc w:val="left"/>
              <w:rPr>
                <w:color w:val="000000"/>
              </w:rPr>
            </w:pPr>
            <w:r>
              <w:rPr>
                <w:color w:val="000000"/>
              </w:rPr>
              <w:t>•</w:t>
            </w:r>
          </w:p>
        </w:tc>
        <w:tc>
          <w:tcPr>
            <w:tcW w:w="9402" w:type="dxa"/>
            <w:tcBorders/>
            <w:shd w:fill="auto" w:val="clear"/>
            <w:vAlign w:val="center"/>
          </w:tcPr>
          <w:p>
            <w:pPr>
              <w:pStyle w:val="TableContents"/>
              <w:spacing w:before="0" w:after="283"/>
              <w:jc w:val="left"/>
              <w:rPr>
                <w:rFonts w:ascii="Times New Roman;Times;Serif" w:hAnsi="Times New Roman;Times;Serif"/>
                <w:i/>
                <w:color w:val="000000"/>
                <w:sz w:val="17"/>
              </w:rPr>
            </w:pPr>
            <w:r>
              <w:rPr>
                <w:rFonts w:ascii="Times New Roman;Times;Serif" w:hAnsi="Times New Roman;Times;Serif"/>
                <w:i/>
                <w:color w:val="000000"/>
                <w:sz w:val="17"/>
              </w:rPr>
              <w:t>Companies Law are to the Companies Law (2018 Revision) of the Cayman Islands as the same may be amended from time to time;</w:t>
            </w:r>
          </w:p>
        </w:tc>
      </w:tr>
    </w:tbl>
    <w:tbl>
      <w:tblPr>
        <w:tblW w:w="5000" w:type="pct"/>
        <w:jc w:val="left"/>
        <w:tblInd w:w="0" w:type="dxa"/>
        <w:tblCellMar>
          <w:top w:w="0" w:type="dxa"/>
          <w:left w:w="0" w:type="dxa"/>
          <w:bottom w:w="0" w:type="dxa"/>
          <w:right w:w="0" w:type="dxa"/>
        </w:tblCellMar>
      </w:tblPr>
      <w:tblGrid>
        <w:gridCol w:w="784"/>
        <w:gridCol w:w="755"/>
        <w:gridCol w:w="8666"/>
      </w:tblGrid>
      <w:tr>
        <w:trPr/>
        <w:tc>
          <w:tcPr>
            <w:tcW w:w="784"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jc w:val="left"/>
              <w:rPr>
                <w:color w:val="000000"/>
              </w:rPr>
            </w:pPr>
            <w:r>
              <w:rPr>
                <w:color w:val="000000"/>
              </w:rPr>
              <w:t>•</w:t>
            </w:r>
          </w:p>
        </w:tc>
        <w:tc>
          <w:tcPr>
            <w:tcW w:w="8666" w:type="dxa"/>
            <w:tcBorders/>
            <w:shd w:fill="auto" w:val="clear"/>
            <w:vAlign w:val="center"/>
          </w:tcPr>
          <w:p>
            <w:pPr>
              <w:pStyle w:val="TableContents"/>
              <w:spacing w:before="0" w:after="283"/>
              <w:jc w:val="left"/>
              <w:rPr>
                <w:rFonts w:ascii="Times New Roman;Times;Serif" w:hAnsi="Times New Roman;Times;Serif"/>
                <w:i/>
                <w:color w:val="000000"/>
                <w:sz w:val="17"/>
              </w:rPr>
            </w:pPr>
            <w:r>
              <w:rPr>
                <w:rFonts w:ascii="Times New Roman;Times;Serif" w:hAnsi="Times New Roman;Times;Serif"/>
                <w:i/>
                <w:color w:val="000000"/>
                <w:sz w:val="17"/>
              </w:rPr>
              <w:t>directors are to our current directors and director nominees;</w:t>
            </w:r>
          </w:p>
        </w:tc>
      </w:tr>
    </w:tbl>
    <w:tbl>
      <w:tblPr>
        <w:tblW w:w="5000" w:type="pct"/>
        <w:jc w:val="left"/>
        <w:tblInd w:w="0" w:type="dxa"/>
        <w:tblCellMar>
          <w:top w:w="0" w:type="dxa"/>
          <w:left w:w="0" w:type="dxa"/>
          <w:bottom w:w="0" w:type="dxa"/>
          <w:right w:w="0" w:type="dxa"/>
        </w:tblCellMar>
      </w:tblPr>
      <w:tblGrid>
        <w:gridCol w:w="165"/>
        <w:gridCol w:w="207"/>
        <w:gridCol w:w="9833"/>
      </w:tblGrid>
      <w:tr>
        <w:trPr/>
        <w:tc>
          <w:tcPr>
            <w:tcW w:w="165"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jc w:val="left"/>
              <w:rPr>
                <w:color w:val="000000"/>
              </w:rPr>
            </w:pPr>
            <w:r>
              <w:rPr>
                <w:color w:val="000000"/>
              </w:rPr>
              <w:t>•</w:t>
            </w:r>
          </w:p>
        </w:tc>
        <w:tc>
          <w:tcPr>
            <w:tcW w:w="9833"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i/>
                <w:color w:val="000000"/>
                <w:sz w:val="17"/>
              </w:rPr>
              <w:t>founder shares are to our Class B ordinary shares initially purchased by our sponsor in a private placement prior to this offering and the Class A ordinary shares that will be issued upon the automatic conversion of the Class B ordinary shares at the time of our initial business combination (for the avoidance of doubt, such Class A ordinary shares will not be public shares);</w:t>
            </w:r>
            <w:r>
              <w:rPr>
                <w:rFonts w:ascii="Times New Roman;Times;Serif" w:hAnsi="Times New Roman;Times;Serif"/>
                <w:color w:val="000000"/>
                <w:sz w:val="17"/>
              </w:rPr>
              <w:t xml:space="preserve"> </w:t>
            </w:r>
          </w:p>
        </w:tc>
      </w:tr>
    </w:tbl>
    <w:tbl>
      <w:tblPr>
        <w:tblW w:w="5000" w:type="pct"/>
        <w:jc w:val="left"/>
        <w:tblInd w:w="0" w:type="dxa"/>
        <w:tblCellMar>
          <w:top w:w="0" w:type="dxa"/>
          <w:left w:w="0" w:type="dxa"/>
          <w:bottom w:w="0" w:type="dxa"/>
          <w:right w:w="0" w:type="dxa"/>
        </w:tblCellMar>
      </w:tblPr>
      <w:tblGrid>
        <w:gridCol w:w="477"/>
        <w:gridCol w:w="459"/>
        <w:gridCol w:w="9269"/>
      </w:tblGrid>
      <w:tr>
        <w:trPr/>
        <w:tc>
          <w:tcPr>
            <w:tcW w:w="477"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jc w:val="left"/>
              <w:rPr>
                <w:color w:val="000000"/>
              </w:rPr>
            </w:pPr>
            <w:r>
              <w:rPr>
                <w:color w:val="000000"/>
              </w:rPr>
              <w:t>•</w:t>
            </w:r>
          </w:p>
        </w:tc>
        <w:tc>
          <w:tcPr>
            <w:tcW w:w="9269"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i/>
                <w:color w:val="000000"/>
                <w:sz w:val="17"/>
              </w:rPr>
              <w:t>initial shareholders are to our sponsor and other holders of our founder shares prior to this offering (if any);</w:t>
            </w:r>
            <w:r>
              <w:rPr>
                <w:rFonts w:ascii="Times New Roman;Times;Serif" w:hAnsi="Times New Roman;Times;Serif"/>
                <w:color w:val="000000"/>
                <w:sz w:val="17"/>
              </w:rPr>
              <w:t xml:space="preserve"> </w:t>
            </w:r>
          </w:p>
        </w:tc>
      </w:tr>
    </w:tbl>
    <w:tbl>
      <w:tblPr>
        <w:tblW w:w="5000" w:type="pct"/>
        <w:jc w:val="left"/>
        <w:tblInd w:w="0" w:type="dxa"/>
        <w:tblCellMar>
          <w:top w:w="0" w:type="dxa"/>
          <w:left w:w="0" w:type="dxa"/>
          <w:bottom w:w="0" w:type="dxa"/>
          <w:right w:w="0" w:type="dxa"/>
        </w:tblCellMar>
      </w:tblPr>
      <w:tblGrid>
        <w:gridCol w:w="250"/>
        <w:gridCol w:w="272"/>
        <w:gridCol w:w="9683"/>
      </w:tblGrid>
      <w:tr>
        <w:trPr/>
        <w:tc>
          <w:tcPr>
            <w:tcW w:w="25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jc w:val="left"/>
              <w:rPr>
                <w:color w:val="000000"/>
              </w:rPr>
            </w:pPr>
            <w:r>
              <w:rPr>
                <w:color w:val="000000"/>
              </w:rPr>
              <w:t>•</w:t>
            </w:r>
          </w:p>
        </w:tc>
        <w:tc>
          <w:tcPr>
            <w:tcW w:w="9683"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i/>
                <w:color w:val="000000"/>
                <w:sz w:val="17"/>
              </w:rPr>
              <w:t>letter agreement refers to the letter agreement entered into between us and our initial shareholders, directors and officers, the form of which is filed as an exhibit to the registration statement of which this prospectus forms a part;</w:t>
            </w:r>
            <w:r>
              <w:rPr>
                <w:rFonts w:ascii="Times New Roman;Times;Serif" w:hAnsi="Times New Roman;Times;Serif"/>
                <w:color w:val="000000"/>
                <w:sz w:val="17"/>
              </w:rPr>
              <w:t xml:space="preserve"> </w:t>
            </w:r>
          </w:p>
        </w:tc>
      </w:tr>
    </w:tbl>
    <w:tbl>
      <w:tblPr>
        <w:tblW w:w="5000" w:type="pct"/>
        <w:jc w:val="left"/>
        <w:tblInd w:w="0" w:type="dxa"/>
        <w:tblCellMar>
          <w:top w:w="0" w:type="dxa"/>
          <w:left w:w="0" w:type="dxa"/>
          <w:bottom w:w="0" w:type="dxa"/>
          <w:right w:w="0" w:type="dxa"/>
        </w:tblCellMar>
      </w:tblPr>
      <w:tblGrid>
        <w:gridCol w:w="338"/>
        <w:gridCol w:w="339"/>
        <w:gridCol w:w="9528"/>
      </w:tblGrid>
      <w:tr>
        <w:trPr/>
        <w:tc>
          <w:tcPr>
            <w:tcW w:w="338"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jc w:val="left"/>
              <w:rPr>
                <w:color w:val="000000"/>
              </w:rPr>
            </w:pPr>
            <w:r>
              <w:rPr>
                <w:color w:val="000000"/>
              </w:rPr>
              <w:t>•</w:t>
            </w:r>
          </w:p>
        </w:tc>
        <w:tc>
          <w:tcPr>
            <w:tcW w:w="9528"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i/>
                <w:color w:val="000000"/>
                <w:sz w:val="17"/>
              </w:rPr>
              <w:t>management or our management team are to our officers and directors and any other advisors described in the Management section of this prospectus;</w:t>
            </w:r>
            <w:r>
              <w:rPr>
                <w:rFonts w:ascii="Times New Roman;Times;Serif" w:hAnsi="Times New Roman;Times;Serif"/>
                <w:color w:val="000000"/>
                <w:sz w:val="17"/>
              </w:rPr>
              <w:t xml:space="preserve"> </w:t>
            </w:r>
          </w:p>
        </w:tc>
      </w:tr>
    </w:tbl>
    <w:tbl>
      <w:tblPr>
        <w:tblW w:w="5000" w:type="pct"/>
        <w:jc w:val="left"/>
        <w:tblInd w:w="0" w:type="dxa"/>
        <w:tblCellMar>
          <w:top w:w="0" w:type="dxa"/>
          <w:left w:w="0" w:type="dxa"/>
          <w:bottom w:w="0" w:type="dxa"/>
          <w:right w:w="0" w:type="dxa"/>
        </w:tblCellMar>
      </w:tblPr>
      <w:tblGrid>
        <w:gridCol w:w="592"/>
        <w:gridCol w:w="570"/>
        <w:gridCol w:w="9043"/>
      </w:tblGrid>
      <w:tr>
        <w:trPr/>
        <w:tc>
          <w:tcPr>
            <w:tcW w:w="592"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jc w:val="left"/>
              <w:rPr>
                <w:color w:val="000000"/>
              </w:rPr>
            </w:pPr>
            <w:r>
              <w:rPr>
                <w:color w:val="000000"/>
              </w:rPr>
              <w:t>•</w:t>
            </w:r>
          </w:p>
        </w:tc>
        <w:tc>
          <w:tcPr>
            <w:tcW w:w="9043"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i/>
                <w:color w:val="000000"/>
                <w:sz w:val="17"/>
              </w:rPr>
              <w:t>ordinary shares are to our Class A ordinary shares and our Class B ordinary shares;</w:t>
            </w:r>
            <w:r>
              <w:rPr>
                <w:rFonts w:ascii="Times New Roman;Times;Serif" w:hAnsi="Times New Roman;Times;Serif"/>
                <w:color w:val="000000"/>
                <w:sz w:val="17"/>
              </w:rPr>
              <w:t xml:space="preserve"> </w:t>
            </w:r>
          </w:p>
        </w:tc>
      </w:tr>
    </w:tbl>
    <w:tbl>
      <w:tblPr>
        <w:tblW w:w="5000" w:type="pct"/>
        <w:jc w:val="left"/>
        <w:tblInd w:w="0" w:type="dxa"/>
        <w:tblCellMar>
          <w:top w:w="0" w:type="dxa"/>
          <w:left w:w="0" w:type="dxa"/>
          <w:bottom w:w="0" w:type="dxa"/>
          <w:right w:w="0" w:type="dxa"/>
        </w:tblCellMar>
      </w:tblPr>
      <w:tblGrid>
        <w:gridCol w:w="382"/>
        <w:gridCol w:w="373"/>
        <w:gridCol w:w="9450"/>
      </w:tblGrid>
      <w:tr>
        <w:trPr/>
        <w:tc>
          <w:tcPr>
            <w:tcW w:w="382"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jc w:val="left"/>
              <w:rPr>
                <w:color w:val="000000"/>
              </w:rPr>
            </w:pPr>
            <w:r>
              <w:rPr>
                <w:color w:val="000000"/>
              </w:rPr>
              <w:t>•</w:t>
            </w:r>
          </w:p>
        </w:tc>
        <w:tc>
          <w:tcPr>
            <w:tcW w:w="9450"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i/>
                <w:color w:val="000000"/>
                <w:sz w:val="17"/>
              </w:rPr>
              <w:t>private placement warrants are to the warrants issued to our sponsor in a private placement simultaneously with the closing of this offering;</w:t>
            </w:r>
            <w:r>
              <w:rPr>
                <w:rFonts w:ascii="Times New Roman;Times;Serif" w:hAnsi="Times New Roman;Times;Serif"/>
                <w:color w:val="000000"/>
                <w:sz w:val="17"/>
              </w:rPr>
              <w:t xml:space="preserve"> </w:t>
            </w:r>
          </w:p>
        </w:tc>
      </w:tr>
    </w:tbl>
    <w:tbl>
      <w:tblPr>
        <w:tblW w:w="5000" w:type="pct"/>
        <w:jc w:val="left"/>
        <w:tblInd w:w="0" w:type="dxa"/>
        <w:tblCellMar>
          <w:top w:w="0" w:type="dxa"/>
          <w:left w:w="0" w:type="dxa"/>
          <w:bottom w:w="0" w:type="dxa"/>
          <w:right w:w="0" w:type="dxa"/>
        </w:tblCellMar>
      </w:tblPr>
      <w:tblGrid>
        <w:gridCol w:w="328"/>
        <w:gridCol w:w="332"/>
        <w:gridCol w:w="9545"/>
      </w:tblGrid>
      <w:tr>
        <w:trPr/>
        <w:tc>
          <w:tcPr>
            <w:tcW w:w="328"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jc w:val="left"/>
              <w:rPr>
                <w:color w:val="000000"/>
              </w:rPr>
            </w:pPr>
            <w:r>
              <w:rPr>
                <w:color w:val="000000"/>
              </w:rPr>
              <w:t>•</w:t>
            </w:r>
          </w:p>
        </w:tc>
        <w:tc>
          <w:tcPr>
            <w:tcW w:w="9545"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i/>
                <w:color w:val="000000"/>
                <w:sz w:val="17"/>
              </w:rPr>
              <w:t>public shares are to our Class A ordinary shares sold as part of the units in this offering (whether they are purchased in this offering or thereafter in the open market);</w:t>
            </w:r>
            <w:r>
              <w:rPr>
                <w:rFonts w:ascii="Times New Roman;Times;Serif" w:hAnsi="Times New Roman;Times;Serif"/>
                <w:color w:val="000000"/>
                <w:sz w:val="17"/>
              </w:rPr>
              <w:t xml:space="preserve"> </w:t>
            </w:r>
          </w:p>
        </w:tc>
      </w:tr>
    </w:tbl>
    <w:tbl>
      <w:tblPr>
        <w:tblW w:w="5000" w:type="pct"/>
        <w:jc w:val="left"/>
        <w:tblInd w:w="0" w:type="dxa"/>
        <w:tblCellMar>
          <w:top w:w="0" w:type="dxa"/>
          <w:left w:w="0" w:type="dxa"/>
          <w:bottom w:w="0" w:type="dxa"/>
          <w:right w:w="0" w:type="dxa"/>
        </w:tblCellMar>
      </w:tblPr>
      <w:tblGrid>
        <w:gridCol w:w="211"/>
        <w:gridCol w:w="243"/>
        <w:gridCol w:w="9751"/>
      </w:tblGrid>
      <w:tr>
        <w:trPr/>
        <w:tc>
          <w:tcPr>
            <w:tcW w:w="211"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jc w:val="left"/>
              <w:rPr>
                <w:color w:val="000000"/>
              </w:rPr>
            </w:pPr>
            <w:r>
              <w:rPr>
                <w:color w:val="000000"/>
              </w:rPr>
              <w:t>•</w:t>
            </w:r>
          </w:p>
        </w:tc>
        <w:tc>
          <w:tcPr>
            <w:tcW w:w="9751"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i/>
                <w:color w:val="000000"/>
                <w:sz w:val="17"/>
              </w:rPr>
              <w:t>public shareholders are to the holders of our public shares, including our sponsor, officers and directors to the extent our sponsor, officers or directors purchase public shares, provided their status as a public shareholder shall only exist with respect to such public shares;</w:t>
            </w:r>
            <w:r>
              <w:rPr>
                <w:rFonts w:ascii="Times New Roman;Times;Serif" w:hAnsi="Times New Roman;Times;Serif"/>
                <w:color w:val="000000"/>
                <w:sz w:val="17"/>
              </w:rPr>
              <w:t xml:space="preserve"> </w:t>
            </w:r>
          </w:p>
        </w:tc>
      </w:tr>
    </w:tbl>
    <w:tbl>
      <w:tblPr>
        <w:tblW w:w="5000" w:type="pct"/>
        <w:jc w:val="left"/>
        <w:tblInd w:w="0" w:type="dxa"/>
        <w:tblCellMar>
          <w:top w:w="0" w:type="dxa"/>
          <w:left w:w="0" w:type="dxa"/>
          <w:bottom w:w="0" w:type="dxa"/>
          <w:right w:w="0" w:type="dxa"/>
        </w:tblCellMar>
      </w:tblPr>
      <w:tblGrid>
        <w:gridCol w:w="618"/>
        <w:gridCol w:w="596"/>
        <w:gridCol w:w="8991"/>
      </w:tblGrid>
      <w:tr>
        <w:trPr/>
        <w:tc>
          <w:tcPr>
            <w:tcW w:w="618"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jc w:val="left"/>
              <w:rPr>
                <w:color w:val="000000"/>
              </w:rPr>
            </w:pPr>
            <w:r>
              <w:rPr>
                <w:color w:val="000000"/>
              </w:rPr>
              <w:t>•</w:t>
            </w:r>
          </w:p>
        </w:tc>
        <w:tc>
          <w:tcPr>
            <w:tcW w:w="8991"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i/>
                <w:color w:val="000000"/>
                <w:sz w:val="17"/>
              </w:rPr>
              <w:t>sponsor are to Silver Spike Sponsor, LLC, a Delaware limited liability company;</w:t>
            </w:r>
            <w:r>
              <w:rPr>
                <w:rFonts w:ascii="Times New Roman;Times;Serif" w:hAnsi="Times New Roman;Times;Serif"/>
                <w:color w:val="000000"/>
                <w:sz w:val="17"/>
              </w:rPr>
              <w:t xml:space="preserve"> </w:t>
            </w:r>
          </w:p>
        </w:tc>
      </w:tr>
    </w:tbl>
    <w:tbl>
      <w:tblPr>
        <w:tblW w:w="5000" w:type="pct"/>
        <w:jc w:val="left"/>
        <w:tblInd w:w="0" w:type="dxa"/>
        <w:tblCellMar>
          <w:top w:w="0" w:type="dxa"/>
          <w:left w:w="0" w:type="dxa"/>
          <w:bottom w:w="0" w:type="dxa"/>
          <w:right w:w="0" w:type="dxa"/>
        </w:tblCellMar>
      </w:tblPr>
      <w:tblGrid>
        <w:gridCol w:w="280"/>
        <w:gridCol w:w="295"/>
        <w:gridCol w:w="9630"/>
      </w:tblGrid>
      <w:tr>
        <w:trPr/>
        <w:tc>
          <w:tcPr>
            <w:tcW w:w="280"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jc w:val="left"/>
              <w:rPr>
                <w:color w:val="000000"/>
              </w:rPr>
            </w:pPr>
            <w:r>
              <w:rPr>
                <w:color w:val="000000"/>
              </w:rPr>
              <w:t>•</w:t>
            </w:r>
          </w:p>
        </w:tc>
        <w:tc>
          <w:tcPr>
            <w:tcW w:w="9630" w:type="dxa"/>
            <w:tcBorders/>
            <w:shd w:fill="auto" w:val="clear"/>
            <w:vAlign w:val="center"/>
          </w:tcPr>
          <w:p>
            <w:pPr>
              <w:pStyle w:val="TableContents"/>
              <w:spacing w:before="0" w:after="283"/>
              <w:jc w:val="left"/>
              <w:rPr>
                <w:rFonts w:ascii="Times New Roman;Times;Serif" w:hAnsi="Times New Roman;Times;Serif"/>
                <w:i/>
                <w:color w:val="000000"/>
                <w:sz w:val="17"/>
              </w:rPr>
            </w:pPr>
            <w:r>
              <w:rPr>
                <w:rFonts w:ascii="Times New Roman;Times;Serif" w:hAnsi="Times New Roman;Times;Serif"/>
                <w:i/>
                <w:color w:val="000000"/>
                <w:sz w:val="17"/>
              </w:rPr>
              <w:t>warrants are to our redeemable warrants sold as part of the units in this offering (whether they are purchased in this offering or thereafter in the open market) and the private placement warrants; and</w:t>
            </w:r>
          </w:p>
        </w:tc>
      </w:tr>
    </w:tbl>
    <w:tbl>
      <w:tblPr>
        <w:tblW w:w="5000" w:type="pct"/>
        <w:jc w:val="left"/>
        <w:tblInd w:w="0" w:type="dxa"/>
        <w:tblCellMar>
          <w:top w:w="0" w:type="dxa"/>
          <w:left w:w="0" w:type="dxa"/>
          <w:bottom w:w="0" w:type="dxa"/>
          <w:right w:w="0" w:type="dxa"/>
        </w:tblCellMar>
      </w:tblPr>
      <w:tblGrid>
        <w:gridCol w:w="702"/>
        <w:gridCol w:w="676"/>
        <w:gridCol w:w="8827"/>
      </w:tblGrid>
      <w:tr>
        <w:trPr/>
        <w:tc>
          <w:tcPr>
            <w:tcW w:w="702"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jc w:val="left"/>
              <w:rPr>
                <w:color w:val="000000"/>
              </w:rPr>
            </w:pPr>
            <w:r>
              <w:rPr>
                <w:color w:val="000000"/>
              </w:rPr>
              <w:t>•</w:t>
            </w:r>
          </w:p>
        </w:tc>
        <w:tc>
          <w:tcPr>
            <w:tcW w:w="8827" w:type="dxa"/>
            <w:tcBorders/>
            <w:shd w:fill="auto" w:val="clear"/>
            <w:vAlign w:val="center"/>
          </w:tcPr>
          <w:p>
            <w:pPr>
              <w:pStyle w:val="TableContents"/>
              <w:spacing w:before="0" w:after="283"/>
              <w:jc w:val="left"/>
              <w:rPr>
                <w:rFonts w:ascii="Times New Roman;Times;Serif" w:hAnsi="Times New Roman;Times;Serif"/>
                <w:i/>
                <w:color w:val="000000"/>
                <w:sz w:val="17"/>
              </w:rPr>
            </w:pPr>
            <w:r>
              <w:rPr>
                <w:rFonts w:ascii="Times New Roman;Times;Serif" w:hAnsi="Times New Roman;Times;Serif"/>
                <w:i/>
                <w:color w:val="000000"/>
                <w:sz w:val="17"/>
              </w:rPr>
              <w:t>$, US$ and U.S. dollar each refer to the United States dollar.</w:t>
            </w:r>
          </w:p>
        </w:tc>
      </w:tr>
    </w:tbl>
    <w:p>
      <w:pPr>
        <w:pStyle w:val="TextBody"/>
        <w:spacing w:lineRule="atLeast" w:line="240"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i/>
          <w:color w:val="000000"/>
          <w:sz w:val="17"/>
          <w:bdr w:val="single" w:sz="8" w:space="1" w:color="000000"/>
        </w:rPr>
        <w:t>Any conversion of the Class B ordinary shares described in this prospectus will take effect as a redemption of Class B ordinary shares and an issuance of Class A ordinary shares as a matter of Cayman Islands law. All references in this prospectus to shares of the Company being forfeited shall take effect as surrenders for no consideration of such shares as a matter of Cayman Islands law. Any share dividends described in this prospectus will take effect as a share capitalization as a matter of Cayman Islands law. Unless we tell you otherwise, the information in this prospectus assumes that the underwriters</w:t>
      </w:r>
      <w:r>
        <w:rPr>
          <w:rFonts w:ascii="Times New Roman;Times;Serif" w:hAnsi="Times New Roman;Times;Serif"/>
          <w:color w:val="000000"/>
          <w:sz w:val="17"/>
          <w:bdr w:val="single" w:sz="8" w:space="1" w:color="000000"/>
        </w:rPr>
        <w:t xml:space="preserve"> </w:t>
      </w:r>
      <w:r>
        <w:rPr>
          <w:rFonts w:ascii="Times New Roman;Times;Serif" w:hAnsi="Times New Roman;Times;Serif"/>
          <w:i/>
          <w:color w:val="000000"/>
          <w:sz w:val="17"/>
          <w:bdr w:val="single" w:sz="8" w:space="1" w:color="000000"/>
        </w:rPr>
        <w:t>will not exercise their</w:t>
      </w:r>
      <w:r>
        <w:rPr>
          <w:rFonts w:ascii="Times New Roman;Times;Serif" w:hAnsi="Times New Roman;Times;Serif"/>
          <w:color w:val="000000"/>
          <w:sz w:val="17"/>
          <w:bdr w:val="single" w:sz="8" w:space="1" w:color="000000"/>
        </w:rPr>
        <w:t xml:space="preserve"> </w:t>
      </w:r>
      <w:r>
        <w:rPr>
          <w:rFonts w:ascii="Times New Roman;Times;Serif" w:hAnsi="Times New Roman;Times;Serif"/>
          <w:i/>
          <w:color w:val="000000"/>
          <w:sz w:val="17"/>
          <w:bdr w:val="single" w:sz="8" w:space="1" w:color="000000"/>
        </w:rPr>
        <w:t>over-allotment option and the forfeiture by our sponsor of 937,500 founder shares.</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before="240" w:after="0"/>
        <w:ind w:left="0" w:right="0" w:hanging="0"/>
        <w:jc w:val="center"/>
        <w:rPr>
          <w:rFonts w:ascii="Times New Roman;Times;Serif" w:hAnsi="Times New Roman;Times;Serif"/>
          <w:b/>
          <w:color w:val="000000"/>
          <w:sz w:val="17"/>
          <w:bdr w:val="single" w:sz="8" w:space="1" w:color="000000"/>
        </w:rPr>
      </w:pPr>
      <w:r>
        <w:rPr>
          <w:rFonts w:ascii="Times New Roman;Times;Serif" w:hAnsi="Times New Roman;Times;Serif"/>
          <w:b/>
          <w:color w:val="000000"/>
          <w:sz w:val="17"/>
          <w:bdr w:val="single" w:sz="8" w:space="1" w:color="000000"/>
        </w:rPr>
        <w:t>General</w:t>
      </w:r>
    </w:p>
    <w:p>
      <w:pPr>
        <w:pStyle w:val="TextBody"/>
        <w:spacing w:lineRule="atLeast" w:line="240"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We are a newly incorporated blank check company incorporated as a Cayman Islands exempted company and formed for the purpose of effecting a merger, amalgamation, share exchange, asset acquisition, share purchase, reorganization or similar business combination with one or more businesses, which we refer to throughout this prospectus as our initial business combination. To date, our efforts have been limited to organizational activities and activities related to this offering. We have not selected any business combination target and we have not, nor has anyone on our behalf, initiated any substantive discussions, directly or indirectly, with any business combination target.</w:t>
      </w:r>
    </w:p>
    <w:p>
      <w:pPr>
        <w:pStyle w:val="TextBody"/>
        <w:spacing w:lineRule="atLeast" w:line="240"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Our sponsor is an affiliate of Silver Spike Capital. Silver Spike Capital is an asset management fund focused on the burgeoning cannabis and related health &amp; wellness industries. Silver Spike was formed in 2019 with an executive team consisting of seasoned investment professionals, many of whom have extensive experience in emerging and frontier markets as well as cannabis industry investors and entrepreneurs with proven track records. With this team, Silver Spike is positioning to become the leading institutional-quality asset manager in this nascent, fragmented sector.</w:t>
      </w:r>
    </w:p>
    <w:p>
      <w:pPr>
        <w:pStyle w:val="TextBody"/>
        <w:spacing w:lineRule="atLeast" w:line="240"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While we may pursue a business combination target in any business, industry or geographical location, we intend to focus our search for businesses in the cannabis industry that are compliant with all applicable laws and regulations within the jurisdictions in which they are located or operate and, in particular, we will not invest in, or consummate a business combination with, a target business that we determine has been operating, or whose business plan is to operate, in violation of U.S. federal laws, including the U.S. Controlled Substances Act. The cannabis industry has experienced significant growth over the last several years. With full federal legalization in Canada and 36 states in the United States allowing for some type of legal use under state law, the cannabis industry is amongst the fastest growing industries in the world. We believe that the normalization of cannabis and its many uses - both therapeutic and recreational - is creating a rarely seen opportunity to invest in related businesses. At the same time, the cannabis industry is highly fragmented and subject to a complex regulatory framework, creating significant barriers to entry. The cannabis-related investment space is currently dominated by small funds which we believe lack both the capital and experience to see their investments through multiple rounds of funding.</w:t>
      </w:r>
    </w:p>
    <w:p>
      <w:pPr>
        <w:pStyle w:val="TextBody"/>
        <w:spacing w:lineRule="atLeast" w:line="240"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We believe that there are several target businesses that could benefit from our partnership and are compliant with all applicable laws and regulations within the jurisdictions in which they are located or operate. In the United States, this would currently include non-plant touching businesses that support the functioning of cannabis activity but are not directly related to cultivation, manufacturing, processing, branding, transportation, distribution, storage or sale of cannabis and cannabis-based products. Another set of eligible targets in the U.S. would include hemp derived cannabidiol (CBD) businesses that are compliant with the U.S. Agricultural Improvement Act of 2018 (the Farm Bill Act), which would include targets engaged in cultivation, manufacturing, processing, branding, transportation, distribution, storage or sale of hemp-derived CBD. We may also consider companies pursuing an FDA track for pharmaceutical applications and treatments that entail compounds found in cannabis. There are also a number of qualifying cannabis-related licensed operators in industries outside of the United States. This includes companies currently operating in jurisdictions where cannabis has been decriminalized for recreational use, such as Canada, Colombia and Uruguay. Globally, more than 50 countries have legalized some form of medical cannabis. Over the next 18 months, we believe that legislative activity in certain jurisdictions will further broaden our opportunity set for eligible acquisitions.</w:t>
      </w:r>
    </w:p>
    <w:p>
      <w:pPr>
        <w:pStyle w:val="TextBody"/>
        <w:spacing w:lineRule="atLeast" w:line="240"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 xml:space="preserve">The transition of the cannabis and derivative products industries to a regulated and legal marketplace has been happening at a rapid pace over recent years. Many countries have or are contemplating some form of legalized use, including Canada and the United States. For example, on June 28, 2018, the Marijuana Freedom and Opportunity Act was introduced in the United States Senate, which would remove marijuana from the schedule of controlled substances under the Controlled Substances Act and decriminalize its use. We believe that this momentum will continue to accelerate worldwide, generating tremendous opportunity in the industry, with both broader legislative acceptance and an evolving regulatory environment. There have already been hundreds of businesses launched across various sub-sectors of the cannabis industry, many of which are located in Canada or the United States. These businesses have raised billions of dollars from investors in public and private markets; including strategic investments from major multinational companies that are altering or broadening their core </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2</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business focus. Many of these businesses have valuations in excess of a billion dollars. However, the cannabis industry is still in its infancy. In order to succeed under the new legislative and regulatory frameworks, we believe that businesses will need strong management teams with deep operational expertise and financial acumen.</w:t>
      </w:r>
    </w:p>
    <w:p>
      <w:pPr>
        <w:pStyle w:val="TextBody"/>
        <w:spacing w:lineRule="atLeast" w:line="240"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As this industry evolves from a nascent industry cycle, often with high levels of return, we believe that investors will become more discerning and will focus on business models that can scale profitably. Despite high profile recent investments, we believe the total quantum of invested capital in the space is scant relative to other major industry sectors. As the industry evolves and legislative and regulatory hurdles are addressed, we anticipate an institutionalization of capital investment, with reduced reliance on high net worth individuals, family offices and select hedge funds. We believe that this will be manifested by new investors providing sources of liquidity that will resemble more mature markets, including increased breadth of financial instruments across the capital structure.</w:t>
      </w:r>
    </w:p>
    <w:p>
      <w:pPr>
        <w:pStyle w:val="TextBody"/>
        <w:spacing w:lineRule="atLeast" w:line="240"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We believe that the cannabis industry will continue to grow at a rapid pace in the coming years – with the potential to reach several hundred billion dollars of sales within the next ten years. Unlike other emerging industries, which have been driven by massive technological advances, cannabis has supported therapeutic treatments for thousands of years across a variety of cultures. The evolution of public perception is being sustained by consumers seeking cannabis-based treatments for a variety of health and wellness needs. We believe that there will be growth via the broader adoption of cannabis for non-recreational use. Potential sources for additional growth include the disruption of a variety of health-related market segments including pain management, sleep, skin care and cosmetics and anxiety, as well as many other applications that are being explored.</w:t>
      </w:r>
    </w:p>
    <w:p>
      <w:pPr>
        <w:pStyle w:val="TextBody"/>
        <w:spacing w:lineRule="atLeast" w:line="240"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Scott Gordon, our founder, is the founder and Chief Executive Officer of Silver Spike Capital, a newly formed investment platform dedicated to the cannabis industry. Mr. Gordon began investing in the cannabis industry in 2014 and in 2016 co-founded and became Chairman of Egg Rock Holdings, parent company of the Papa &amp; Barkley family of cannabis products with related subsidiary assets in manufacturing, processing, and logistics. Egg Rock Holdings also is the parent company of Papa &amp; Barkley Essentials, a hemp-derived CBD business based in Colorado. Mr. Gordon has spent his career investing in emerging markets globally and has formed and managed a number of large global platforms. Prior to the formation of Silver Spike Capital, Mr. Gordon was President of Fintech Advisory Inc., investment manager for a multibillion dollar family office fund focused on long-term and opportunistic investments in emerging markets. Previously, Mr. Gordon held leadership positions at several asset management firms including Marathon Asset Management, Caxton and Taconic Capital. Earlier in his career, Mr. Gordon led the Global Special Situations Group at Bank of America, the Emerging Markets business at ING Capital and was a founding member of the Emerging Markets business at JP Morgan.</w:t>
      </w:r>
    </w:p>
    <w:p>
      <w:pPr>
        <w:pStyle w:val="TextBody"/>
        <w:spacing w:lineRule="atLeast" w:line="240"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Mr. Gordon is joined at Silver Spike by a number of investment professionals who have experience spanning cannabis, consumer products, medical and scientific research and investment management. See Management for additional information about our management team.</w:t>
      </w:r>
    </w:p>
    <w:p>
      <w:pPr>
        <w:pStyle w:val="TextBody"/>
        <w:spacing w:before="240" w:after="0"/>
        <w:ind w:left="0" w:right="0" w:hanging="0"/>
        <w:jc w:val="center"/>
        <w:rPr>
          <w:rFonts w:ascii="Times New Roman;Times;Serif" w:hAnsi="Times New Roman;Times;Serif"/>
          <w:b/>
          <w:color w:val="000000"/>
          <w:sz w:val="17"/>
          <w:bdr w:val="single" w:sz="8" w:space="1" w:color="000000"/>
        </w:rPr>
      </w:pPr>
      <w:r>
        <w:rPr>
          <w:rFonts w:ascii="Times New Roman;Times;Serif" w:hAnsi="Times New Roman;Times;Serif"/>
          <w:b/>
          <w:color w:val="000000"/>
          <w:sz w:val="17"/>
          <w:bdr w:val="single" w:sz="8" w:space="1" w:color="000000"/>
        </w:rPr>
        <w:t>Business Strategy</w:t>
      </w:r>
    </w:p>
    <w:p>
      <w:pPr>
        <w:pStyle w:val="TextBody"/>
        <w:spacing w:lineRule="atLeast" w:line="240"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Our business strategy is to identify and complete our initial business combination with a target operating in the cannabis industry that is compliant with all applicable laws and regulations within the jurisdictions in which it is located or operates. We believe that there is an opportunity to take advantage of a newly emerging industry, with a variety of established operators seeking access to capital and managerial expertise. We intend to leverage our teams collective operating, technical, regulatory and legal expertise to build a strong business with competitive advantages to emerge as a leading public company in the space.</w:t>
      </w:r>
    </w:p>
    <w:p>
      <w:pPr>
        <w:pStyle w:val="TextBody"/>
        <w:spacing w:lineRule="atLeast" w:line="240"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 xml:space="preserve">As the industry continues to transition to a new legislative and regulatory framework, we believe that many companies will need a partner that can assist in providing a level of operational and financial expertise to support their growth. Our team includes a variety of investment, operational and healthcare professionals who will provide operating, technical, regulatory and legal expertise to assist a target business access the public markets, and our team includes Scott Gordon and Orrin Devinsky, both of whom have extensive expertise in cannabis. Our team consists of professionals who have decades of experience in capital markets globally, have extensive scientific and medical knowledge of the plant and its many compounds and includes entrepreneurs and founders of consumer facing businesses. </w:t>
      </w:r>
    </w:p>
    <w:p>
      <w:pPr>
        <w:pStyle w:val="TextBody"/>
        <w:spacing w:lineRule="atLeast" w:line="240"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 xml:space="preserve">Our acquisition plan is to leverage our management teams networks of potential transaction sources where we believe a combination of our management teams industry relationships, knowledge and experience could effect a </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3</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positive transformation or augmentation of existing businesses or assets. Over the course of their careers, the members of our management team have developed a broad network of contacts and corporate relationships that we believe will serve as a useful source of acquisition opportunities. We plan to leverage relationships with management teams of public and private companies, investment professionals at private equity firms and other financial sponsors, owners of private businesses, investment bankers, restructuring advisers, consultants, attorneys and accountants, which we believe should provide us with a number of business combination opportunities.</w:t>
      </w:r>
    </w:p>
    <w:p>
      <w:pPr>
        <w:pStyle w:val="TextBody"/>
        <w:spacing w:lineRule="atLeast" w:line="240"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Following the completion of this offering, the members of our management team plan to communicate with their networks of relationships to articulate the parameters for our search for a target business and a potential business combination and begin the process of pursuing and reviewing potentially interesting leads.</w:t>
      </w:r>
    </w:p>
    <w:p>
      <w:pPr>
        <w:pStyle w:val="TextBody"/>
        <w:spacing w:before="240" w:after="0"/>
        <w:ind w:left="0" w:right="0" w:hanging="0"/>
        <w:jc w:val="center"/>
        <w:rPr>
          <w:rFonts w:ascii="Times New Roman;Times;Serif" w:hAnsi="Times New Roman;Times;Serif"/>
          <w:b/>
          <w:color w:val="000000"/>
          <w:sz w:val="17"/>
          <w:bdr w:val="single" w:sz="8" w:space="1" w:color="000000"/>
        </w:rPr>
      </w:pPr>
      <w:r>
        <w:rPr>
          <w:rFonts w:ascii="Times New Roman;Times;Serif" w:hAnsi="Times New Roman;Times;Serif"/>
          <w:b/>
          <w:color w:val="000000"/>
          <w:sz w:val="17"/>
          <w:bdr w:val="single" w:sz="8" w:space="1" w:color="000000"/>
        </w:rPr>
        <w:t>Acquisition Criteria</w:t>
      </w:r>
    </w:p>
    <w:p>
      <w:pPr>
        <w:pStyle w:val="TextBody"/>
        <w:spacing w:lineRule="atLeast" w:line="240"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Consistent with our business strategy, we have identified the following general, non-exclusive criteria and guidelines that we believe are important in evaluating prospective targets for our initial business combination. We will use these criteria and guidelines in evaluating acquisition opportunities, but we may decide to enter into our initial business combination with a target that does not meet one or more of these criteria and guidelines. We expect to weigh potential upside from growth in the target business and an improved capital structure against any identified downside risks. We intend to focus on target businesses that we believe:</w:t>
      </w:r>
    </w:p>
    <w:tbl>
      <w:tblPr>
        <w:tblW w:w="5000" w:type="pct"/>
        <w:jc w:val="left"/>
        <w:tblInd w:w="0" w:type="dxa"/>
        <w:tblCellMar>
          <w:top w:w="0" w:type="dxa"/>
          <w:left w:w="0" w:type="dxa"/>
          <w:bottom w:w="0" w:type="dxa"/>
          <w:right w:w="0" w:type="dxa"/>
        </w:tblCellMar>
      </w:tblPr>
      <w:tblGrid>
        <w:gridCol w:w="235"/>
        <w:gridCol w:w="261"/>
        <w:gridCol w:w="9709"/>
      </w:tblGrid>
      <w:tr>
        <w:trPr/>
        <w:tc>
          <w:tcPr>
            <w:tcW w:w="235"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jc w:val="left"/>
              <w:rPr>
                <w:color w:val="000000"/>
              </w:rPr>
            </w:pPr>
            <w:r>
              <w:rPr>
                <w:color w:val="000000"/>
              </w:rPr>
              <w:t>•</w:t>
            </w:r>
          </w:p>
        </w:tc>
        <w:tc>
          <w:tcPr>
            <w:tcW w:w="9709"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b/>
                <w:color w:val="000000"/>
                <w:sz w:val="17"/>
              </w:rPr>
              <w:t>exhibit institutional-level operations and financial controls.</w:t>
            </w:r>
            <w:r>
              <w:rPr>
                <w:rFonts w:ascii="Times New Roman;Times;Serif" w:hAnsi="Times New Roman;Times;Serif"/>
                <w:color w:val="000000"/>
                <w:sz w:val="17"/>
              </w:rPr>
              <w:t xml:space="preserve"> We intend to seek a target in the cannabis space that not only has a leading competitive position, but also has the underlying infrastructure and operations to build a public platform;</w:t>
            </w:r>
          </w:p>
        </w:tc>
      </w:tr>
    </w:tbl>
    <w:tbl>
      <w:tblPr>
        <w:tblW w:w="5000" w:type="pct"/>
        <w:jc w:val="left"/>
        <w:tblInd w:w="0" w:type="dxa"/>
        <w:tblCellMar>
          <w:top w:w="0" w:type="dxa"/>
          <w:left w:w="0" w:type="dxa"/>
          <w:bottom w:w="0" w:type="dxa"/>
          <w:right w:w="0" w:type="dxa"/>
        </w:tblCellMar>
      </w:tblPr>
      <w:tblGrid>
        <w:gridCol w:w="236"/>
        <w:gridCol w:w="262"/>
        <w:gridCol w:w="9707"/>
      </w:tblGrid>
      <w:tr>
        <w:trPr/>
        <w:tc>
          <w:tcPr>
            <w:tcW w:w="236"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jc w:val="left"/>
              <w:rPr>
                <w:color w:val="000000"/>
              </w:rPr>
            </w:pPr>
            <w:r>
              <w:rPr>
                <w:color w:val="000000"/>
              </w:rPr>
              <w:t>•</w:t>
            </w:r>
          </w:p>
        </w:tc>
        <w:tc>
          <w:tcPr>
            <w:tcW w:w="9707"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b/>
                <w:color w:val="000000"/>
                <w:sz w:val="17"/>
              </w:rPr>
              <w:t>have durable competitive advantages that are differentiated in the sector.</w:t>
            </w:r>
            <w:r>
              <w:rPr>
                <w:rFonts w:ascii="Times New Roman;Times;Serif" w:hAnsi="Times New Roman;Times;Serif"/>
                <w:color w:val="000000"/>
                <w:sz w:val="17"/>
              </w:rPr>
              <w:t xml:space="preserve"> We intend to acquire an asset that not only benefits from secular tailwinds in the industry, but also exhibit hard-to-replicate competitive advantages amongst its peers;</w:t>
            </w:r>
          </w:p>
        </w:tc>
      </w:tr>
    </w:tbl>
    <w:tbl>
      <w:tblPr>
        <w:tblW w:w="5000" w:type="pct"/>
        <w:jc w:val="left"/>
        <w:tblInd w:w="0" w:type="dxa"/>
        <w:tblCellMar>
          <w:top w:w="0" w:type="dxa"/>
          <w:left w:w="0" w:type="dxa"/>
          <w:bottom w:w="0" w:type="dxa"/>
          <w:right w:w="0" w:type="dxa"/>
        </w:tblCellMar>
      </w:tblPr>
      <w:tblGrid>
        <w:gridCol w:w="187"/>
        <w:gridCol w:w="224"/>
        <w:gridCol w:w="9794"/>
      </w:tblGrid>
      <w:tr>
        <w:trPr/>
        <w:tc>
          <w:tcPr>
            <w:tcW w:w="187"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jc w:val="left"/>
              <w:rPr>
                <w:color w:val="000000"/>
              </w:rPr>
            </w:pPr>
            <w:r>
              <w:rPr>
                <w:color w:val="000000"/>
              </w:rPr>
              <w:t>•</w:t>
            </w:r>
          </w:p>
        </w:tc>
        <w:tc>
          <w:tcPr>
            <w:tcW w:w="9794"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b/>
                <w:color w:val="000000"/>
                <w:sz w:val="17"/>
              </w:rPr>
              <w:t>are fundamentally sound with consistent operational performance and free cash flow generation.</w:t>
            </w:r>
            <w:r>
              <w:rPr>
                <w:rFonts w:ascii="Times New Roman;Times;Serif" w:hAnsi="Times New Roman;Times;Serif"/>
                <w:color w:val="000000"/>
                <w:sz w:val="17"/>
              </w:rPr>
              <w:t xml:space="preserve"> We expect to target a business that has historically exhibited profitability and strong cash flow generation. Our management team has a proven track record accelerating growth of companies with strong past performance;</w:t>
            </w:r>
          </w:p>
        </w:tc>
      </w:tr>
    </w:tbl>
    <w:tbl>
      <w:tblPr>
        <w:tblW w:w="5000" w:type="pct"/>
        <w:jc w:val="left"/>
        <w:tblInd w:w="0" w:type="dxa"/>
        <w:tblCellMar>
          <w:top w:w="0" w:type="dxa"/>
          <w:left w:w="0" w:type="dxa"/>
          <w:bottom w:w="0" w:type="dxa"/>
          <w:right w:w="0" w:type="dxa"/>
        </w:tblCellMar>
      </w:tblPr>
      <w:tblGrid>
        <w:gridCol w:w="225"/>
        <w:gridCol w:w="253"/>
        <w:gridCol w:w="9727"/>
      </w:tblGrid>
      <w:tr>
        <w:trPr/>
        <w:tc>
          <w:tcPr>
            <w:tcW w:w="225"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jc w:val="left"/>
              <w:rPr>
                <w:color w:val="000000"/>
              </w:rPr>
            </w:pPr>
            <w:r>
              <w:rPr>
                <w:color w:val="000000"/>
              </w:rPr>
              <w:t>•</w:t>
            </w:r>
          </w:p>
        </w:tc>
        <w:tc>
          <w:tcPr>
            <w:tcW w:w="9727"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b/>
                <w:color w:val="000000"/>
                <w:sz w:val="17"/>
              </w:rPr>
              <w:t>are at an inflection point, such as requiring additional capital to achieve a growth strategy.</w:t>
            </w:r>
            <w:r>
              <w:rPr>
                <w:rFonts w:ascii="Times New Roman;Times;Serif" w:hAnsi="Times New Roman;Times;Serif"/>
                <w:color w:val="000000"/>
                <w:sz w:val="17"/>
              </w:rPr>
              <w:t xml:space="preserve"> We intend to look for targets that have clear opportunities for long-term sustainable growth, but which require our capital or expertise to achieve a growth strategy;</w:t>
            </w:r>
          </w:p>
        </w:tc>
      </w:tr>
    </w:tbl>
    <w:tbl>
      <w:tblPr>
        <w:tblW w:w="5000" w:type="pct"/>
        <w:jc w:val="left"/>
        <w:tblInd w:w="0" w:type="dxa"/>
        <w:tblCellMar>
          <w:top w:w="0" w:type="dxa"/>
          <w:left w:w="0" w:type="dxa"/>
          <w:bottom w:w="0" w:type="dxa"/>
          <w:right w:w="0" w:type="dxa"/>
        </w:tblCellMar>
      </w:tblPr>
      <w:tblGrid>
        <w:gridCol w:w="147"/>
        <w:gridCol w:w="194"/>
        <w:gridCol w:w="9864"/>
      </w:tblGrid>
      <w:tr>
        <w:trPr/>
        <w:tc>
          <w:tcPr>
            <w:tcW w:w="147"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jc w:val="left"/>
              <w:rPr>
                <w:color w:val="000000"/>
              </w:rPr>
            </w:pPr>
            <w:r>
              <w:rPr>
                <w:color w:val="000000"/>
              </w:rPr>
              <w:t>•</w:t>
            </w:r>
          </w:p>
        </w:tc>
        <w:tc>
          <w:tcPr>
            <w:tcW w:w="9864"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b/>
                <w:color w:val="000000"/>
                <w:sz w:val="17"/>
              </w:rPr>
              <w:t>have the potential to further improve their performance under our ownership.</w:t>
            </w:r>
            <w:r>
              <w:rPr>
                <w:rFonts w:ascii="Times New Roman;Times;Serif" w:hAnsi="Times New Roman;Times;Serif"/>
                <w:color w:val="000000"/>
                <w:sz w:val="17"/>
              </w:rPr>
              <w:t xml:space="preserve"> We intend to seek targets where we believe we can improve company results by leveraging our transactional, financial, managerial and investment experience as well as our extensive networks and insights. We believe our management team has the right skills and capabilities to enhance companies’ results and consolidate competitive positions in their sectors;</w:t>
            </w:r>
          </w:p>
        </w:tc>
      </w:tr>
    </w:tbl>
    <w:tbl>
      <w:tblPr>
        <w:tblW w:w="5000" w:type="pct"/>
        <w:jc w:val="left"/>
        <w:tblInd w:w="0" w:type="dxa"/>
        <w:tblCellMar>
          <w:top w:w="0" w:type="dxa"/>
          <w:left w:w="0" w:type="dxa"/>
          <w:bottom w:w="0" w:type="dxa"/>
          <w:right w:w="0" w:type="dxa"/>
        </w:tblCellMar>
      </w:tblPr>
      <w:tblGrid>
        <w:gridCol w:w="214"/>
        <w:gridCol w:w="245"/>
        <w:gridCol w:w="9746"/>
      </w:tblGrid>
      <w:tr>
        <w:trPr/>
        <w:tc>
          <w:tcPr>
            <w:tcW w:w="214"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jc w:val="left"/>
              <w:rPr>
                <w:color w:val="000000"/>
              </w:rPr>
            </w:pPr>
            <w:r>
              <w:rPr>
                <w:color w:val="000000"/>
              </w:rPr>
              <w:t>•</w:t>
            </w:r>
          </w:p>
        </w:tc>
        <w:tc>
          <w:tcPr>
            <w:tcW w:w="9746"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b/>
                <w:color w:val="000000"/>
                <w:sz w:val="17"/>
              </w:rPr>
              <w:t>may benefit from capital markets access.</w:t>
            </w:r>
            <w:r>
              <w:rPr>
                <w:rFonts w:ascii="Times New Roman;Times;Serif" w:hAnsi="Times New Roman;Times;Serif"/>
                <w:color w:val="000000"/>
                <w:sz w:val="17"/>
              </w:rPr>
              <w:t xml:space="preserve"> We intend to seek a target that may benefit from being, or has the potential to become, a public company with an increased public profile, enhanced corporate governance and increased access to a more diversified pool of capital; and</w:t>
            </w:r>
          </w:p>
        </w:tc>
      </w:tr>
    </w:tbl>
    <w:tbl>
      <w:tblPr>
        <w:tblW w:w="5000" w:type="pct"/>
        <w:jc w:val="left"/>
        <w:tblInd w:w="0" w:type="dxa"/>
        <w:tblCellMar>
          <w:top w:w="0" w:type="dxa"/>
          <w:left w:w="0" w:type="dxa"/>
          <w:bottom w:w="0" w:type="dxa"/>
          <w:right w:w="0" w:type="dxa"/>
        </w:tblCellMar>
      </w:tblPr>
      <w:tblGrid>
        <w:gridCol w:w="289"/>
        <w:gridCol w:w="302"/>
        <w:gridCol w:w="9614"/>
      </w:tblGrid>
      <w:tr>
        <w:trPr/>
        <w:tc>
          <w:tcPr>
            <w:tcW w:w="289"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jc w:val="left"/>
              <w:rPr>
                <w:color w:val="000000"/>
              </w:rPr>
            </w:pPr>
            <w:r>
              <w:rPr>
                <w:color w:val="000000"/>
              </w:rPr>
              <w:t>•</w:t>
            </w:r>
          </w:p>
        </w:tc>
        <w:tc>
          <w:tcPr>
            <w:tcW w:w="9614"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b/>
                <w:color w:val="000000"/>
                <w:sz w:val="17"/>
              </w:rPr>
              <w:t>exhibit unrecognized value and desirable returns on capital.</w:t>
            </w:r>
            <w:r>
              <w:rPr>
                <w:rFonts w:ascii="Times New Roman;Times;Serif" w:hAnsi="Times New Roman;Times;Serif"/>
                <w:color w:val="000000"/>
                <w:sz w:val="17"/>
              </w:rPr>
              <w:t xml:space="preserve"> We will look for targets that we believe have been undervalued by the marketplace based on our analysis and due diligence review.</w:t>
            </w:r>
          </w:p>
        </w:tc>
      </w:tr>
    </w:tbl>
    <w:p>
      <w:pPr>
        <w:pStyle w:val="TextBody"/>
        <w:spacing w:lineRule="atLeast" w:line="240"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These criteria are not intended to be exhaustive. Any evaluation relating to the merits of a particular initial business combination may be based, to the extent relevant, on these general criteria and guidelines as well as other considerations, factors and criteria that our management may deem relevant. In the event that we decide to enter into our initial business combination with a target business that does not meet the above criteria and guidelines, we will disclose that the target business does not meet the above criteria and guidelines in our shareholder communications related to our initial business combination, which, as discussed in this prospectus, would be in the form of proxy solicitation or tender offer materials that we would file with the SEC.</w:t>
      </w:r>
    </w:p>
    <w:p>
      <w:pPr>
        <w:pStyle w:val="TextBody"/>
        <w:spacing w:before="240" w:after="0"/>
        <w:ind w:left="0" w:right="0" w:hanging="0"/>
        <w:jc w:val="center"/>
        <w:rPr>
          <w:rFonts w:ascii="Times New Roman;Times;Serif" w:hAnsi="Times New Roman;Times;Serif"/>
          <w:b/>
          <w:color w:val="000000"/>
          <w:sz w:val="17"/>
          <w:bdr w:val="single" w:sz="8" w:space="1" w:color="000000"/>
        </w:rPr>
      </w:pPr>
      <w:r>
        <w:rPr>
          <w:rFonts w:ascii="Times New Roman;Times;Serif" w:hAnsi="Times New Roman;Times;Serif"/>
          <w:b/>
          <w:color w:val="000000"/>
          <w:sz w:val="17"/>
          <w:bdr w:val="single" w:sz="8" w:space="1" w:color="000000"/>
        </w:rPr>
        <w:t>Acquisition Process</w:t>
      </w:r>
    </w:p>
    <w:p>
      <w:pPr>
        <w:pStyle w:val="TextBody"/>
        <w:spacing w:lineRule="atLeast" w:line="240"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We have not selected any business combination target and we have not, nor has anyone on our behalf, initiated any substantive discussions, directly or indirectly, with any business combination target.</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4</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Certain of our officers and directors presently have, and any of them in the future may have, additional, fiduciary or contractual obligations to other entities pursuant to which such officer or director is or will be required to present a business combination opportunity to such entity. Accordingly, if any of our officers or directors becomes aware of a business combination opportunity that is suitable for an entity to which he or she has then-current fiduciary or contractual obligations, he or she may need to honor these fiduciary or contractual obligations to present such business combination opportunity to such entity, subject to their fiduciary duties under Cayman Islands law. We do not believe, however, that the fiduciary duties or contractual obligations of our officers or directors will materially affect our ability to complete our initial business combination.</w:t>
      </w:r>
    </w:p>
    <w:p>
      <w:pPr>
        <w:pStyle w:val="TextBody"/>
        <w:spacing w:before="240" w:after="0"/>
        <w:ind w:left="0" w:right="0" w:hanging="0"/>
        <w:jc w:val="center"/>
        <w:rPr>
          <w:rFonts w:ascii="Times New Roman;Times;Serif" w:hAnsi="Times New Roman;Times;Serif"/>
          <w:b/>
          <w:color w:val="000000"/>
          <w:sz w:val="17"/>
          <w:bdr w:val="single" w:sz="8" w:space="1" w:color="000000"/>
        </w:rPr>
      </w:pPr>
      <w:r>
        <w:rPr>
          <w:rFonts w:ascii="Times New Roman;Times;Serif" w:hAnsi="Times New Roman;Times;Serif"/>
          <w:b/>
          <w:color w:val="000000"/>
          <w:sz w:val="17"/>
          <w:bdr w:val="single" w:sz="8" w:space="1" w:color="000000"/>
        </w:rPr>
        <w:t>Initial Business Combination</w:t>
      </w:r>
    </w:p>
    <w:p>
      <w:pPr>
        <w:pStyle w:val="TextBody"/>
        <w:spacing w:lineRule="atLeast" w:line="240"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The rules of Nasdaq require that our initial business combination occur with one or more target businesses that together have an aggregate fair market value of at least 80% of the assets held in the trust account (excluding the deferred underwriting commissions and taxes payable on the income earned on the trust account) at the time of the agreement to enter into the initial business combination. We refer to this as the 80% fair market value test. The fair market value of the target or targets will be determined by our board of directors based upon one or more standards generally accepted by the financial community (such as actual and potential sales, earnings, cash flow and/or book value). Even though our board of directors will rely on generally accepted standards, our board of directors will have discretion to select the standards employed. In addition, the application of the standards generally involves a substantial degree of judgment. Accordingly, investors will be relying on the business judgment of the board of directors in evaluating the fair market value of the target or targets. The proxy solicitation materials or tender offer documents used by us in connection with any proposed transaction will provide public shareholders with our analysis of our satisfaction of the 80% fair market value test, as well as the basis for our determinations. If our board is not able independently to determine the fair market value of the target business or businesses, we will obtain an opinion from an independent investment banking firm, or another independent entity that commonly renders valuation opinions, with respect to the satisfaction of such criteria. We do not currently intend to purchase multiple businesses in unrelated industries in conjunction with our initial business combination, although there is no restriction on our doing so.</w:t>
      </w:r>
    </w:p>
    <w:p>
      <w:pPr>
        <w:pStyle w:val="TextBody"/>
        <w:spacing w:lineRule="atLeast" w:line="240"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We anticipate structuring our initial business combination so that the post-transaction company in which our public shareholders own shares will own or acquire 100% of the issued and outstanding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target management team or shareholders or for other reasons, but we will only complete such business combination if the post-transaction company owns or acquires 50% or more of the issued and outstanding voting securities of the target or otherwise acquires a controlling interest in the target business sufficient for it not to be required to register as an investment company under the Investment Company Act of 1940, as amended, or the Investment Company Act. Even if the post-transaction company owns or acquires 50% or more of the voting securities of the target, our shareholders prior to our initial business combination may collectively own a minority interest in the post-transaction company, depending on valuations ascribed to the target and us in our initial business combination transaction. For example, we could pursue a transaction in which we issue a substantial number of new shares in exchange for all of the issued and outstanding capital stock or shares of a target. In this case, we would acquire a 100% controlling interest in the target. However, as a result of the issuance of a substantial number of new shares, our shareholders immediately prior to our initial business combination could own less than a majority of our issued and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fair market value test. If our initial business combination involves more than one target business, the 80% fair market value test will be based on the aggregate value of all of the target businesses. Notwithstanding the foregoing, if we are not then listed on Nasdaq for whatever reason, we would no longer be required to meet the foregoing 80% fair market value test.</w:t>
      </w:r>
    </w:p>
    <w:p>
      <w:pPr>
        <w:pStyle w:val="TextBody"/>
        <w:spacing w:lineRule="atLeast" w:line="240"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We have filed a Registration Statement on Form 8-A with the SEC to voluntarily register our securities under Section 12 of the Securities Exchange Act of 1934, as amended, or the Exchange Act. As a result, we are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5</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before="240" w:after="0"/>
        <w:ind w:left="0" w:right="0" w:hanging="0"/>
        <w:jc w:val="center"/>
        <w:rPr>
          <w:rFonts w:ascii="Times New Roman;Times;Serif" w:hAnsi="Times New Roman;Times;Serif"/>
          <w:b/>
          <w:color w:val="000000"/>
          <w:sz w:val="17"/>
          <w:bdr w:val="single" w:sz="8" w:space="1" w:color="000000"/>
        </w:rPr>
      </w:pPr>
      <w:r>
        <w:rPr>
          <w:rFonts w:ascii="Times New Roman;Times;Serif" w:hAnsi="Times New Roman;Times;Serif"/>
          <w:b/>
          <w:color w:val="000000"/>
          <w:sz w:val="17"/>
          <w:bdr w:val="single" w:sz="8" w:space="1" w:color="000000"/>
        </w:rPr>
        <w:t>Emerging Growth Company Status and Other Corporate Information</w:t>
      </w:r>
    </w:p>
    <w:p>
      <w:pPr>
        <w:pStyle w:val="TextBody"/>
        <w:spacing w:lineRule="atLeast" w:line="240"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We are an emerging growth company, as defined in Section 2(a) of the Securities Act of 1933, as amended, or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pStyle w:val="TextBody"/>
        <w:spacing w:lineRule="atLeast" w:line="240"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pStyle w:val="TextBody"/>
        <w:spacing w:lineRule="atLeast" w:line="240"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ordinary shares that is held by non-affiliates exceeds $700 million as of the end of the prior fiscal years second fiscal quarter and (2) the date on which we have issued more than $1.00 billion in non-convertible debt securities during the prior three-year period. References herein to emerging growth company shall have the meaning associated with it in the JOBS Act.</w:t>
      </w:r>
    </w:p>
    <w:p>
      <w:pPr>
        <w:pStyle w:val="TextBody"/>
        <w:spacing w:lineRule="atLeast" w:line="240"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Exempted companies are Cayman Islands companies wishing to conduct business outside the Cayman Islands and, as such, are exempted from complying with certain provisions of the Companies Law. As an exempted company, we have applied for and received a tax exemption undertaking from the Cayman Islands government that, in accordance with Section 6 of the Tax Concessions Law (2018 Revision) of the Cayman Islands, for a period of 30 years from the date of the undertaking, no law which is enacted in the Cayman Islands imposing any tax to be levied on profits, income, gains or appreciations shall apply to us or our operations and, in addition, that no tax to be levied on profits, income, gains or appreciations or which is in the nature of estate duty or inheritance tax shall be payable (1) on or in respect of our shares, debentures or other obligations or (2) by way of the withholding in whole or in part of a payment of dividend or other distribution of income or capital by us to our shareholders or a payment of principal or interest or other sums due under a debenture or other obligation of us.</w:t>
      </w:r>
    </w:p>
    <w:p>
      <w:pPr>
        <w:pStyle w:val="TextBody"/>
        <w:spacing w:lineRule="atLeast" w:line="240"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We are a Cayman Islands exempted company incorporated in June 2019. Our executive offices are located at 1114 6th Ave, 41st Floor, New York, New York, 10036 and our telephone number is (212) 905-4923.</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6</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before="240" w:after="0"/>
        <w:ind w:left="0" w:right="0" w:hanging="0"/>
        <w:jc w:val="center"/>
        <w:rPr>
          <w:rFonts w:ascii="Times New Roman;Times;Serif" w:hAnsi="Times New Roman;Times;Serif"/>
          <w:b/>
          <w:color w:val="000000"/>
          <w:sz w:val="17"/>
          <w:bdr w:val="single" w:sz="8" w:space="1" w:color="000000"/>
        </w:rPr>
      </w:pPr>
      <w:bookmarkStart w:id="5" w:name="tTO"/>
      <w:bookmarkEnd w:id="5"/>
      <w:r>
        <w:rPr>
          <w:rFonts w:ascii="Times New Roman;Times;Serif" w:hAnsi="Times New Roman;Times;Serif"/>
          <w:b/>
          <w:color w:val="000000"/>
          <w:sz w:val="17"/>
          <w:bdr w:val="single" w:sz="8" w:space="1" w:color="000000"/>
        </w:rPr>
        <w:t>THE OFFERING</w:t>
      </w:r>
    </w:p>
    <w:p>
      <w:pPr>
        <w:pStyle w:val="TextBody"/>
        <w:spacing w:lineRule="atLeast" w:line="240" w:before="120" w:after="0"/>
        <w:ind w:left="0" w:right="0" w:hanging="0"/>
        <w:jc w:val="left"/>
        <w:rPr>
          <w:rFonts w:ascii="Times New Roman;Times;Serif" w:hAnsi="Times New Roman;Times;Serif"/>
          <w:b/>
          <w:i/>
          <w:color w:val="000000"/>
          <w:sz w:val="17"/>
          <w:bdr w:val="single" w:sz="8" w:space="1" w:color="000000"/>
        </w:rPr>
      </w:pPr>
      <w:r>
        <w:rPr>
          <w:rFonts w:ascii="Times New Roman;Times;Serif" w:hAnsi="Times New Roman;Times;Serif"/>
          <w:b/>
          <w:i/>
          <w:color w:val="000000"/>
          <w:sz w:val="17"/>
          <w:bdr w:val="single" w:sz="8" w:space="1" w:color="000000"/>
        </w:rPr>
        <w:t>In making your decision whether to invest in our securities, you should take into account not only the backgrounds of the members of our management team,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consider these and the other risks set forth in the section below entitled Risk Factors of this prospectus.</w:t>
      </w:r>
    </w:p>
    <w:p>
      <w:pPr>
        <w:pStyle w:val="TextBody"/>
        <w:spacing w:lineRule="atLeast" w:line="240"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 xml:space="preserve">25,000,000 units (or 28,750,000 units if the underwriters over-allotment option is exercised in full), at $10.00 per unit, each unit consisting of: </w:t>
      </w:r>
      <w:r>
        <mc:AlternateContent>
          <mc:Choice Requires="wps">
            <w:drawing>
              <wp:anchor behindDoc="0" distT="76200" distB="0" distL="0" distR="0" simplePos="0" locked="0" layoutInCell="1" allowOverlap="1" relativeHeight="2">
                <wp:simplePos x="0" y="0"/>
                <wp:positionH relativeFrom="column">
                  <wp:align>left</wp:align>
                </wp:positionH>
                <wp:positionV relativeFrom="line">
                  <wp:align>top</wp:align>
                </wp:positionV>
                <wp:extent cx="2971800" cy="120650"/>
                <wp:effectExtent l="0" t="0" r="0" b="0"/>
                <wp:wrapSquare wrapText="largest"/>
                <wp:docPr id="1" name="Frame1"/>
                <a:graphic xmlns:a="http://schemas.openxmlformats.org/drawingml/2006/main">
                  <a:graphicData uri="http://schemas.microsoft.com/office/word/2010/wordprocessingShape">
                    <wps:wsp>
                      <wps:cNvSpPr txBox="1"/>
                      <wps:spPr>
                        <a:xfrm>
                          <a:off x="0" y="0"/>
                          <a:ext cx="2971800" cy="120650"/>
                        </a:xfrm>
                        <a:prstGeom prst="rect"/>
                      </wps:spPr>
                      <wps:txbx>
                        <w:txbxContent>
                          <w:p>
                            <w:pPr>
                              <w:pStyle w:val="TextBody"/>
                              <w:spacing w:before="0" w:after="283"/>
                              <w:jc w:val="left"/>
                              <w:rPr>
                                <w:rFonts w:ascii="Times New Roman;Times;Serif" w:hAnsi="Times New Roman;Times;Serif"/>
                                <w:b/>
                                <w:color w:val="000000"/>
                                <w:sz w:val="17"/>
                              </w:rPr>
                            </w:pPr>
                            <w:r>
                              <w:rPr>
                                <w:rFonts w:ascii="Times New Roman;Times;Serif" w:hAnsi="Times New Roman;Times;Serif"/>
                                <w:b/>
                                <w:color w:val="000000"/>
                                <w:sz w:val="17"/>
                              </w:rPr>
                              <w:t xml:space="preserve">Securities offered </w:t>
                            </w:r>
                          </w:p>
                        </w:txbxContent>
                      </wps:txbx>
                      <wps:bodyPr anchor="t" lIns="0" tIns="0" rIns="0" bIns="0">
                        <a:noAutofit/>
                      </wps:bodyPr>
                    </wps:wsp>
                  </a:graphicData>
                </a:graphic>
              </wp:anchor>
            </w:drawing>
          </mc:Choice>
          <mc:Fallback>
            <w:pict>
              <v:rect style="position:absolute;rotation:0;width:234pt;height:9.5pt;mso-wrap-distance-left:0pt;mso-wrap-distance-right:0pt;mso-wrap-distance-top:6pt;mso-wrap-distance-bottom:0pt;margin-top:6pt;mso-position-vertical:top;mso-position-vertical-relative:text;margin-left:0pt;mso-position-horizontal:left;mso-position-horizontal-relative:text">
                <v:textbox inset="0in,0in,0in,0in">
                  <w:txbxContent>
                    <w:p>
                      <w:pPr>
                        <w:pStyle w:val="TextBody"/>
                        <w:spacing w:before="0" w:after="283"/>
                        <w:jc w:val="left"/>
                        <w:rPr>
                          <w:rFonts w:ascii="Times New Roman;Times;Serif" w:hAnsi="Times New Roman;Times;Serif"/>
                          <w:b/>
                          <w:color w:val="000000"/>
                          <w:sz w:val="17"/>
                        </w:rPr>
                      </w:pPr>
                      <w:r>
                        <w:rPr>
                          <w:rFonts w:ascii="Times New Roman;Times;Serif" w:hAnsi="Times New Roman;Times;Serif"/>
                          <w:b/>
                          <w:color w:val="000000"/>
                          <w:sz w:val="17"/>
                        </w:rPr>
                        <w:t xml:space="preserve">Securities offered </w:t>
                      </w:r>
                    </w:p>
                  </w:txbxContent>
                </v:textbox>
                <w10:wrap type="square" side="right"/>
              </v:rect>
            </w:pict>
          </mc:Fallback>
        </mc:AlternateContent>
      </w:r>
    </w:p>
    <w:tbl>
      <w:tblPr>
        <w:tblW w:w="5000" w:type="pct"/>
        <w:jc w:val="left"/>
        <w:tblInd w:w="0" w:type="dxa"/>
        <w:tblCellMar>
          <w:top w:w="0" w:type="dxa"/>
          <w:left w:w="0" w:type="dxa"/>
          <w:bottom w:w="0" w:type="dxa"/>
          <w:right w:w="0" w:type="dxa"/>
        </w:tblCellMar>
      </w:tblPr>
      <w:tblGrid>
        <w:gridCol w:w="6600"/>
        <w:gridCol w:w="534"/>
        <w:gridCol w:w="3071"/>
      </w:tblGrid>
      <w:tr>
        <w:trPr/>
        <w:tc>
          <w:tcPr>
            <w:tcW w:w="6600"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jc w:val="left"/>
              <w:rPr>
                <w:color w:val="000000"/>
              </w:rPr>
            </w:pPr>
            <w:r>
              <w:rPr>
                <w:color w:val="000000"/>
              </w:rPr>
              <w:t>•</w:t>
            </w:r>
          </w:p>
        </w:tc>
        <w:tc>
          <w:tcPr>
            <w:tcW w:w="3071"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one Class A ordinary share; and</w:t>
            </w:r>
          </w:p>
        </w:tc>
      </w:tr>
    </w:tbl>
    <w:tbl>
      <w:tblPr>
        <w:tblW w:w="5000" w:type="pct"/>
        <w:jc w:val="left"/>
        <w:tblInd w:w="0" w:type="dxa"/>
        <w:tblCellMar>
          <w:top w:w="0" w:type="dxa"/>
          <w:left w:w="0" w:type="dxa"/>
          <w:bottom w:w="0" w:type="dxa"/>
          <w:right w:w="0" w:type="dxa"/>
        </w:tblCellMar>
      </w:tblPr>
      <w:tblGrid>
        <w:gridCol w:w="6319"/>
        <w:gridCol w:w="512"/>
        <w:gridCol w:w="3374"/>
      </w:tblGrid>
      <w:tr>
        <w:trPr/>
        <w:tc>
          <w:tcPr>
            <w:tcW w:w="6319"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jc w:val="left"/>
              <w:rPr>
                <w:color w:val="000000"/>
              </w:rPr>
            </w:pPr>
            <w:r>
              <w:rPr>
                <w:color w:val="000000"/>
              </w:rPr>
              <w:t>•</w:t>
            </w:r>
          </w:p>
        </w:tc>
        <w:tc>
          <w:tcPr>
            <w:tcW w:w="3374"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one-half of one redeemable warrant.</w:t>
            </w:r>
          </w:p>
        </w:tc>
      </w:tr>
    </w:tbl>
    <w:p>
      <w:pPr>
        <w:pStyle w:val="TextBody"/>
        <w:spacing w:before="120" w:after="283"/>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Units: SSPKU</w:t>
      </w:r>
      <w:r>
        <mc:AlternateContent>
          <mc:Choice Requires="wps">
            <w:drawing>
              <wp:anchor behindDoc="0" distT="76200" distB="0" distL="0" distR="0" simplePos="0" locked="0" layoutInCell="1" allowOverlap="1" relativeHeight="3">
                <wp:simplePos x="0" y="0"/>
                <wp:positionH relativeFrom="column">
                  <wp:align>left</wp:align>
                </wp:positionH>
                <wp:positionV relativeFrom="line">
                  <wp:align>top</wp:align>
                </wp:positionV>
                <wp:extent cx="2971800" cy="120650"/>
                <wp:effectExtent l="0" t="0" r="0" b="0"/>
                <wp:wrapSquare wrapText="largest"/>
                <wp:docPr id="2" name="Frame2"/>
                <a:graphic xmlns:a="http://schemas.openxmlformats.org/drawingml/2006/main">
                  <a:graphicData uri="http://schemas.microsoft.com/office/word/2010/wordprocessingShape">
                    <wps:wsp>
                      <wps:cNvSpPr txBox="1"/>
                      <wps:spPr>
                        <a:xfrm>
                          <a:off x="0" y="0"/>
                          <a:ext cx="2971800" cy="120650"/>
                        </a:xfrm>
                        <a:prstGeom prst="rect"/>
                      </wps:spPr>
                      <wps:txbx>
                        <w:txbxContent>
                          <w:p>
                            <w:pPr>
                              <w:pStyle w:val="TextBody"/>
                              <w:spacing w:before="0" w:after="283"/>
                              <w:jc w:val="left"/>
                              <w:rPr>
                                <w:rFonts w:ascii="Times New Roman;Times;Serif" w:hAnsi="Times New Roman;Times;Serif"/>
                                <w:b/>
                                <w:color w:val="000000"/>
                                <w:sz w:val="17"/>
                              </w:rPr>
                            </w:pPr>
                            <w:r>
                              <w:rPr>
                                <w:rFonts w:ascii="Times New Roman;Times;Serif" w:hAnsi="Times New Roman;Times;Serif"/>
                                <w:b/>
                                <w:color w:val="000000"/>
                                <w:sz w:val="17"/>
                              </w:rPr>
                              <w:t xml:space="preserve">Nasdaq symbols </w:t>
                            </w:r>
                          </w:p>
                        </w:txbxContent>
                      </wps:txbx>
                      <wps:bodyPr anchor="t" lIns="0" tIns="0" rIns="0" bIns="0">
                        <a:noAutofit/>
                      </wps:bodyPr>
                    </wps:wsp>
                  </a:graphicData>
                </a:graphic>
              </wp:anchor>
            </w:drawing>
          </mc:Choice>
          <mc:Fallback>
            <w:pict>
              <v:rect style="position:absolute;rotation:0;width:234pt;height:9.5pt;mso-wrap-distance-left:0pt;mso-wrap-distance-right:0pt;mso-wrap-distance-top:6pt;mso-wrap-distance-bottom:0pt;margin-top:6pt;mso-position-vertical:top;mso-position-vertical-relative:text;margin-left:0pt;mso-position-horizontal:left;mso-position-horizontal-relative:text">
                <v:textbox inset="0in,0in,0in,0in">
                  <w:txbxContent>
                    <w:p>
                      <w:pPr>
                        <w:pStyle w:val="TextBody"/>
                        <w:spacing w:before="0" w:after="283"/>
                        <w:jc w:val="left"/>
                        <w:rPr>
                          <w:rFonts w:ascii="Times New Roman;Times;Serif" w:hAnsi="Times New Roman;Times;Serif"/>
                          <w:b/>
                          <w:color w:val="000000"/>
                          <w:sz w:val="17"/>
                        </w:rPr>
                      </w:pPr>
                      <w:r>
                        <w:rPr>
                          <w:rFonts w:ascii="Times New Roman;Times;Serif" w:hAnsi="Times New Roman;Times;Serif"/>
                          <w:b/>
                          <w:color w:val="000000"/>
                          <w:sz w:val="17"/>
                        </w:rPr>
                        <w:t xml:space="preserve">Nasdaq symbols </w:t>
                      </w:r>
                    </w:p>
                  </w:txbxContent>
                </v:textbox>
                <w10:wrap type="square" side="right"/>
              </v:rect>
            </w:pict>
          </mc:Fallback>
        </mc:AlternateContent>
      </w:r>
    </w:p>
    <w:p>
      <w:pPr>
        <w:pStyle w:val="TextBody"/>
        <w:spacing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Class A Ordinary Shares: SSPK</w:t>
      </w:r>
    </w:p>
    <w:p>
      <w:pPr>
        <w:pStyle w:val="TextBody"/>
        <w:spacing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Warrants: SSPKW</w:t>
      </w:r>
    </w:p>
    <w:p>
      <w:pPr>
        <w:pStyle w:val="TextBody"/>
        <w:spacing w:lineRule="atLeast" w:line="240"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The units will begin trading promptly after the date of this prospectus. The Class A ordinary shares and warrants constituting the units will begin separate trading on the 52nd day following the date of this prospectus unless Credit Suisse Securities (USA) LLC informs us of its decision to allow earlier separate trading, subject to our having filed the Current Report on Form 8-K described below and having issued a press release announcing when such separate trading will begin. Once the Class A ordinary shares and warrants commence separate trading, holders will have the option to continue to hold units or separate their units into the component securities. Holders will need to have their brokers contact our transfer agent in order to separate the units into Class A ordinary shares and warrants. No fractional warrants will be issued upon separation of the units and only whole warrants will trade. Accordingly, unless you purchase at least two units, you will not be able to receive or trade a whole warrant.</w:t>
      </w:r>
      <w:r>
        <mc:AlternateContent>
          <mc:Choice Requires="wps">
            <w:drawing>
              <wp:anchor behindDoc="0" distT="76200" distB="0" distL="0" distR="0" simplePos="0" locked="0" layoutInCell="1" allowOverlap="1" relativeHeight="4">
                <wp:simplePos x="0" y="0"/>
                <wp:positionH relativeFrom="column">
                  <wp:align>left</wp:align>
                </wp:positionH>
                <wp:positionV relativeFrom="line">
                  <wp:align>top</wp:align>
                </wp:positionV>
                <wp:extent cx="2838450" cy="304800"/>
                <wp:effectExtent l="0" t="0" r="0" b="0"/>
                <wp:wrapSquare wrapText="largest"/>
                <wp:docPr id="3" name="Frame3"/>
                <a:graphic xmlns:a="http://schemas.openxmlformats.org/drawingml/2006/main">
                  <a:graphicData uri="http://schemas.microsoft.com/office/word/2010/wordprocessingShape">
                    <wps:wsp>
                      <wps:cNvSpPr txBox="1"/>
                      <wps:spPr>
                        <a:xfrm>
                          <a:off x="0" y="0"/>
                          <a:ext cx="2838450" cy="304800"/>
                        </a:xfrm>
                        <a:prstGeom prst="rect"/>
                      </wps:spPr>
                      <wps:txbx>
                        <w:txbxContent>
                          <w:p>
                            <w:pPr>
                              <w:pStyle w:val="TextBody"/>
                              <w:spacing w:lineRule="atLeast" w:line="240" w:before="0" w:after="283"/>
                              <w:jc w:val="left"/>
                              <w:rPr>
                                <w:rFonts w:ascii="Times New Roman;Times;Serif" w:hAnsi="Times New Roman;Times;Serif"/>
                                <w:b/>
                                <w:color w:val="000000"/>
                                <w:sz w:val="17"/>
                              </w:rPr>
                            </w:pPr>
                            <w:r>
                              <w:rPr>
                                <w:rFonts w:ascii="Times New Roman;Times;Serif" w:hAnsi="Times New Roman;Times;Serif"/>
                                <w:b/>
                                <w:color w:val="000000"/>
                                <w:sz w:val="17"/>
                              </w:rPr>
                              <w:t>Trading commencement and separation of Class A ordinary shares and warrants</w:t>
                            </w:r>
                          </w:p>
                        </w:txbxContent>
                      </wps:txbx>
                      <wps:bodyPr anchor="t" lIns="0" tIns="0" rIns="0" bIns="0">
                        <a:noAutofit/>
                      </wps:bodyPr>
                    </wps:wsp>
                  </a:graphicData>
                </a:graphic>
              </wp:anchor>
            </w:drawing>
          </mc:Choice>
          <mc:Fallback>
            <w:pict>
              <v:rect style="position:absolute;rotation:0;width:223.5pt;height:24pt;mso-wrap-distance-left:0pt;mso-wrap-distance-right:0pt;mso-wrap-distance-top:6pt;mso-wrap-distance-bottom:0pt;margin-top:6pt;mso-position-vertical:top;mso-position-vertical-relative:text;margin-left:0pt;mso-position-horizontal:left;mso-position-horizontal-relative:text">
                <v:textbox inset="0in,0in,0in,0in">
                  <w:txbxContent>
                    <w:p>
                      <w:pPr>
                        <w:pStyle w:val="TextBody"/>
                        <w:spacing w:lineRule="atLeast" w:line="240" w:before="0" w:after="283"/>
                        <w:jc w:val="left"/>
                        <w:rPr>
                          <w:rFonts w:ascii="Times New Roman;Times;Serif" w:hAnsi="Times New Roman;Times;Serif"/>
                          <w:b/>
                          <w:color w:val="000000"/>
                          <w:sz w:val="17"/>
                        </w:rPr>
                      </w:pPr>
                      <w:r>
                        <w:rPr>
                          <w:rFonts w:ascii="Times New Roman;Times;Serif" w:hAnsi="Times New Roman;Times;Serif"/>
                          <w:b/>
                          <w:color w:val="000000"/>
                          <w:sz w:val="17"/>
                        </w:rPr>
                        <w:t>Trading commencement and separation of Class A ordinary shares and warrants</w:t>
                      </w:r>
                    </w:p>
                  </w:txbxContent>
                </v:textbox>
                <w10:wrap type="square" side="right"/>
              </v:rect>
            </w:pict>
          </mc:Fallback>
        </mc:AlternateContent>
      </w:r>
    </w:p>
    <w:p>
      <w:pPr>
        <w:pStyle w:val="TextBody"/>
        <w:spacing w:lineRule="atLeast" w:line="240" w:before="120" w:after="283"/>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In no event will the Class A ordinary shares and warrants be traded separately until we have filed with the SEC a Current Report on Form 8-K which includes an audited balance sheet of the Company reflecting our receipt of the gross proceeds at the closing of this offering. We will file the Current Report on Form 8-K promptly after the closing of this offering.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r>
        <mc:AlternateContent>
          <mc:Choice Requires="wps">
            <w:drawing>
              <wp:anchor behindDoc="0" distT="76200" distB="0" distL="0" distR="0" simplePos="0" locked="0" layoutInCell="1" allowOverlap="1" relativeHeight="5">
                <wp:simplePos x="0" y="0"/>
                <wp:positionH relativeFrom="column">
                  <wp:align>left</wp:align>
                </wp:positionH>
                <wp:positionV relativeFrom="line">
                  <wp:align>top</wp:align>
                </wp:positionV>
                <wp:extent cx="2838450" cy="304800"/>
                <wp:effectExtent l="0" t="0" r="0" b="0"/>
                <wp:wrapSquare wrapText="largest"/>
                <wp:docPr id="4" name="Frame4"/>
                <a:graphic xmlns:a="http://schemas.openxmlformats.org/drawingml/2006/main">
                  <a:graphicData uri="http://schemas.microsoft.com/office/word/2010/wordprocessingShape">
                    <wps:wsp>
                      <wps:cNvSpPr txBox="1"/>
                      <wps:spPr>
                        <a:xfrm>
                          <a:off x="0" y="0"/>
                          <a:ext cx="2838450" cy="304800"/>
                        </a:xfrm>
                        <a:prstGeom prst="rect"/>
                      </wps:spPr>
                      <wps:txbx>
                        <w:txbxContent>
                          <w:p>
                            <w:pPr>
                              <w:pStyle w:val="TextBody"/>
                              <w:spacing w:lineRule="atLeast" w:line="240" w:before="0" w:after="283"/>
                              <w:jc w:val="left"/>
                              <w:rPr>
                                <w:rFonts w:ascii="Times New Roman;Times;Serif" w:hAnsi="Times New Roman;Times;Serif"/>
                                <w:b/>
                                <w:color w:val="000000"/>
                                <w:sz w:val="17"/>
                              </w:rPr>
                            </w:pPr>
                            <w:r>
                              <w:rPr>
                                <w:rFonts w:ascii="Times New Roman;Times;Serif" w:hAnsi="Times New Roman;Times;Serif"/>
                                <w:b/>
                                <w:color w:val="000000"/>
                                <w:sz w:val="17"/>
                              </w:rPr>
                              <w:t>Separate trading of the Class A ordinary shares and warrants is prohibited until we have filed a Current Report on Form 8-K</w:t>
                            </w:r>
                          </w:p>
                        </w:txbxContent>
                      </wps:txbx>
                      <wps:bodyPr anchor="t" lIns="0" tIns="0" rIns="0" bIns="0">
                        <a:noAutofit/>
                      </wps:bodyPr>
                    </wps:wsp>
                  </a:graphicData>
                </a:graphic>
              </wp:anchor>
            </w:drawing>
          </mc:Choice>
          <mc:Fallback>
            <w:pict>
              <v:rect style="position:absolute;rotation:0;width:223.5pt;height:24pt;mso-wrap-distance-left:0pt;mso-wrap-distance-right:0pt;mso-wrap-distance-top:6pt;mso-wrap-distance-bottom:0pt;margin-top:6pt;mso-position-vertical:top;mso-position-vertical-relative:text;margin-left:0pt;mso-position-horizontal:left;mso-position-horizontal-relative:text">
                <v:textbox inset="0in,0in,0in,0in">
                  <w:txbxContent>
                    <w:p>
                      <w:pPr>
                        <w:pStyle w:val="TextBody"/>
                        <w:spacing w:lineRule="atLeast" w:line="240" w:before="0" w:after="283"/>
                        <w:jc w:val="left"/>
                        <w:rPr>
                          <w:rFonts w:ascii="Times New Roman;Times;Serif" w:hAnsi="Times New Roman;Times;Serif"/>
                          <w:b/>
                          <w:color w:val="000000"/>
                          <w:sz w:val="17"/>
                        </w:rPr>
                      </w:pPr>
                      <w:r>
                        <w:rPr>
                          <w:rFonts w:ascii="Times New Roman;Times;Serif" w:hAnsi="Times New Roman;Times;Serif"/>
                          <w:b/>
                          <w:color w:val="000000"/>
                          <w:sz w:val="17"/>
                        </w:rPr>
                        <w:t>Separate trading of the Class A ordinary shares and warrants is prohibited until we have filed a Current Report on Form 8-K</w:t>
                      </w:r>
                    </w:p>
                  </w:txbxContent>
                </v:textbox>
                <w10:wrap type="square" side="right"/>
              </v:rect>
            </w:pict>
          </mc:Fallback>
        </mc:AlternateConten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7</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before="120" w:after="0"/>
        <w:ind w:left="0" w:right="0" w:hanging="0"/>
        <w:jc w:val="left"/>
        <w:rPr>
          <w:rFonts w:ascii="Times New Roman;Times;Serif" w:hAnsi="Times New Roman;Times;Serif"/>
          <w:b/>
          <w:color w:val="000000"/>
          <w:sz w:val="17"/>
          <w:bdr w:val="single" w:sz="8" w:space="1" w:color="000000"/>
        </w:rPr>
      </w:pPr>
      <w:r>
        <w:rPr>
          <w:rFonts w:ascii="Times New Roman;Times;Serif" w:hAnsi="Times New Roman;Times;Serif"/>
          <w:b/>
          <w:color w:val="000000"/>
          <w:sz w:val="17"/>
          <w:bdr w:val="single" w:sz="8" w:space="1" w:color="000000"/>
        </w:rPr>
        <w:t>Units:</w:t>
      </w:r>
    </w:p>
    <w:p>
      <w:pPr>
        <w:pStyle w:val="TextBody"/>
        <w:spacing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0</w:t>
      </w:r>
      <w:r>
        <mc:AlternateContent>
          <mc:Choice Requires="wps">
            <w:drawing>
              <wp:anchor behindDoc="0" distT="76200" distB="0" distL="0" distR="0" simplePos="0" locked="0" layoutInCell="1" allowOverlap="1" relativeHeight="6">
                <wp:simplePos x="0" y="0"/>
                <wp:positionH relativeFrom="column">
                  <wp:align>left</wp:align>
                </wp:positionH>
                <wp:positionV relativeFrom="line">
                  <wp:align>top</wp:align>
                </wp:positionV>
                <wp:extent cx="2838450" cy="152400"/>
                <wp:effectExtent l="0" t="0" r="0" b="0"/>
                <wp:wrapSquare wrapText="largest"/>
                <wp:docPr id="5" name="Frame5"/>
                <a:graphic xmlns:a="http://schemas.openxmlformats.org/drawingml/2006/main">
                  <a:graphicData uri="http://schemas.microsoft.com/office/word/2010/wordprocessingShape">
                    <wps:wsp>
                      <wps:cNvSpPr txBox="1"/>
                      <wps:spPr>
                        <a:xfrm>
                          <a:off x="0" y="0"/>
                          <a:ext cx="2838450" cy="152400"/>
                        </a:xfrm>
                        <a:prstGeom prst="rect"/>
                      </wps:spPr>
                      <wps:txbx>
                        <w:txbxContent>
                          <w:p>
                            <w:pPr>
                              <w:pStyle w:val="TextBody"/>
                              <w:spacing w:lineRule="atLeast" w:line="240" w:before="0" w:after="283"/>
                              <w:jc w:val="left"/>
                              <w:rPr>
                                <w:rFonts w:ascii="Times New Roman;Times;Serif" w:hAnsi="Times New Roman;Times;Serif"/>
                                <w:b/>
                                <w:color w:val="000000"/>
                                <w:sz w:val="17"/>
                              </w:rPr>
                            </w:pPr>
                            <w:r>
                              <w:rPr>
                                <w:rFonts w:ascii="Times New Roman;Times;Serif" w:hAnsi="Times New Roman;Times;Serif"/>
                                <w:b/>
                                <w:color w:val="000000"/>
                                <w:sz w:val="17"/>
                              </w:rPr>
                              <w:t>Number issued and outstanding before this offering</w:t>
                            </w:r>
                          </w:p>
                        </w:txbxContent>
                      </wps:txbx>
                      <wps:bodyPr anchor="t" lIns="0" tIns="0" rIns="0" bIns="0">
                        <a:noAutofit/>
                      </wps:bodyPr>
                    </wps:wsp>
                  </a:graphicData>
                </a:graphic>
              </wp:anchor>
            </w:drawing>
          </mc:Choice>
          <mc:Fallback>
            <w:pict>
              <v:rect style="position:absolute;rotation:0;width:223.5pt;height:12pt;mso-wrap-distance-left:0pt;mso-wrap-distance-right:0pt;mso-wrap-distance-top:6pt;mso-wrap-distance-bottom:0pt;margin-top:6pt;mso-position-vertical:top;mso-position-vertical-relative:text;margin-left:0pt;mso-position-horizontal:left;mso-position-horizontal-relative:text">
                <v:textbox inset="0in,0in,0in,0in">
                  <w:txbxContent>
                    <w:p>
                      <w:pPr>
                        <w:pStyle w:val="TextBody"/>
                        <w:spacing w:lineRule="atLeast" w:line="240" w:before="0" w:after="283"/>
                        <w:jc w:val="left"/>
                        <w:rPr>
                          <w:rFonts w:ascii="Times New Roman;Times;Serif" w:hAnsi="Times New Roman;Times;Serif"/>
                          <w:b/>
                          <w:color w:val="000000"/>
                          <w:sz w:val="17"/>
                        </w:rPr>
                      </w:pPr>
                      <w:r>
                        <w:rPr>
                          <w:rFonts w:ascii="Times New Roman;Times;Serif" w:hAnsi="Times New Roman;Times;Serif"/>
                          <w:b/>
                          <w:color w:val="000000"/>
                          <w:sz w:val="17"/>
                        </w:rPr>
                        <w:t>Number issued and outstanding before this offering</w:t>
                      </w:r>
                    </w:p>
                  </w:txbxContent>
                </v:textbox>
                <w10:wrap type="square" side="right"/>
              </v:rect>
            </w:pict>
          </mc:Fallback>
        </mc:AlternateContent>
      </w:r>
    </w:p>
    <w:p>
      <w:pPr>
        <w:pStyle w:val="TextBody"/>
        <w:spacing w:lineRule="auto" w:line="240" w:before="120" w:after="283"/>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25,000,000(1)</w:t>
      </w:r>
      <w:r>
        <mc:AlternateContent>
          <mc:Choice Requires="wps">
            <w:drawing>
              <wp:anchor behindDoc="0" distT="76200" distB="0" distL="0" distR="0" simplePos="0" locked="0" layoutInCell="1" allowOverlap="1" relativeHeight="7">
                <wp:simplePos x="0" y="0"/>
                <wp:positionH relativeFrom="column">
                  <wp:align>left</wp:align>
                </wp:positionH>
                <wp:positionV relativeFrom="line">
                  <wp:align>top</wp:align>
                </wp:positionV>
                <wp:extent cx="2838450" cy="152400"/>
                <wp:effectExtent l="0" t="0" r="0" b="0"/>
                <wp:wrapSquare wrapText="largest"/>
                <wp:docPr id="6" name="Frame6"/>
                <a:graphic xmlns:a="http://schemas.openxmlformats.org/drawingml/2006/main">
                  <a:graphicData uri="http://schemas.microsoft.com/office/word/2010/wordprocessingShape">
                    <wps:wsp>
                      <wps:cNvSpPr txBox="1"/>
                      <wps:spPr>
                        <a:xfrm>
                          <a:off x="0" y="0"/>
                          <a:ext cx="2838450" cy="152400"/>
                        </a:xfrm>
                        <a:prstGeom prst="rect"/>
                      </wps:spPr>
                      <wps:txbx>
                        <w:txbxContent>
                          <w:p>
                            <w:pPr>
                              <w:pStyle w:val="TextBody"/>
                              <w:spacing w:lineRule="atLeast" w:line="240" w:before="0" w:after="283"/>
                              <w:jc w:val="left"/>
                              <w:rPr>
                                <w:rFonts w:ascii="Times New Roman;Times;Serif" w:hAnsi="Times New Roman;Times;Serif"/>
                                <w:b/>
                                <w:color w:val="000000"/>
                                <w:sz w:val="17"/>
                              </w:rPr>
                            </w:pPr>
                            <w:r>
                              <w:rPr>
                                <w:rFonts w:ascii="Times New Roman;Times;Serif" w:hAnsi="Times New Roman;Times;Serif"/>
                                <w:b/>
                                <w:color w:val="000000"/>
                                <w:sz w:val="17"/>
                              </w:rPr>
                              <w:t>Number issued and outstanding after this offering</w:t>
                            </w:r>
                          </w:p>
                        </w:txbxContent>
                      </wps:txbx>
                      <wps:bodyPr anchor="t" lIns="0" tIns="0" rIns="0" bIns="0">
                        <a:noAutofit/>
                      </wps:bodyPr>
                    </wps:wsp>
                  </a:graphicData>
                </a:graphic>
              </wp:anchor>
            </w:drawing>
          </mc:Choice>
          <mc:Fallback>
            <w:pict>
              <v:rect style="position:absolute;rotation:0;width:223.5pt;height:12pt;mso-wrap-distance-left:0pt;mso-wrap-distance-right:0pt;mso-wrap-distance-top:6pt;mso-wrap-distance-bottom:0pt;margin-top:6pt;mso-position-vertical:top;mso-position-vertical-relative:text;margin-left:0pt;mso-position-horizontal:left;mso-position-horizontal-relative:text">
                <v:textbox inset="0in,0in,0in,0in">
                  <w:txbxContent>
                    <w:p>
                      <w:pPr>
                        <w:pStyle w:val="TextBody"/>
                        <w:spacing w:lineRule="atLeast" w:line="240" w:before="0" w:after="283"/>
                        <w:jc w:val="left"/>
                        <w:rPr>
                          <w:rFonts w:ascii="Times New Roman;Times;Serif" w:hAnsi="Times New Roman;Times;Serif"/>
                          <w:b/>
                          <w:color w:val="000000"/>
                          <w:sz w:val="17"/>
                        </w:rPr>
                      </w:pPr>
                      <w:r>
                        <w:rPr>
                          <w:rFonts w:ascii="Times New Roman;Times;Serif" w:hAnsi="Times New Roman;Times;Serif"/>
                          <w:b/>
                          <w:color w:val="000000"/>
                          <w:sz w:val="17"/>
                        </w:rPr>
                        <w:t>Number issued and outstanding after this offering</w:t>
                      </w:r>
                    </w:p>
                  </w:txbxContent>
                </v:textbox>
                <w10:wrap type="square" side="right"/>
              </v:rect>
            </w:pict>
          </mc:Fallback>
        </mc:AlternateContent>
      </w:r>
    </w:p>
    <w:p>
      <w:pPr>
        <w:pStyle w:val="TextBody"/>
        <w:spacing w:before="120" w:after="0"/>
        <w:ind w:left="0" w:right="0" w:hanging="0"/>
        <w:jc w:val="left"/>
        <w:rPr>
          <w:rFonts w:ascii="Times New Roman;Times;Serif" w:hAnsi="Times New Roman;Times;Serif"/>
          <w:b/>
          <w:color w:val="000000"/>
          <w:sz w:val="17"/>
          <w:bdr w:val="single" w:sz="8" w:space="1" w:color="000000"/>
        </w:rPr>
      </w:pPr>
      <w:r>
        <w:rPr>
          <w:rFonts w:ascii="Times New Roman;Times;Serif" w:hAnsi="Times New Roman;Times;Serif"/>
          <w:b/>
          <w:color w:val="000000"/>
          <w:sz w:val="17"/>
          <w:bdr w:val="single" w:sz="8" w:space="1" w:color="000000"/>
        </w:rPr>
        <w:t>Ordinary shares:</w:t>
      </w:r>
    </w:p>
    <w:p>
      <w:pPr>
        <w:pStyle w:val="TextBody"/>
        <w:spacing w:lineRule="auto" w:line="240"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7,187,500(2)(3)</w:t>
      </w:r>
      <w:r>
        <mc:AlternateContent>
          <mc:Choice Requires="wps">
            <w:drawing>
              <wp:anchor behindDoc="0" distT="76200" distB="0" distL="0" distR="0" simplePos="0" locked="0" layoutInCell="1" allowOverlap="1" relativeHeight="8">
                <wp:simplePos x="0" y="0"/>
                <wp:positionH relativeFrom="column">
                  <wp:align>left</wp:align>
                </wp:positionH>
                <wp:positionV relativeFrom="line">
                  <wp:align>top</wp:align>
                </wp:positionV>
                <wp:extent cx="2838450" cy="152400"/>
                <wp:effectExtent l="0" t="0" r="0" b="0"/>
                <wp:wrapSquare wrapText="largest"/>
                <wp:docPr id="7" name="Frame7"/>
                <a:graphic xmlns:a="http://schemas.openxmlformats.org/drawingml/2006/main">
                  <a:graphicData uri="http://schemas.microsoft.com/office/word/2010/wordprocessingShape">
                    <wps:wsp>
                      <wps:cNvSpPr txBox="1"/>
                      <wps:spPr>
                        <a:xfrm>
                          <a:off x="0" y="0"/>
                          <a:ext cx="2838450" cy="152400"/>
                        </a:xfrm>
                        <a:prstGeom prst="rect"/>
                      </wps:spPr>
                      <wps:txbx>
                        <w:txbxContent>
                          <w:p>
                            <w:pPr>
                              <w:pStyle w:val="TextBody"/>
                              <w:spacing w:lineRule="atLeast" w:line="240" w:before="0" w:after="283"/>
                              <w:jc w:val="left"/>
                              <w:rPr>
                                <w:rFonts w:ascii="Times New Roman;Times;Serif" w:hAnsi="Times New Roman;Times;Serif"/>
                                <w:b/>
                                <w:color w:val="000000"/>
                                <w:sz w:val="17"/>
                              </w:rPr>
                            </w:pPr>
                            <w:r>
                              <w:rPr>
                                <w:rFonts w:ascii="Times New Roman;Times;Serif" w:hAnsi="Times New Roman;Times;Serif"/>
                                <w:b/>
                                <w:color w:val="000000"/>
                                <w:sz w:val="17"/>
                              </w:rPr>
                              <w:t>Number issued and outstanding before this offering</w:t>
                            </w:r>
                          </w:p>
                        </w:txbxContent>
                      </wps:txbx>
                      <wps:bodyPr anchor="t" lIns="0" tIns="0" rIns="0" bIns="0">
                        <a:noAutofit/>
                      </wps:bodyPr>
                    </wps:wsp>
                  </a:graphicData>
                </a:graphic>
              </wp:anchor>
            </w:drawing>
          </mc:Choice>
          <mc:Fallback>
            <w:pict>
              <v:rect style="position:absolute;rotation:0;width:223.5pt;height:12pt;mso-wrap-distance-left:0pt;mso-wrap-distance-right:0pt;mso-wrap-distance-top:6pt;mso-wrap-distance-bottom:0pt;margin-top:6pt;mso-position-vertical:top;mso-position-vertical-relative:text;margin-left:0pt;mso-position-horizontal:left;mso-position-horizontal-relative:text">
                <v:textbox inset="0in,0in,0in,0in">
                  <w:txbxContent>
                    <w:p>
                      <w:pPr>
                        <w:pStyle w:val="TextBody"/>
                        <w:spacing w:lineRule="atLeast" w:line="240" w:before="0" w:after="283"/>
                        <w:jc w:val="left"/>
                        <w:rPr>
                          <w:rFonts w:ascii="Times New Roman;Times;Serif" w:hAnsi="Times New Roman;Times;Serif"/>
                          <w:b/>
                          <w:color w:val="000000"/>
                          <w:sz w:val="17"/>
                        </w:rPr>
                      </w:pPr>
                      <w:r>
                        <w:rPr>
                          <w:rFonts w:ascii="Times New Roman;Times;Serif" w:hAnsi="Times New Roman;Times;Serif"/>
                          <w:b/>
                          <w:color w:val="000000"/>
                          <w:sz w:val="17"/>
                        </w:rPr>
                        <w:t>Number issued and outstanding before this offering</w:t>
                      </w:r>
                    </w:p>
                  </w:txbxContent>
                </v:textbox>
                <w10:wrap type="square" side="right"/>
              </v:rect>
            </w:pict>
          </mc:Fallback>
        </mc:AlternateContent>
      </w:r>
    </w:p>
    <w:p>
      <w:pPr>
        <w:pStyle w:val="TextBody"/>
        <w:spacing w:lineRule="auto" w:line="240" w:before="120" w:after="283"/>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31,250,000(1)(3)(4)</w:t>
      </w:r>
      <w:r>
        <mc:AlternateContent>
          <mc:Choice Requires="wps">
            <w:drawing>
              <wp:anchor behindDoc="0" distT="76200" distB="0" distL="0" distR="0" simplePos="0" locked="0" layoutInCell="1" allowOverlap="1" relativeHeight="9">
                <wp:simplePos x="0" y="0"/>
                <wp:positionH relativeFrom="column">
                  <wp:align>left</wp:align>
                </wp:positionH>
                <wp:positionV relativeFrom="line">
                  <wp:align>top</wp:align>
                </wp:positionV>
                <wp:extent cx="2838450" cy="152400"/>
                <wp:effectExtent l="0" t="0" r="0" b="0"/>
                <wp:wrapSquare wrapText="largest"/>
                <wp:docPr id="8" name="Frame8"/>
                <a:graphic xmlns:a="http://schemas.openxmlformats.org/drawingml/2006/main">
                  <a:graphicData uri="http://schemas.microsoft.com/office/word/2010/wordprocessingShape">
                    <wps:wsp>
                      <wps:cNvSpPr txBox="1"/>
                      <wps:spPr>
                        <a:xfrm>
                          <a:off x="0" y="0"/>
                          <a:ext cx="2838450" cy="152400"/>
                        </a:xfrm>
                        <a:prstGeom prst="rect"/>
                      </wps:spPr>
                      <wps:txbx>
                        <w:txbxContent>
                          <w:p>
                            <w:pPr>
                              <w:pStyle w:val="TextBody"/>
                              <w:spacing w:lineRule="atLeast" w:line="240" w:before="0" w:after="283"/>
                              <w:jc w:val="left"/>
                              <w:rPr>
                                <w:rFonts w:ascii="Times New Roman;Times;Serif" w:hAnsi="Times New Roman;Times;Serif"/>
                                <w:b/>
                                <w:color w:val="000000"/>
                                <w:sz w:val="17"/>
                              </w:rPr>
                            </w:pPr>
                            <w:r>
                              <w:rPr>
                                <w:rFonts w:ascii="Times New Roman;Times;Serif" w:hAnsi="Times New Roman;Times;Serif"/>
                                <w:b/>
                                <w:color w:val="000000"/>
                                <w:sz w:val="17"/>
                              </w:rPr>
                              <w:t>Number issued and outstanding after this Offering</w:t>
                            </w:r>
                          </w:p>
                        </w:txbxContent>
                      </wps:txbx>
                      <wps:bodyPr anchor="t" lIns="0" tIns="0" rIns="0" bIns="0">
                        <a:noAutofit/>
                      </wps:bodyPr>
                    </wps:wsp>
                  </a:graphicData>
                </a:graphic>
              </wp:anchor>
            </w:drawing>
          </mc:Choice>
          <mc:Fallback>
            <w:pict>
              <v:rect style="position:absolute;rotation:0;width:223.5pt;height:12pt;mso-wrap-distance-left:0pt;mso-wrap-distance-right:0pt;mso-wrap-distance-top:6pt;mso-wrap-distance-bottom:0pt;margin-top:6pt;mso-position-vertical:top;mso-position-vertical-relative:text;margin-left:0pt;mso-position-horizontal:left;mso-position-horizontal-relative:text">
                <v:textbox inset="0in,0in,0in,0in">
                  <w:txbxContent>
                    <w:p>
                      <w:pPr>
                        <w:pStyle w:val="TextBody"/>
                        <w:spacing w:lineRule="atLeast" w:line="240" w:before="0" w:after="283"/>
                        <w:jc w:val="left"/>
                        <w:rPr>
                          <w:rFonts w:ascii="Times New Roman;Times;Serif" w:hAnsi="Times New Roman;Times;Serif"/>
                          <w:b/>
                          <w:color w:val="000000"/>
                          <w:sz w:val="17"/>
                        </w:rPr>
                      </w:pPr>
                      <w:r>
                        <w:rPr>
                          <w:rFonts w:ascii="Times New Roman;Times;Serif" w:hAnsi="Times New Roman;Times;Serif"/>
                          <w:b/>
                          <w:color w:val="000000"/>
                          <w:sz w:val="17"/>
                        </w:rPr>
                        <w:t>Number issued and outstanding after this Offering</w:t>
                      </w:r>
                    </w:p>
                  </w:txbxContent>
                </v:textbox>
                <w10:wrap type="square" side="right"/>
              </v:rect>
            </w:pict>
          </mc:Fallback>
        </mc:AlternateContent>
      </w:r>
    </w:p>
    <w:p>
      <w:pPr>
        <w:pStyle w:val="TextBody"/>
        <w:spacing w:before="120" w:after="0"/>
        <w:ind w:left="0" w:right="0" w:hanging="0"/>
        <w:jc w:val="left"/>
        <w:rPr>
          <w:rFonts w:ascii="Times New Roman;Times;Serif" w:hAnsi="Times New Roman;Times;Serif"/>
          <w:b/>
          <w:color w:val="000000"/>
          <w:sz w:val="17"/>
          <w:bdr w:val="single" w:sz="8" w:space="1" w:color="000000"/>
        </w:rPr>
      </w:pPr>
      <w:r>
        <w:rPr>
          <w:rFonts w:ascii="Times New Roman;Times;Serif" w:hAnsi="Times New Roman;Times;Serif"/>
          <w:b/>
          <w:color w:val="000000"/>
          <w:sz w:val="17"/>
          <w:bdr w:val="single" w:sz="8" w:space="1" w:color="000000"/>
        </w:rPr>
        <w:t>Warrants:</w:t>
      </w:r>
    </w:p>
    <w:p>
      <w:pPr>
        <w:pStyle w:val="TextBody"/>
        <w:spacing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7,000,000</w:t>
      </w:r>
      <w:r>
        <mc:AlternateContent>
          <mc:Choice Requires="wps">
            <w:drawing>
              <wp:anchor behindDoc="0" distT="76200" distB="0" distL="0" distR="0" simplePos="0" locked="0" layoutInCell="1" allowOverlap="1" relativeHeight="10">
                <wp:simplePos x="0" y="0"/>
                <wp:positionH relativeFrom="column">
                  <wp:align>left</wp:align>
                </wp:positionH>
                <wp:positionV relativeFrom="line">
                  <wp:align>top</wp:align>
                </wp:positionV>
                <wp:extent cx="2838450" cy="304800"/>
                <wp:effectExtent l="0" t="0" r="0" b="0"/>
                <wp:wrapSquare wrapText="largest"/>
                <wp:docPr id="9" name="Frame9"/>
                <a:graphic xmlns:a="http://schemas.openxmlformats.org/drawingml/2006/main">
                  <a:graphicData uri="http://schemas.microsoft.com/office/word/2010/wordprocessingShape">
                    <wps:wsp>
                      <wps:cNvSpPr txBox="1"/>
                      <wps:spPr>
                        <a:xfrm>
                          <a:off x="0" y="0"/>
                          <a:ext cx="2838450" cy="304800"/>
                        </a:xfrm>
                        <a:prstGeom prst="rect"/>
                      </wps:spPr>
                      <wps:txbx>
                        <w:txbxContent>
                          <w:p>
                            <w:pPr>
                              <w:pStyle w:val="TextBody"/>
                              <w:spacing w:lineRule="atLeast" w:line="240" w:before="0" w:after="283"/>
                              <w:jc w:val="left"/>
                              <w:rPr>
                                <w:rFonts w:ascii="Times New Roman;Times;Serif" w:hAnsi="Times New Roman;Times;Serif"/>
                                <w:b/>
                                <w:color w:val="000000"/>
                                <w:sz w:val="17"/>
                              </w:rPr>
                            </w:pPr>
                            <w:r>
                              <w:rPr>
                                <w:rFonts w:ascii="Times New Roman;Times;Serif" w:hAnsi="Times New Roman;Times;Serif"/>
                                <w:b/>
                                <w:color w:val="000000"/>
                                <w:sz w:val="17"/>
                              </w:rPr>
                              <w:t>Number of private placement warrants to be sold in a private placement simultaneously with this offering</w:t>
                            </w:r>
                          </w:p>
                        </w:txbxContent>
                      </wps:txbx>
                      <wps:bodyPr anchor="t" lIns="0" tIns="0" rIns="0" bIns="0">
                        <a:noAutofit/>
                      </wps:bodyPr>
                    </wps:wsp>
                  </a:graphicData>
                </a:graphic>
              </wp:anchor>
            </w:drawing>
          </mc:Choice>
          <mc:Fallback>
            <w:pict>
              <v:rect style="position:absolute;rotation:0;width:223.5pt;height:24pt;mso-wrap-distance-left:0pt;mso-wrap-distance-right:0pt;mso-wrap-distance-top:6pt;mso-wrap-distance-bottom:0pt;margin-top:6pt;mso-position-vertical:top;mso-position-vertical-relative:text;margin-left:0pt;mso-position-horizontal:left;mso-position-horizontal-relative:text">
                <v:textbox inset="0in,0in,0in,0in">
                  <w:txbxContent>
                    <w:p>
                      <w:pPr>
                        <w:pStyle w:val="TextBody"/>
                        <w:spacing w:lineRule="atLeast" w:line="240" w:before="0" w:after="283"/>
                        <w:jc w:val="left"/>
                        <w:rPr>
                          <w:rFonts w:ascii="Times New Roman;Times;Serif" w:hAnsi="Times New Roman;Times;Serif"/>
                          <w:b/>
                          <w:color w:val="000000"/>
                          <w:sz w:val="17"/>
                        </w:rPr>
                      </w:pPr>
                      <w:r>
                        <w:rPr>
                          <w:rFonts w:ascii="Times New Roman;Times;Serif" w:hAnsi="Times New Roman;Times;Serif"/>
                          <w:b/>
                          <w:color w:val="000000"/>
                          <w:sz w:val="17"/>
                        </w:rPr>
                        <w:t>Number of private placement warrants to be sold in a private placement simultaneously with this offering</w:t>
                      </w:r>
                    </w:p>
                  </w:txbxContent>
                </v:textbox>
                <w10:wrap type="square" side="right"/>
              </v:rect>
            </w:pict>
          </mc:Fallback>
        </mc:AlternateContent>
      </w:r>
    </w:p>
    <w:p>
      <w:pPr>
        <w:pStyle w:val="TextBody"/>
        <w:spacing w:lineRule="auto" w:line="240"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19,500,000(1)</w:t>
      </w:r>
      <w:r>
        <mc:AlternateContent>
          <mc:Choice Requires="wps">
            <w:drawing>
              <wp:anchor behindDoc="0" distT="76200" distB="0" distL="0" distR="0" simplePos="0" locked="0" layoutInCell="1" allowOverlap="1" relativeHeight="11">
                <wp:simplePos x="0" y="0"/>
                <wp:positionH relativeFrom="column">
                  <wp:align>left</wp:align>
                </wp:positionH>
                <wp:positionV relativeFrom="line">
                  <wp:align>top</wp:align>
                </wp:positionV>
                <wp:extent cx="2838450" cy="304800"/>
                <wp:effectExtent l="0" t="0" r="0" b="0"/>
                <wp:wrapSquare wrapText="largest"/>
                <wp:docPr id="10" name="Frame10"/>
                <a:graphic xmlns:a="http://schemas.openxmlformats.org/drawingml/2006/main">
                  <a:graphicData uri="http://schemas.microsoft.com/office/word/2010/wordprocessingShape">
                    <wps:wsp>
                      <wps:cNvSpPr txBox="1"/>
                      <wps:spPr>
                        <a:xfrm>
                          <a:off x="0" y="0"/>
                          <a:ext cx="2838450" cy="304800"/>
                        </a:xfrm>
                        <a:prstGeom prst="rect"/>
                      </wps:spPr>
                      <wps:txbx>
                        <w:txbxContent>
                          <w:p>
                            <w:pPr>
                              <w:pStyle w:val="TextBody"/>
                              <w:spacing w:lineRule="atLeast" w:line="240" w:before="0" w:after="283"/>
                              <w:jc w:val="left"/>
                              <w:rPr>
                                <w:rFonts w:ascii="Times New Roman;Times;Serif" w:hAnsi="Times New Roman;Times;Serif"/>
                                <w:color w:val="000000"/>
                                <w:sz w:val="17"/>
                              </w:rPr>
                            </w:pPr>
                            <w:r>
                              <w:rPr>
                                <w:rFonts w:ascii="Times New Roman;Times;Serif" w:hAnsi="Times New Roman;Times;Serif"/>
                                <w:b/>
                                <w:color w:val="000000"/>
                                <w:sz w:val="17"/>
                              </w:rPr>
                              <w:t>Number of warrants to be outstanding after this offering and the private placement</w:t>
                            </w:r>
                            <w:r>
                              <w:rPr>
                                <w:rFonts w:ascii="Times New Roman;Times;Serif" w:hAnsi="Times New Roman;Times;Serif"/>
                                <w:color w:val="000000"/>
                                <w:sz w:val="17"/>
                              </w:rPr>
                              <w:t xml:space="preserve"> </w:t>
                            </w:r>
                          </w:p>
                        </w:txbxContent>
                      </wps:txbx>
                      <wps:bodyPr anchor="t" lIns="0" tIns="0" rIns="0" bIns="0">
                        <a:noAutofit/>
                      </wps:bodyPr>
                    </wps:wsp>
                  </a:graphicData>
                </a:graphic>
              </wp:anchor>
            </w:drawing>
          </mc:Choice>
          <mc:Fallback>
            <w:pict>
              <v:rect style="position:absolute;rotation:0;width:223.5pt;height:24pt;mso-wrap-distance-left:0pt;mso-wrap-distance-right:0pt;mso-wrap-distance-top:6pt;mso-wrap-distance-bottom:0pt;margin-top:6pt;mso-position-vertical:top;mso-position-vertical-relative:text;margin-left:0pt;mso-position-horizontal:left;mso-position-horizontal-relative:text">
                <v:textbox inset="0in,0in,0in,0in">
                  <w:txbxContent>
                    <w:p>
                      <w:pPr>
                        <w:pStyle w:val="TextBody"/>
                        <w:spacing w:lineRule="atLeast" w:line="240" w:before="0" w:after="283"/>
                        <w:jc w:val="left"/>
                        <w:rPr>
                          <w:rFonts w:ascii="Times New Roman;Times;Serif" w:hAnsi="Times New Roman;Times;Serif"/>
                          <w:color w:val="000000"/>
                          <w:sz w:val="17"/>
                        </w:rPr>
                      </w:pPr>
                      <w:r>
                        <w:rPr>
                          <w:rFonts w:ascii="Times New Roman;Times;Serif" w:hAnsi="Times New Roman;Times;Serif"/>
                          <w:b/>
                          <w:color w:val="000000"/>
                          <w:sz w:val="17"/>
                        </w:rPr>
                        <w:t>Number of warrants to be outstanding after this offering and the private placement</w:t>
                      </w:r>
                      <w:r>
                        <w:rPr>
                          <w:rFonts w:ascii="Times New Roman;Times;Serif" w:hAnsi="Times New Roman;Times;Serif"/>
                          <w:color w:val="000000"/>
                          <w:sz w:val="17"/>
                        </w:rPr>
                        <w:t xml:space="preserve"> </w:t>
                      </w:r>
                    </w:p>
                  </w:txbxContent>
                </v:textbox>
                <w10:wrap type="square" side="right"/>
              </v:rect>
            </w:pict>
          </mc:Fallback>
        </mc:AlternateContent>
      </w:r>
    </w:p>
    <w:p>
      <w:pPr>
        <w:pStyle w:val="TextBody"/>
        <w:spacing w:lineRule="atLeast" w:line="240" w:before="120" w:after="283"/>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Each whole warrant offered in this offering is exercisable to purchase one Class A ordinary share, subject to adjustment as provided herein, and only whole warrants are exercisable. No fractional warrants will be issued upon separation of the units and only whole warrants will trade.</w:t>
      </w:r>
      <w:r>
        <mc:AlternateContent>
          <mc:Choice Requires="wps">
            <w:drawing>
              <wp:anchor behindDoc="0" distT="76200" distB="0" distL="0" distR="0" simplePos="0" locked="0" layoutInCell="1" allowOverlap="1" relativeHeight="12">
                <wp:simplePos x="0" y="0"/>
                <wp:positionH relativeFrom="column">
                  <wp:align>left</wp:align>
                </wp:positionH>
                <wp:positionV relativeFrom="line">
                  <wp:align>top</wp:align>
                </wp:positionV>
                <wp:extent cx="2971800" cy="120650"/>
                <wp:effectExtent l="0" t="0" r="0" b="0"/>
                <wp:wrapSquare wrapText="largest"/>
                <wp:docPr id="11" name="Frame11"/>
                <a:graphic xmlns:a="http://schemas.openxmlformats.org/drawingml/2006/main">
                  <a:graphicData uri="http://schemas.microsoft.com/office/word/2010/wordprocessingShape">
                    <wps:wsp>
                      <wps:cNvSpPr txBox="1"/>
                      <wps:spPr>
                        <a:xfrm>
                          <a:off x="0" y="0"/>
                          <a:ext cx="2971800" cy="120650"/>
                        </a:xfrm>
                        <a:prstGeom prst="rect"/>
                      </wps:spPr>
                      <wps:txbx>
                        <w:txbxContent>
                          <w:p>
                            <w:pPr>
                              <w:pStyle w:val="TextBody"/>
                              <w:spacing w:before="0" w:after="283"/>
                              <w:jc w:val="left"/>
                              <w:rPr>
                                <w:rFonts w:ascii="Times New Roman;Times;Serif" w:hAnsi="Times New Roman;Times;Serif"/>
                                <w:b/>
                                <w:color w:val="000000"/>
                                <w:sz w:val="17"/>
                              </w:rPr>
                            </w:pPr>
                            <w:r>
                              <w:rPr>
                                <w:rFonts w:ascii="Times New Roman;Times;Serif" w:hAnsi="Times New Roman;Times;Serif"/>
                                <w:b/>
                                <w:color w:val="000000"/>
                                <w:sz w:val="17"/>
                              </w:rPr>
                              <w:t xml:space="preserve">Exercisability </w:t>
                            </w:r>
                          </w:p>
                        </w:txbxContent>
                      </wps:txbx>
                      <wps:bodyPr anchor="t" lIns="0" tIns="0" rIns="0" bIns="0">
                        <a:noAutofit/>
                      </wps:bodyPr>
                    </wps:wsp>
                  </a:graphicData>
                </a:graphic>
              </wp:anchor>
            </w:drawing>
          </mc:Choice>
          <mc:Fallback>
            <w:pict>
              <v:rect style="position:absolute;rotation:0;width:234pt;height:9.5pt;mso-wrap-distance-left:0pt;mso-wrap-distance-right:0pt;mso-wrap-distance-top:6pt;mso-wrap-distance-bottom:0pt;margin-top:6pt;mso-position-vertical:top;mso-position-vertical-relative:text;margin-left:0pt;mso-position-horizontal:left;mso-position-horizontal-relative:text">
                <v:textbox inset="0in,0in,0in,0in">
                  <w:txbxContent>
                    <w:p>
                      <w:pPr>
                        <w:pStyle w:val="TextBody"/>
                        <w:spacing w:before="0" w:after="283"/>
                        <w:jc w:val="left"/>
                        <w:rPr>
                          <w:rFonts w:ascii="Times New Roman;Times;Serif" w:hAnsi="Times New Roman;Times;Serif"/>
                          <w:b/>
                          <w:color w:val="000000"/>
                          <w:sz w:val="17"/>
                        </w:rPr>
                      </w:pPr>
                      <w:r>
                        <w:rPr>
                          <w:rFonts w:ascii="Times New Roman;Times;Serif" w:hAnsi="Times New Roman;Times;Serif"/>
                          <w:b/>
                          <w:color w:val="000000"/>
                          <w:sz w:val="17"/>
                        </w:rPr>
                        <w:t xml:space="preserve">Exercisability </w:t>
                      </w:r>
                    </w:p>
                  </w:txbxContent>
                </v:textbox>
                <w10:wrap type="square" side="right"/>
              </v:rect>
            </w:pict>
          </mc:Fallback>
        </mc:AlternateContent>
      </w:r>
    </w:p>
    <w:p>
      <w:pPr>
        <w:pStyle w:val="TextBody"/>
        <w:spacing w:lineRule="atLeast" w:line="240"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We structured each unit to contain one-half of one warrant, with each whole warrant exercisable for one Class A ordinary share, as compared to units issued by some other similar blank check companies which contain whole warrants exercisable for one share, in order to reduce the dilutive effect of the warrants upon completion of our initial business combination as compared to units that each contain a whole warrant to purchase one share, which we believe will make us a more attractive business combination partner for target businesses.</w:t>
      </w:r>
    </w:p>
    <w:p>
      <w:pPr>
        <w:pStyle w:val="TextBody"/>
        <w:spacing w:lineRule="atLeast" w:line="240" w:before="120" w:after="283"/>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$11.50 per share, subject to adjustment as described herein.</w:t>
      </w:r>
      <w:r>
        <mc:AlternateContent>
          <mc:Choice Requires="wps">
            <w:drawing>
              <wp:anchor behindDoc="0" distT="76200" distB="0" distL="0" distR="0" simplePos="0" locked="0" layoutInCell="1" allowOverlap="1" relativeHeight="13">
                <wp:simplePos x="0" y="0"/>
                <wp:positionH relativeFrom="column">
                  <wp:align>left</wp:align>
                </wp:positionH>
                <wp:positionV relativeFrom="line">
                  <wp:align>top</wp:align>
                </wp:positionV>
                <wp:extent cx="2971800" cy="120650"/>
                <wp:effectExtent l="0" t="0" r="0" b="0"/>
                <wp:wrapSquare wrapText="largest"/>
                <wp:docPr id="12" name="Frame12"/>
                <a:graphic xmlns:a="http://schemas.openxmlformats.org/drawingml/2006/main">
                  <a:graphicData uri="http://schemas.microsoft.com/office/word/2010/wordprocessingShape">
                    <wps:wsp>
                      <wps:cNvSpPr txBox="1"/>
                      <wps:spPr>
                        <a:xfrm>
                          <a:off x="0" y="0"/>
                          <a:ext cx="2971800" cy="120650"/>
                        </a:xfrm>
                        <a:prstGeom prst="rect"/>
                      </wps:spPr>
                      <wps:txbx>
                        <w:txbxContent>
                          <w:p>
                            <w:pPr>
                              <w:pStyle w:val="TextBody"/>
                              <w:spacing w:before="0" w:after="283"/>
                              <w:jc w:val="left"/>
                              <w:rPr>
                                <w:rFonts w:ascii="Times New Roman;Times;Serif" w:hAnsi="Times New Roman;Times;Serif"/>
                                <w:b/>
                                <w:color w:val="000000"/>
                                <w:sz w:val="17"/>
                              </w:rPr>
                            </w:pPr>
                            <w:r>
                              <w:rPr>
                                <w:rFonts w:ascii="Times New Roman;Times;Serif" w:hAnsi="Times New Roman;Times;Serif"/>
                                <w:b/>
                                <w:color w:val="000000"/>
                                <w:sz w:val="17"/>
                              </w:rPr>
                              <w:t xml:space="preserve">Exercise price </w:t>
                            </w:r>
                          </w:p>
                        </w:txbxContent>
                      </wps:txbx>
                      <wps:bodyPr anchor="t" lIns="0" tIns="0" rIns="0" bIns="0">
                        <a:noAutofit/>
                      </wps:bodyPr>
                    </wps:wsp>
                  </a:graphicData>
                </a:graphic>
              </wp:anchor>
            </w:drawing>
          </mc:Choice>
          <mc:Fallback>
            <w:pict>
              <v:rect style="position:absolute;rotation:0;width:234pt;height:9.5pt;mso-wrap-distance-left:0pt;mso-wrap-distance-right:0pt;mso-wrap-distance-top:6pt;mso-wrap-distance-bottom:0pt;margin-top:6pt;mso-position-vertical:top;mso-position-vertical-relative:text;margin-left:0pt;mso-position-horizontal:left;mso-position-horizontal-relative:text">
                <v:textbox inset="0in,0in,0in,0in">
                  <w:txbxContent>
                    <w:p>
                      <w:pPr>
                        <w:pStyle w:val="TextBody"/>
                        <w:spacing w:before="0" w:after="283"/>
                        <w:jc w:val="left"/>
                        <w:rPr>
                          <w:rFonts w:ascii="Times New Roman;Times;Serif" w:hAnsi="Times New Roman;Times;Serif"/>
                          <w:b/>
                          <w:color w:val="000000"/>
                          <w:sz w:val="17"/>
                        </w:rPr>
                      </w:pPr>
                      <w:r>
                        <w:rPr>
                          <w:rFonts w:ascii="Times New Roman;Times;Serif" w:hAnsi="Times New Roman;Times;Serif"/>
                          <w:b/>
                          <w:color w:val="000000"/>
                          <w:sz w:val="17"/>
                        </w:rPr>
                        <w:t xml:space="preserve">Exercise price </w:t>
                      </w:r>
                    </w:p>
                  </w:txbxContent>
                </v:textbox>
                <w10:wrap type="square" side="right"/>
              </v:rect>
            </w:pict>
          </mc:Fallback>
        </mc:AlternateContent>
      </w:r>
    </w:p>
    <w:p>
      <w:pPr>
        <w:pStyle w:val="TextBody"/>
        <w:spacing w:lineRule="atLeast" w:line="240"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 xml:space="preserve">In addition, if (x) we issue additional ordinary shares or equity-linked securities for capital raising purposes in connection with the closing of our initial business combination at an issue price or effective issue price of less than $9.20 per ordinary share (with such issue price or effective issue price to be determined in good faith by our board of directors and, in the case of any such issuance to our sponsor or its affiliates, without </w:t>
      </w:r>
    </w:p>
    <w:tbl>
      <w:tblPr>
        <w:tblW w:w="5000" w:type="pct"/>
        <w:jc w:val="left"/>
        <w:tblInd w:w="0" w:type="dxa"/>
        <w:tblCellMar>
          <w:top w:w="0" w:type="dxa"/>
          <w:left w:w="0" w:type="dxa"/>
          <w:bottom w:w="0" w:type="dxa"/>
          <w:right w:w="0" w:type="dxa"/>
        </w:tblCellMar>
      </w:tblPr>
      <w:tblGrid>
        <w:gridCol w:w="60"/>
        <w:gridCol w:w="310"/>
        <w:gridCol w:w="9835"/>
      </w:tblGrid>
      <w:tr>
        <w:trPr/>
        <w:tc>
          <w:tcPr>
            <w:tcW w:w="6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lineRule="auto" w:line="240" w:before="0" w:after="283"/>
              <w:jc w:val="left"/>
              <w:rPr>
                <w:rFonts w:ascii="Times New Roman;Times;Serif" w:hAnsi="Times New Roman;Times;Serif"/>
                <w:color w:val="000000"/>
                <w:sz w:val="9"/>
              </w:rPr>
            </w:pPr>
            <w:r>
              <w:rPr>
                <w:rFonts w:ascii="Times New Roman;Times;Serif" w:hAnsi="Times New Roman;Times;Serif"/>
                <w:color w:val="000000"/>
                <w:sz w:val="9"/>
              </w:rPr>
              <w:t>(1)</w:t>
            </w:r>
          </w:p>
        </w:tc>
        <w:tc>
          <w:tcPr>
            <w:tcW w:w="9835" w:type="dxa"/>
            <w:tcBorders/>
            <w:shd w:fill="auto" w:val="clear"/>
            <w:vAlign w:val="center"/>
          </w:tcPr>
          <w:p>
            <w:pPr>
              <w:pStyle w:val="TableContents"/>
              <w:spacing w:before="0" w:after="283"/>
              <w:jc w:val="left"/>
              <w:rPr>
                <w:rFonts w:ascii="Times New Roman;Times;Serif" w:hAnsi="Times New Roman;Times;Serif"/>
                <w:color w:val="000000"/>
                <w:sz w:val="9"/>
              </w:rPr>
            </w:pPr>
            <w:r>
              <w:rPr>
                <w:rFonts w:ascii="Times New Roman;Times;Serif" w:hAnsi="Times New Roman;Times;Serif"/>
                <w:color w:val="000000"/>
                <w:sz w:val="12"/>
              </w:rPr>
              <w:t>Assumes no exercise of the underwriters</w:t>
            </w:r>
            <w:r>
              <w:rPr>
                <w:rFonts w:ascii="Times New Roman;Times;Serif" w:hAnsi="Times New Roman;Times;Serif"/>
                <w:color w:val="000000"/>
                <w:sz w:val="9"/>
              </w:rPr>
              <w:t xml:space="preserve">’ </w:t>
            </w:r>
            <w:r>
              <w:rPr>
                <w:rFonts w:ascii="Times New Roman;Times;Serif" w:hAnsi="Times New Roman;Times;Serif"/>
                <w:color w:val="000000"/>
                <w:sz w:val="12"/>
              </w:rPr>
              <w:t xml:space="preserve">over-allotment option and the forfeiture by our sponsor of 937,500 founder shares. </w:t>
            </w:r>
          </w:p>
        </w:tc>
      </w:tr>
    </w:tbl>
    <w:tbl>
      <w:tblPr>
        <w:tblW w:w="5000" w:type="pct"/>
        <w:jc w:val="left"/>
        <w:tblInd w:w="0" w:type="dxa"/>
        <w:tblCellMar>
          <w:top w:w="0" w:type="dxa"/>
          <w:left w:w="0" w:type="dxa"/>
          <w:bottom w:w="0" w:type="dxa"/>
          <w:right w:w="0" w:type="dxa"/>
        </w:tblCellMar>
      </w:tblPr>
      <w:tblGrid>
        <w:gridCol w:w="37"/>
        <w:gridCol w:w="192"/>
        <w:gridCol w:w="9976"/>
      </w:tblGrid>
      <w:tr>
        <w:trPr/>
        <w:tc>
          <w:tcPr>
            <w:tcW w:w="37"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lineRule="auto" w:line="240" w:before="0" w:after="283"/>
              <w:jc w:val="left"/>
              <w:rPr>
                <w:rFonts w:ascii="Times New Roman;Times;Serif" w:hAnsi="Times New Roman;Times;Serif"/>
                <w:color w:val="000000"/>
                <w:sz w:val="9"/>
              </w:rPr>
            </w:pPr>
            <w:r>
              <w:rPr>
                <w:rFonts w:ascii="Times New Roman;Times;Serif" w:hAnsi="Times New Roman;Times;Serif"/>
                <w:color w:val="000000"/>
                <w:sz w:val="9"/>
              </w:rPr>
              <w:t>(2)</w:t>
            </w:r>
          </w:p>
        </w:tc>
        <w:tc>
          <w:tcPr>
            <w:tcW w:w="9976" w:type="dxa"/>
            <w:tcBorders/>
            <w:shd w:fill="auto" w:val="clear"/>
            <w:vAlign w:val="center"/>
          </w:tcPr>
          <w:p>
            <w:pPr>
              <w:pStyle w:val="TableContents"/>
              <w:spacing w:before="0" w:after="283"/>
              <w:jc w:val="left"/>
              <w:rPr>
                <w:rFonts w:ascii="Times New Roman;Times;Serif" w:hAnsi="Times New Roman;Times;Serif"/>
                <w:color w:val="000000"/>
                <w:sz w:val="9"/>
              </w:rPr>
            </w:pPr>
            <w:r>
              <w:rPr>
                <w:rFonts w:ascii="Times New Roman;Times;Serif" w:hAnsi="Times New Roman;Times;Serif"/>
                <w:color w:val="000000"/>
                <w:sz w:val="12"/>
              </w:rPr>
              <w:t>Consists solely of founder shares and includes up to 937,500 founder shares that are subject to forfeiture by our sponsor depending on the extent to which the underwriters</w:t>
            </w:r>
            <w:r>
              <w:rPr>
                <w:rFonts w:ascii="Times New Roman;Times;Serif" w:hAnsi="Times New Roman;Times;Serif"/>
                <w:color w:val="000000"/>
                <w:sz w:val="9"/>
              </w:rPr>
              <w:t xml:space="preserve">’ </w:t>
            </w:r>
            <w:r>
              <w:rPr>
                <w:rFonts w:ascii="Times New Roman;Times;Serif" w:hAnsi="Times New Roman;Times;Serif"/>
                <w:color w:val="000000"/>
                <w:sz w:val="12"/>
              </w:rPr>
              <w:t xml:space="preserve">over-allotment option is exercised. </w:t>
            </w:r>
          </w:p>
        </w:tc>
      </w:tr>
    </w:tbl>
    <w:tbl>
      <w:tblPr>
        <w:tblW w:w="5000" w:type="pct"/>
        <w:jc w:val="left"/>
        <w:tblInd w:w="0" w:type="dxa"/>
        <w:tblCellMar>
          <w:top w:w="0" w:type="dxa"/>
          <w:left w:w="0" w:type="dxa"/>
          <w:bottom w:w="0" w:type="dxa"/>
          <w:right w:w="0" w:type="dxa"/>
        </w:tblCellMar>
      </w:tblPr>
      <w:tblGrid>
        <w:gridCol w:w="37"/>
        <w:gridCol w:w="152"/>
        <w:gridCol w:w="10016"/>
      </w:tblGrid>
      <w:tr>
        <w:trPr/>
        <w:tc>
          <w:tcPr>
            <w:tcW w:w="37"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lineRule="auto" w:line="240" w:before="0" w:after="283"/>
              <w:jc w:val="left"/>
              <w:rPr>
                <w:rFonts w:ascii="Times New Roman;Times;Serif" w:hAnsi="Times New Roman;Times;Serif"/>
                <w:color w:val="000000"/>
                <w:sz w:val="9"/>
              </w:rPr>
            </w:pPr>
            <w:r>
              <w:rPr>
                <w:rFonts w:ascii="Times New Roman;Times;Serif" w:hAnsi="Times New Roman;Times;Serif"/>
                <w:color w:val="000000"/>
                <w:sz w:val="9"/>
              </w:rPr>
              <w:t>(3)</w:t>
            </w:r>
          </w:p>
        </w:tc>
        <w:tc>
          <w:tcPr>
            <w:tcW w:w="10016" w:type="dxa"/>
            <w:tcBorders/>
            <w:shd w:fill="auto" w:val="clear"/>
            <w:vAlign w:val="center"/>
          </w:tcPr>
          <w:p>
            <w:pPr>
              <w:pStyle w:val="TableContents"/>
              <w:spacing w:before="0" w:after="283"/>
              <w:jc w:val="left"/>
              <w:rPr>
                <w:rFonts w:ascii="Times New Roman;Times;Serif" w:hAnsi="Times New Roman;Times;Serif"/>
                <w:color w:val="000000"/>
                <w:sz w:val="12"/>
              </w:rPr>
            </w:pPr>
            <w:r>
              <w:rPr>
                <w:rFonts w:ascii="Times New Roman;Times;Serif" w:hAnsi="Times New Roman;Times;Serif"/>
                <w:color w:val="000000"/>
                <w:sz w:val="12"/>
              </w:rPr>
              <w:t xml:space="preserve">Founder shares are currently classified as Class B ordinary shares, which shares will automatically convert into Class A ordinary shares on the first business day following our initial business combination on a one-for-one basis, subject to adjustment as described below adjacent to the caption Founder shares conversion and anti-dilution rights. </w:t>
            </w:r>
          </w:p>
        </w:tc>
      </w:tr>
    </w:tbl>
    <w:tbl>
      <w:tblPr>
        <w:tblW w:w="5000" w:type="pct"/>
        <w:jc w:val="left"/>
        <w:tblInd w:w="0" w:type="dxa"/>
        <w:tblCellMar>
          <w:top w:w="0" w:type="dxa"/>
          <w:left w:w="0" w:type="dxa"/>
          <w:bottom w:w="0" w:type="dxa"/>
          <w:right w:w="0" w:type="dxa"/>
        </w:tblCellMar>
      </w:tblPr>
      <w:tblGrid>
        <w:gridCol w:w="111"/>
        <w:gridCol w:w="572"/>
        <w:gridCol w:w="9522"/>
      </w:tblGrid>
      <w:tr>
        <w:trPr/>
        <w:tc>
          <w:tcPr>
            <w:tcW w:w="111"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lineRule="auto" w:line="240" w:before="0" w:after="283"/>
              <w:jc w:val="left"/>
              <w:rPr>
                <w:rFonts w:ascii="Times New Roman;Times;Serif" w:hAnsi="Times New Roman;Times;Serif"/>
                <w:color w:val="000000"/>
                <w:sz w:val="9"/>
              </w:rPr>
            </w:pPr>
            <w:r>
              <w:rPr>
                <w:rFonts w:ascii="Times New Roman;Times;Serif" w:hAnsi="Times New Roman;Times;Serif"/>
                <w:color w:val="000000"/>
                <w:sz w:val="9"/>
              </w:rPr>
              <w:t>(4)</w:t>
            </w:r>
          </w:p>
        </w:tc>
        <w:tc>
          <w:tcPr>
            <w:tcW w:w="9522" w:type="dxa"/>
            <w:tcBorders/>
            <w:shd w:fill="auto" w:val="clear"/>
            <w:vAlign w:val="center"/>
          </w:tcPr>
          <w:p>
            <w:pPr>
              <w:pStyle w:val="TableContents"/>
              <w:spacing w:before="0" w:after="283"/>
              <w:jc w:val="left"/>
              <w:rPr>
                <w:rFonts w:ascii="Times New Roman;Times;Serif" w:hAnsi="Times New Roman;Times;Serif"/>
                <w:color w:val="000000"/>
                <w:sz w:val="12"/>
              </w:rPr>
            </w:pPr>
            <w:r>
              <w:rPr>
                <w:rFonts w:ascii="Times New Roman;Times;Serif" w:hAnsi="Times New Roman;Times;Serif"/>
                <w:color w:val="000000"/>
                <w:sz w:val="12"/>
              </w:rPr>
              <w:t xml:space="preserve">Includes 25,000,000 public shares and 6,250,000 founder shares. </w:t>
            </w:r>
          </w:p>
        </w:tc>
      </w:tr>
    </w:tbl>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8</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taking into account any founder shares held by our sponsor or such affiliates, as applicable, prior to such issuance) (the Newly Issued Price), (y) the aggregate gross proceeds from such issuances represent more than 60% of the total equity proceeds, and interest thereon, available for the funding of our initial business combination on the date of the completion of our initial business combination (net of redemptions), and (z) the volume weighted average trading price of our ordinary shares during the 20 trading day period starting on the trading day prior to the day on which we consummate our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described below under Redemption of warrants will be adjusted (to the nearest cent) to be equal to 180% of the higher of the Market Value and the Newly Issued Price.</w:t>
      </w:r>
    </w:p>
    <w:p>
      <w:pPr>
        <w:pStyle w:val="TextBody"/>
        <w:spacing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The warrants will become exercisable on the later of:</w:t>
      </w:r>
      <w:r>
        <mc:AlternateContent>
          <mc:Choice Requires="wps">
            <w:drawing>
              <wp:anchor behindDoc="0" distT="76200" distB="0" distL="0" distR="0" simplePos="0" locked="0" layoutInCell="1" allowOverlap="1" relativeHeight="14">
                <wp:simplePos x="0" y="0"/>
                <wp:positionH relativeFrom="column">
                  <wp:align>left</wp:align>
                </wp:positionH>
                <wp:positionV relativeFrom="line">
                  <wp:align>top</wp:align>
                </wp:positionV>
                <wp:extent cx="2971800" cy="120650"/>
                <wp:effectExtent l="0" t="0" r="0" b="0"/>
                <wp:wrapSquare wrapText="largest"/>
                <wp:docPr id="13" name="Frame13"/>
                <a:graphic xmlns:a="http://schemas.openxmlformats.org/drawingml/2006/main">
                  <a:graphicData uri="http://schemas.microsoft.com/office/word/2010/wordprocessingShape">
                    <wps:wsp>
                      <wps:cNvSpPr txBox="1"/>
                      <wps:spPr>
                        <a:xfrm>
                          <a:off x="0" y="0"/>
                          <a:ext cx="2971800" cy="120650"/>
                        </a:xfrm>
                        <a:prstGeom prst="rect"/>
                      </wps:spPr>
                      <wps:txbx>
                        <w:txbxContent>
                          <w:p>
                            <w:pPr>
                              <w:pStyle w:val="TextBody"/>
                              <w:spacing w:before="0" w:after="283"/>
                              <w:jc w:val="left"/>
                              <w:rPr>
                                <w:rFonts w:ascii="Times New Roman;Times;Serif" w:hAnsi="Times New Roman;Times;Serif"/>
                                <w:b/>
                                <w:color w:val="000000"/>
                                <w:sz w:val="17"/>
                              </w:rPr>
                            </w:pPr>
                            <w:r>
                              <w:rPr>
                                <w:rFonts w:ascii="Times New Roman;Times;Serif" w:hAnsi="Times New Roman;Times;Serif"/>
                                <w:b/>
                                <w:color w:val="000000"/>
                                <w:sz w:val="17"/>
                              </w:rPr>
                              <w:t xml:space="preserve">Exercise period </w:t>
                            </w:r>
                          </w:p>
                        </w:txbxContent>
                      </wps:txbx>
                      <wps:bodyPr anchor="t" lIns="0" tIns="0" rIns="0" bIns="0">
                        <a:noAutofit/>
                      </wps:bodyPr>
                    </wps:wsp>
                  </a:graphicData>
                </a:graphic>
              </wp:anchor>
            </w:drawing>
          </mc:Choice>
          <mc:Fallback>
            <w:pict>
              <v:rect style="position:absolute;rotation:0;width:234pt;height:9.5pt;mso-wrap-distance-left:0pt;mso-wrap-distance-right:0pt;mso-wrap-distance-top:6pt;mso-wrap-distance-bottom:0pt;margin-top:6pt;mso-position-vertical:top;mso-position-vertical-relative:text;margin-left:0pt;mso-position-horizontal:left;mso-position-horizontal-relative:text">
                <v:textbox inset="0in,0in,0in,0in">
                  <w:txbxContent>
                    <w:p>
                      <w:pPr>
                        <w:pStyle w:val="TextBody"/>
                        <w:spacing w:before="0" w:after="283"/>
                        <w:jc w:val="left"/>
                        <w:rPr>
                          <w:rFonts w:ascii="Times New Roman;Times;Serif" w:hAnsi="Times New Roman;Times;Serif"/>
                          <w:b/>
                          <w:color w:val="000000"/>
                          <w:sz w:val="17"/>
                        </w:rPr>
                      </w:pPr>
                      <w:r>
                        <w:rPr>
                          <w:rFonts w:ascii="Times New Roman;Times;Serif" w:hAnsi="Times New Roman;Times;Serif"/>
                          <w:b/>
                          <w:color w:val="000000"/>
                          <w:sz w:val="17"/>
                        </w:rPr>
                        <w:t xml:space="preserve">Exercise period </w:t>
                      </w:r>
                    </w:p>
                  </w:txbxContent>
                </v:textbox>
                <w10:wrap type="square" side="right"/>
              </v:rect>
            </w:pict>
          </mc:Fallback>
        </mc:AlternateContent>
      </w:r>
    </w:p>
    <w:tbl>
      <w:tblPr>
        <w:tblW w:w="5000" w:type="pct"/>
        <w:jc w:val="left"/>
        <w:tblInd w:w="0" w:type="dxa"/>
        <w:tblCellMar>
          <w:top w:w="0" w:type="dxa"/>
          <w:left w:w="0" w:type="dxa"/>
          <w:bottom w:w="0" w:type="dxa"/>
          <w:right w:w="0" w:type="dxa"/>
        </w:tblCellMar>
      </w:tblPr>
      <w:tblGrid>
        <w:gridCol w:w="4908"/>
        <w:gridCol w:w="398"/>
        <w:gridCol w:w="4899"/>
      </w:tblGrid>
      <w:tr>
        <w:trPr/>
        <w:tc>
          <w:tcPr>
            <w:tcW w:w="4908"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jc w:val="left"/>
              <w:rPr>
                <w:color w:val="000000"/>
              </w:rPr>
            </w:pPr>
            <w:r>
              <w:rPr>
                <w:color w:val="000000"/>
              </w:rPr>
              <w:t>•</w:t>
            </w:r>
          </w:p>
        </w:tc>
        <w:tc>
          <w:tcPr>
            <w:tcW w:w="4899"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30 days after the completion of our initial business combination; and</w:t>
            </w:r>
          </w:p>
        </w:tc>
      </w:tr>
    </w:tbl>
    <w:tbl>
      <w:tblPr>
        <w:tblW w:w="5000" w:type="pct"/>
        <w:jc w:val="left"/>
        <w:tblInd w:w="0" w:type="dxa"/>
        <w:tblCellMar>
          <w:top w:w="0" w:type="dxa"/>
          <w:left w:w="0" w:type="dxa"/>
          <w:bottom w:w="0" w:type="dxa"/>
          <w:right w:w="0" w:type="dxa"/>
        </w:tblCellMar>
      </w:tblPr>
      <w:tblGrid>
        <w:gridCol w:w="5920"/>
        <w:gridCol w:w="479"/>
        <w:gridCol w:w="3806"/>
      </w:tblGrid>
      <w:tr>
        <w:trPr/>
        <w:tc>
          <w:tcPr>
            <w:tcW w:w="5920"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jc w:val="left"/>
              <w:rPr>
                <w:color w:val="000000"/>
              </w:rPr>
            </w:pPr>
            <w:r>
              <w:rPr>
                <w:color w:val="000000"/>
              </w:rPr>
              <w:t>•</w:t>
            </w:r>
          </w:p>
        </w:tc>
        <w:tc>
          <w:tcPr>
            <w:tcW w:w="3806"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12 months from the closing of this offering;</w:t>
            </w:r>
          </w:p>
        </w:tc>
      </w:tr>
    </w:tbl>
    <w:p>
      <w:pPr>
        <w:pStyle w:val="TextBody"/>
        <w:spacing w:lineRule="atLeast" w:line="240"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provided in each case that we have an effective registration statement under the Securities Act covering the issuance of the Class A ordinary shares issuable upon exercise of the warrants and a current prospectus relating to them is available and such shares are registered, qualified or exempt from registration under the securities, or blue sky, laws of the state of residence of the holder (or we permit holders to exercise their warrants on a cashless basis under the circumstances specified in the warrant agreement).</w:t>
      </w:r>
    </w:p>
    <w:p>
      <w:pPr>
        <w:pStyle w:val="TextBody"/>
        <w:spacing w:lineRule="atLeast" w:line="240"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 xml:space="preserve">We are not registering the Class A ordinary shares issuable upon exercise of the warrants at this time. However, we have agreed that as soon as practicable, but in no event later than 15 business days after the closing of our initial business combination, we will use our reasonable best efforts to file with the SEC a registration statement covering the issuance of the Class A ordinary shares issuable upon exercise of the warrants, and we will use our reasonable best efforts to cause the same to become effective within 60 business days after the closing of our initial business combination and to maintain the effectiveness of such registration statement and a current prospectus relating to those Class A ordinary shares until the warrants expire or are redeemed; provided that if our Class A ordinary shares are, at the time of any exercise of a warrant, not listed on a national securities exchange such that it satisfies the definition of a covered </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9</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w:t>
      </w:r>
    </w:p>
    <w:p>
      <w:pPr>
        <w:pStyle w:val="TextBody"/>
        <w:spacing w:lineRule="atLeast" w:line="240"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The warrants will expire at 5:00 p.m., New York City time, five years after the completion of our initial business combination or earlier upon redemption or liquidation. On the exercise of any warrant, the warrant exercise price will be paid directly to us and not placed in the trust account.</w:t>
      </w:r>
    </w:p>
    <w:p>
      <w:pPr>
        <w:pStyle w:val="TextBody"/>
        <w:spacing w:lineRule="atLeast" w:line="240"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Once the warrants become exercisable, we may redeem the outstanding warrants (except as described herein with respect to the private placement warrants):</w:t>
      </w:r>
      <w:r>
        <mc:AlternateContent>
          <mc:Choice Requires="wps">
            <w:drawing>
              <wp:anchor behindDoc="0" distT="76200" distB="0" distL="0" distR="0" simplePos="0" locked="0" layoutInCell="1" allowOverlap="1" relativeHeight="15">
                <wp:simplePos x="0" y="0"/>
                <wp:positionH relativeFrom="column">
                  <wp:align>left</wp:align>
                </wp:positionH>
                <wp:positionV relativeFrom="line">
                  <wp:align>top</wp:align>
                </wp:positionV>
                <wp:extent cx="2971800" cy="120650"/>
                <wp:effectExtent l="0" t="0" r="0" b="0"/>
                <wp:wrapSquare wrapText="largest"/>
                <wp:docPr id="14" name="Frame14"/>
                <a:graphic xmlns:a="http://schemas.openxmlformats.org/drawingml/2006/main">
                  <a:graphicData uri="http://schemas.microsoft.com/office/word/2010/wordprocessingShape">
                    <wps:wsp>
                      <wps:cNvSpPr txBox="1"/>
                      <wps:spPr>
                        <a:xfrm>
                          <a:off x="0" y="0"/>
                          <a:ext cx="2971800" cy="120650"/>
                        </a:xfrm>
                        <a:prstGeom prst="rect"/>
                      </wps:spPr>
                      <wps:txbx>
                        <w:txbxContent>
                          <w:p>
                            <w:pPr>
                              <w:pStyle w:val="TextBody"/>
                              <w:spacing w:before="0" w:after="283"/>
                              <w:jc w:val="left"/>
                              <w:rPr>
                                <w:rFonts w:ascii="Times New Roman;Times;Serif" w:hAnsi="Times New Roman;Times;Serif"/>
                                <w:b/>
                                <w:color w:val="000000"/>
                                <w:sz w:val="17"/>
                              </w:rPr>
                            </w:pPr>
                            <w:r>
                              <w:rPr>
                                <w:rFonts w:ascii="Times New Roman;Times;Serif" w:hAnsi="Times New Roman;Times;Serif"/>
                                <w:b/>
                                <w:color w:val="000000"/>
                                <w:sz w:val="17"/>
                              </w:rPr>
                              <w:t xml:space="preserve">Redemption of warrants </w:t>
                            </w:r>
                          </w:p>
                        </w:txbxContent>
                      </wps:txbx>
                      <wps:bodyPr anchor="t" lIns="0" tIns="0" rIns="0" bIns="0">
                        <a:noAutofit/>
                      </wps:bodyPr>
                    </wps:wsp>
                  </a:graphicData>
                </a:graphic>
              </wp:anchor>
            </w:drawing>
          </mc:Choice>
          <mc:Fallback>
            <w:pict>
              <v:rect style="position:absolute;rotation:0;width:234pt;height:9.5pt;mso-wrap-distance-left:0pt;mso-wrap-distance-right:0pt;mso-wrap-distance-top:6pt;mso-wrap-distance-bottom:0pt;margin-top:6pt;mso-position-vertical:top;mso-position-vertical-relative:text;margin-left:0pt;mso-position-horizontal:left;mso-position-horizontal-relative:text">
                <v:textbox inset="0in,0in,0in,0in">
                  <w:txbxContent>
                    <w:p>
                      <w:pPr>
                        <w:pStyle w:val="TextBody"/>
                        <w:spacing w:before="0" w:after="283"/>
                        <w:jc w:val="left"/>
                        <w:rPr>
                          <w:rFonts w:ascii="Times New Roman;Times;Serif" w:hAnsi="Times New Roman;Times;Serif"/>
                          <w:b/>
                          <w:color w:val="000000"/>
                          <w:sz w:val="17"/>
                        </w:rPr>
                      </w:pPr>
                      <w:r>
                        <w:rPr>
                          <w:rFonts w:ascii="Times New Roman;Times;Serif" w:hAnsi="Times New Roman;Times;Serif"/>
                          <w:b/>
                          <w:color w:val="000000"/>
                          <w:sz w:val="17"/>
                        </w:rPr>
                        <w:t xml:space="preserve">Redemption of warrants </w:t>
                      </w:r>
                    </w:p>
                  </w:txbxContent>
                </v:textbox>
                <w10:wrap type="square" side="right"/>
              </v:rect>
            </w:pict>
          </mc:Fallback>
        </mc:AlternateContent>
      </w:r>
    </w:p>
    <w:tbl>
      <w:tblPr>
        <w:tblW w:w="5000" w:type="pct"/>
        <w:jc w:val="left"/>
        <w:tblInd w:w="0" w:type="dxa"/>
        <w:tblCellMar>
          <w:top w:w="0" w:type="dxa"/>
          <w:left w:w="0" w:type="dxa"/>
          <w:bottom w:w="0" w:type="dxa"/>
          <w:right w:w="0" w:type="dxa"/>
        </w:tblCellMar>
      </w:tblPr>
      <w:tblGrid>
        <w:gridCol w:w="7070"/>
        <w:gridCol w:w="572"/>
        <w:gridCol w:w="2563"/>
      </w:tblGrid>
      <w:tr>
        <w:trPr/>
        <w:tc>
          <w:tcPr>
            <w:tcW w:w="7070"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jc w:val="left"/>
              <w:rPr>
                <w:color w:val="000000"/>
              </w:rPr>
            </w:pPr>
            <w:r>
              <w:rPr>
                <w:color w:val="000000"/>
              </w:rPr>
              <w:t>•</w:t>
            </w:r>
          </w:p>
        </w:tc>
        <w:tc>
          <w:tcPr>
            <w:tcW w:w="2563"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in whole and not in part;</w:t>
            </w:r>
          </w:p>
        </w:tc>
      </w:tr>
    </w:tbl>
    <w:tbl>
      <w:tblPr>
        <w:tblW w:w="5000" w:type="pct"/>
        <w:jc w:val="left"/>
        <w:tblInd w:w="0" w:type="dxa"/>
        <w:tblCellMar>
          <w:top w:w="0" w:type="dxa"/>
          <w:left w:w="0" w:type="dxa"/>
          <w:bottom w:w="0" w:type="dxa"/>
          <w:right w:w="0" w:type="dxa"/>
        </w:tblCellMar>
      </w:tblPr>
      <w:tblGrid>
        <w:gridCol w:w="6640"/>
        <w:gridCol w:w="537"/>
        <w:gridCol w:w="3028"/>
      </w:tblGrid>
      <w:tr>
        <w:trPr/>
        <w:tc>
          <w:tcPr>
            <w:tcW w:w="6640"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jc w:val="left"/>
              <w:rPr>
                <w:color w:val="000000"/>
              </w:rPr>
            </w:pPr>
            <w:r>
              <w:rPr>
                <w:color w:val="000000"/>
              </w:rPr>
              <w:t>•</w:t>
            </w:r>
          </w:p>
        </w:tc>
        <w:tc>
          <w:tcPr>
            <w:tcW w:w="3028"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at a price of $0.01 per warrant;</w:t>
            </w:r>
          </w:p>
        </w:tc>
      </w:tr>
    </w:tbl>
    <w:tbl>
      <w:tblPr>
        <w:tblW w:w="5000" w:type="pct"/>
        <w:jc w:val="left"/>
        <w:tblInd w:w="0" w:type="dxa"/>
        <w:tblCellMar>
          <w:top w:w="0" w:type="dxa"/>
          <w:left w:w="0" w:type="dxa"/>
          <w:bottom w:w="0" w:type="dxa"/>
          <w:right w:w="0" w:type="dxa"/>
        </w:tblCellMar>
      </w:tblPr>
      <w:tblGrid>
        <w:gridCol w:w="3509"/>
        <w:gridCol w:w="313"/>
        <w:gridCol w:w="6383"/>
      </w:tblGrid>
      <w:tr>
        <w:trPr/>
        <w:tc>
          <w:tcPr>
            <w:tcW w:w="35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jc w:val="left"/>
              <w:rPr>
                <w:color w:val="000000"/>
              </w:rPr>
            </w:pPr>
            <w:r>
              <w:rPr>
                <w:color w:val="000000"/>
              </w:rPr>
              <w:t>•</w:t>
            </w:r>
          </w:p>
        </w:tc>
        <w:tc>
          <w:tcPr>
            <w:tcW w:w="6383"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upon a minimum of 30 days’ prior written notice of redemption, which we refer to as the 30-day redemption period; and</w:t>
            </w:r>
          </w:p>
        </w:tc>
      </w:tr>
    </w:tbl>
    <w:tbl>
      <w:tblPr>
        <w:tblW w:w="5000" w:type="pct"/>
        <w:jc w:val="left"/>
        <w:tblInd w:w="0" w:type="dxa"/>
        <w:tblCellMar>
          <w:top w:w="0" w:type="dxa"/>
          <w:left w:w="0" w:type="dxa"/>
          <w:bottom w:w="0" w:type="dxa"/>
          <w:right w:w="0" w:type="dxa"/>
        </w:tblCellMar>
      </w:tblPr>
      <w:tblGrid>
        <w:gridCol w:w="1411"/>
        <w:gridCol w:w="190"/>
        <w:gridCol w:w="8604"/>
      </w:tblGrid>
      <w:tr>
        <w:trPr/>
        <w:tc>
          <w:tcPr>
            <w:tcW w:w="1411"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jc w:val="left"/>
              <w:rPr>
                <w:color w:val="000000"/>
              </w:rPr>
            </w:pPr>
            <w:r>
              <w:rPr>
                <w:color w:val="000000"/>
              </w:rPr>
              <w:t>•</w:t>
            </w:r>
          </w:p>
        </w:tc>
        <w:tc>
          <w:tcPr>
            <w:tcW w:w="8604"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if, and only if, the last reported sale price of our Class A ordinary shares equals or exceeds $18.00 per share (as adjusted for share splits, share dividends, rights issuances, subdivisions, reorganizations, recapitalizations and the like) for any 20 trading days within a 30-trading day period ending on the third trading day prior to the date on which we send the notice of redemption to the warrant holders.</w:t>
            </w:r>
          </w:p>
        </w:tc>
      </w:tr>
    </w:tbl>
    <w:p>
      <w:pPr>
        <w:pStyle w:val="TextBody"/>
        <w:spacing w:lineRule="atLeast" w:line="240"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We will not redeem the warrants unless a registration statement under the Securities Act covering the issuance of the Class A ordinary shares issuable upon exercise of the warrants is then effective and a current prospectus relating to those Class A ordinary shares is available throughout the 30-day redemption period, except if the warrants may be exercised on a cashless basis and such cashless exercise is exempt from registration under the Securities Act. If and when the warrants become redeemable by us, we may exercise our redemption right even if we are unable to register or qualify the underlying securities for sale under all applicable state securities laws.</w:t>
      </w:r>
    </w:p>
    <w:p>
      <w:pPr>
        <w:pStyle w:val="TextBody"/>
        <w:spacing w:lineRule="atLeast" w:line="240"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 xml:space="preserve">If we call the warrants for redemption as described above, our management will have the option to require all holders that wish to exercise warrants to do so on a cashless basis. In determining whether to require all holders to exercise their warrants on a cashless basis, our management will consider, among other factors, our cash position, the number of warrants that are outstanding and the dilutive effect on our </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10</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shareholders of issuing the maximum number of Class A ordinary shares issuable upon the exercise of our warrants. In such event, each holder would pay the exercise price by surrendering the warrants for that number of Class A ordinary shares equal to the quotient obtained by dividing (x) the product of the number of Class A ordinary shares underlying the warrants, multiplied by the excess of the fair market value (defined below) over the exercise price of the warrants by (y) the fair market value. The fair market value shall mean the average last reported sale price of the Class A ordinary shares for the 10 trading days ending on the third trading day prior to the date on which the notice of redemption is sent to the holders of warrants. Please see the section entitled Description of Securities—Warrants—Public Shareholders Redeemable Warrants for additional information.</w:t>
      </w:r>
    </w:p>
    <w:p>
      <w:pPr>
        <w:pStyle w:val="TextBody"/>
        <w:spacing w:lineRule="atLeast" w:line="240"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None of the private placement warrants will be redeemable by us so long as they are held by our sponsor or its permitted transferees.</w:t>
      </w:r>
    </w:p>
    <w:p>
      <w:pPr>
        <w:pStyle w:val="TextBody"/>
        <w:spacing w:lineRule="atLeast" w:line="240" w:before="120" w:after="283"/>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 xml:space="preserve">In June 2019, our sponsor subscribed for an aggregate of 7,187,500 founder shares, par value $0.0001 per share, for an aggregate purchase price of $25,000, or $0.004 per share (after giving effect to a forfeiture of one share by our sponsor for no value, a subsequent share capitalization and the forfeiture of 937,500 shares assuming the over-allotment option is not exercised). </w:t>
      </w:r>
      <w:r>
        <mc:AlternateContent>
          <mc:Choice Requires="wps">
            <w:drawing>
              <wp:anchor behindDoc="0" distT="76200" distB="0" distL="0" distR="0" simplePos="0" locked="0" layoutInCell="1" allowOverlap="1" relativeHeight="16">
                <wp:simplePos x="0" y="0"/>
                <wp:positionH relativeFrom="column">
                  <wp:align>left</wp:align>
                </wp:positionH>
                <wp:positionV relativeFrom="line">
                  <wp:align>top</wp:align>
                </wp:positionV>
                <wp:extent cx="2971800" cy="120650"/>
                <wp:effectExtent l="0" t="0" r="0" b="0"/>
                <wp:wrapSquare wrapText="largest"/>
                <wp:docPr id="15" name="Frame15"/>
                <a:graphic xmlns:a="http://schemas.openxmlformats.org/drawingml/2006/main">
                  <a:graphicData uri="http://schemas.microsoft.com/office/word/2010/wordprocessingShape">
                    <wps:wsp>
                      <wps:cNvSpPr txBox="1"/>
                      <wps:spPr>
                        <a:xfrm>
                          <a:off x="0" y="0"/>
                          <a:ext cx="2971800" cy="120650"/>
                        </a:xfrm>
                        <a:prstGeom prst="rect"/>
                      </wps:spPr>
                      <wps:txbx>
                        <w:txbxContent>
                          <w:p>
                            <w:pPr>
                              <w:pStyle w:val="TextBody"/>
                              <w:spacing w:before="0" w:after="283"/>
                              <w:jc w:val="left"/>
                              <w:rPr>
                                <w:rFonts w:ascii="Times New Roman;Times;Serif" w:hAnsi="Times New Roman;Times;Serif"/>
                                <w:b/>
                                <w:color w:val="000000"/>
                                <w:sz w:val="17"/>
                              </w:rPr>
                            </w:pPr>
                            <w:r>
                              <w:rPr>
                                <w:rFonts w:ascii="Times New Roman;Times;Serif" w:hAnsi="Times New Roman;Times;Serif"/>
                                <w:b/>
                                <w:color w:val="000000"/>
                                <w:sz w:val="17"/>
                              </w:rPr>
                              <w:t>Founder shares</w:t>
                            </w:r>
                          </w:p>
                        </w:txbxContent>
                      </wps:txbx>
                      <wps:bodyPr anchor="t" lIns="0" tIns="0" rIns="0" bIns="0">
                        <a:noAutofit/>
                      </wps:bodyPr>
                    </wps:wsp>
                  </a:graphicData>
                </a:graphic>
              </wp:anchor>
            </w:drawing>
          </mc:Choice>
          <mc:Fallback>
            <w:pict>
              <v:rect style="position:absolute;rotation:0;width:234pt;height:9.5pt;mso-wrap-distance-left:0pt;mso-wrap-distance-right:0pt;mso-wrap-distance-top:6pt;mso-wrap-distance-bottom:0pt;margin-top:6pt;mso-position-vertical:top;mso-position-vertical-relative:text;margin-left:0pt;mso-position-horizontal:left;mso-position-horizontal-relative:text">
                <v:textbox inset="0in,0in,0in,0in">
                  <w:txbxContent>
                    <w:p>
                      <w:pPr>
                        <w:pStyle w:val="TextBody"/>
                        <w:spacing w:before="0" w:after="283"/>
                        <w:jc w:val="left"/>
                        <w:rPr>
                          <w:rFonts w:ascii="Times New Roman;Times;Serif" w:hAnsi="Times New Roman;Times;Serif"/>
                          <w:b/>
                          <w:color w:val="000000"/>
                          <w:sz w:val="17"/>
                        </w:rPr>
                      </w:pPr>
                      <w:r>
                        <w:rPr>
                          <w:rFonts w:ascii="Times New Roman;Times;Serif" w:hAnsi="Times New Roman;Times;Serif"/>
                          <w:b/>
                          <w:color w:val="000000"/>
                          <w:sz w:val="17"/>
                        </w:rPr>
                        <w:t>Founder shares</w:t>
                      </w:r>
                    </w:p>
                  </w:txbxContent>
                </v:textbox>
                <w10:wrap type="square" side="right"/>
              </v:rect>
            </w:pict>
          </mc:Fallback>
        </mc:AlternateContent>
      </w:r>
    </w:p>
    <w:p>
      <w:pPr>
        <w:pStyle w:val="TextBody"/>
        <w:spacing w:lineRule="atLeast" w:line="240"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 xml:space="preserve">Prior to the initial investment in the company of $25,000 by our sponsor, the company had no assets, tangible or intangible. The purchase price of these founder shares was determined by dividing the amount of cash contributed to us by the number of founder shares issued. Our initial shareholders will collectively own 20% of our issued and outstanding shares after this offering (assuming they do not purchase any units in this offering). Up to 937,500 founder shares are subject to forfeiture by our sponsor depending on the extent to which the underwriters over-allotment option is exercised. </w:t>
      </w:r>
    </w:p>
    <w:p>
      <w:pPr>
        <w:pStyle w:val="TextBody"/>
        <w:spacing w:lineRule="atLeast" w:line="240"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The founder shares are identical to the Class A ordinary shares included in the units being sold in this offering, except that:</w:t>
      </w:r>
    </w:p>
    <w:tbl>
      <w:tblPr>
        <w:tblW w:w="5000" w:type="pct"/>
        <w:jc w:val="left"/>
        <w:tblInd w:w="0" w:type="dxa"/>
        <w:tblCellMar>
          <w:top w:w="0" w:type="dxa"/>
          <w:left w:w="0" w:type="dxa"/>
          <w:bottom w:w="0" w:type="dxa"/>
          <w:right w:w="0" w:type="dxa"/>
        </w:tblCellMar>
      </w:tblPr>
      <w:tblGrid>
        <w:gridCol w:w="2143"/>
        <w:gridCol w:w="233"/>
        <w:gridCol w:w="7829"/>
      </w:tblGrid>
      <w:tr>
        <w:trPr/>
        <w:tc>
          <w:tcPr>
            <w:tcW w:w="214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jc w:val="left"/>
              <w:rPr>
                <w:color w:val="000000"/>
              </w:rPr>
            </w:pPr>
            <w:r>
              <w:rPr>
                <w:color w:val="000000"/>
              </w:rPr>
              <w:t>•</w:t>
            </w:r>
          </w:p>
        </w:tc>
        <w:tc>
          <w:tcPr>
            <w:tcW w:w="7829"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prior to our initial business combination, only holders of the founder shares have the right to vote on the election of directors and holders of a majority of our founder shares may remove a member of the board of directors for any reason;</w:t>
            </w:r>
          </w:p>
        </w:tc>
      </w:tr>
    </w:tbl>
    <w:tbl>
      <w:tblPr>
        <w:tblW w:w="5000" w:type="pct"/>
        <w:jc w:val="left"/>
        <w:tblInd w:w="0" w:type="dxa"/>
        <w:tblCellMar>
          <w:top w:w="0" w:type="dxa"/>
          <w:left w:w="0" w:type="dxa"/>
          <w:bottom w:w="0" w:type="dxa"/>
          <w:right w:w="0" w:type="dxa"/>
        </w:tblCellMar>
      </w:tblPr>
      <w:tblGrid>
        <w:gridCol w:w="4111"/>
        <w:gridCol w:w="348"/>
        <w:gridCol w:w="5746"/>
      </w:tblGrid>
      <w:tr>
        <w:trPr/>
        <w:tc>
          <w:tcPr>
            <w:tcW w:w="4111"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jc w:val="left"/>
              <w:rPr>
                <w:color w:val="000000"/>
              </w:rPr>
            </w:pPr>
            <w:r>
              <w:rPr>
                <w:color w:val="000000"/>
              </w:rPr>
              <w:t>•</w:t>
            </w:r>
          </w:p>
        </w:tc>
        <w:tc>
          <w:tcPr>
            <w:tcW w:w="5746"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the founder shares are subject to certain transfer restrictions, as described in more detail below;</w:t>
            </w:r>
          </w:p>
        </w:tc>
      </w:tr>
    </w:tbl>
    <w:tbl>
      <w:tblPr>
        <w:tblW w:w="5000" w:type="pct"/>
        <w:jc w:val="left"/>
        <w:tblInd w:w="0" w:type="dxa"/>
        <w:tblCellMar>
          <w:top w:w="0" w:type="dxa"/>
          <w:left w:w="0" w:type="dxa"/>
          <w:bottom w:w="0" w:type="dxa"/>
          <w:right w:w="0" w:type="dxa"/>
        </w:tblCellMar>
      </w:tblPr>
      <w:tblGrid>
        <w:gridCol w:w="4034"/>
        <w:gridCol w:w="344"/>
        <w:gridCol w:w="5827"/>
      </w:tblGrid>
      <w:tr>
        <w:trPr/>
        <w:tc>
          <w:tcPr>
            <w:tcW w:w="403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jc w:val="left"/>
              <w:rPr>
                <w:color w:val="000000"/>
              </w:rPr>
            </w:pPr>
            <w:r>
              <w:rPr>
                <w:color w:val="000000"/>
              </w:rPr>
              <w:t>•</w:t>
            </w:r>
          </w:p>
        </w:tc>
        <w:tc>
          <w:tcPr>
            <w:tcW w:w="5827"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 xml:space="preserve">our initial shareholders have entered into a letter agreement with us, pursuant to which they have </w:t>
            </w:r>
          </w:p>
        </w:tc>
      </w:tr>
    </w:tbl>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11</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agreed to waive: (1) their redemption rights with respect to their founder shares and any public shares held by them in connection with the completion of our initial business combination (and not seek to sell its shares to us in any tender offer we undertake in connection with our initial business combination); (2) their redemption rights with respect to their founder shares and any public shares held by them in connection with a shareholder vote to approve an amendment to our amended and restated memorandum and articles of association (A) to modify the substance or timing of our obligation to redeem 100% of our public shares if we do not complete our initial business combination within 18 months from the closing of this offering or (B) with respect to any other provision relating to shareholders rights or pre-initial business combination activity; and (3) their rights to liquidating distributions from the trust account with respect to any founder shares they hold if we fail to complete our initial business combination within 18 months from the closing of this offering (although they will be entitled to liquidating distributions from the trust account with respect to any public shares they hold if we fail to complete our initial business combination within the prescribed time frame). If we submit our initial business combination to our public shareholders for a vote, our initial shareholders have agreed, pursuant to such letter agreement, to vote their founder shares and any public shares they hold in favor of our initial business combination. As a result, in addition to our initial shareholders founder shares, we would need 9,375,001, or 37.5%, of the 25,000,000 public shares sold in this offering to be voted in favor of a transaction (assuming all issued and outstanding shares are voted and the over-allotment option is not exercised), subject to any higher threshold as is required by Cayman Islands or other applicable law, in order to have such initial business combination approved. Our directors and officers have also entered into the letter agreement, imposing similar obligations on them with respect to public shares acquired by them, if any;</w:t>
      </w:r>
    </w:p>
    <w:tbl>
      <w:tblPr>
        <w:tblW w:w="5000" w:type="pct"/>
        <w:jc w:val="left"/>
        <w:tblInd w:w="0" w:type="dxa"/>
        <w:tblCellMar>
          <w:top w:w="0" w:type="dxa"/>
          <w:left w:w="0" w:type="dxa"/>
          <w:bottom w:w="0" w:type="dxa"/>
          <w:right w:w="0" w:type="dxa"/>
        </w:tblCellMar>
      </w:tblPr>
      <w:tblGrid>
        <w:gridCol w:w="1566"/>
        <w:gridCol w:w="199"/>
        <w:gridCol w:w="8440"/>
      </w:tblGrid>
      <w:tr>
        <w:trPr/>
        <w:tc>
          <w:tcPr>
            <w:tcW w:w="156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jc w:val="left"/>
              <w:rPr>
                <w:color w:val="000000"/>
              </w:rPr>
            </w:pPr>
            <w:r>
              <w:rPr>
                <w:color w:val="000000"/>
              </w:rPr>
              <w:t>•</w:t>
            </w:r>
          </w:p>
        </w:tc>
        <w:tc>
          <w:tcPr>
            <w:tcW w:w="8440"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the founder shares will automatically convert into our Class A ordinary shares on the first business day following the completion of our initial business combination on a one-for-one basis subject to adjustment pursuant to certain anti-dilution rights, as described below adjacent to the caption Founder shares conversion and anti-dilution rights; and</w:t>
            </w:r>
          </w:p>
        </w:tc>
      </w:tr>
    </w:tbl>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12</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tbl>
      <w:tblPr>
        <w:tblW w:w="5000" w:type="pct"/>
        <w:jc w:val="left"/>
        <w:tblInd w:w="0" w:type="dxa"/>
        <w:tblCellMar>
          <w:top w:w="0" w:type="dxa"/>
          <w:left w:w="0" w:type="dxa"/>
          <w:bottom w:w="0" w:type="dxa"/>
          <w:right w:w="0" w:type="dxa"/>
        </w:tblCellMar>
      </w:tblPr>
      <w:tblGrid>
        <w:gridCol w:w="5577"/>
        <w:gridCol w:w="452"/>
        <w:gridCol w:w="4176"/>
      </w:tblGrid>
      <w:tr>
        <w:trPr/>
        <w:tc>
          <w:tcPr>
            <w:tcW w:w="5577"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jc w:val="left"/>
              <w:rPr>
                <w:color w:val="000000"/>
              </w:rPr>
            </w:pPr>
            <w:r>
              <w:rPr>
                <w:color w:val="000000"/>
              </w:rPr>
              <w:t>•</w:t>
            </w:r>
          </w:p>
        </w:tc>
        <w:tc>
          <w:tcPr>
            <w:tcW w:w="4176"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the founder shares are entitled to registration rights.</w:t>
            </w:r>
          </w:p>
        </w:tc>
      </w:tr>
    </w:tbl>
    <w:p>
      <w:pPr>
        <w:pStyle w:val="TextBody"/>
        <w:spacing w:lineRule="atLeast" w:line="240" w:before="120" w:after="283"/>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Our initial shareholders have agreed not to transfer, assign or sell any of their founder shares until the earlier to occur of: (A) one year after the completion of our initial business combination; or (B) the date on which we complete a liquidation, merger, amalgamation, share exchange, reorganization or other similar transaction after our initial business combination that results in all of our public shareholders having the right to exchange their ordinary shares for cash, securities or other property (except as described herein under Principal Shareholders—Transfers of Founder Shares and Private Placement Warrants). Any permitted transferees would be subject to the same restrictions and other agreements of our initial shareholders with respect to any founder shares. We refer to such transfer restrictions throughout this prospectus as the lock-up.</w:t>
      </w:r>
      <w:r>
        <mc:AlternateContent>
          <mc:Choice Requires="wps">
            <w:drawing>
              <wp:anchor behindDoc="0" distT="76200" distB="0" distL="0" distR="0" simplePos="0" locked="0" layoutInCell="1" allowOverlap="1" relativeHeight="17">
                <wp:simplePos x="0" y="0"/>
                <wp:positionH relativeFrom="column">
                  <wp:align>left</wp:align>
                </wp:positionH>
                <wp:positionV relativeFrom="line">
                  <wp:align>top</wp:align>
                </wp:positionV>
                <wp:extent cx="2971800" cy="120650"/>
                <wp:effectExtent l="0" t="0" r="0" b="0"/>
                <wp:wrapSquare wrapText="largest"/>
                <wp:docPr id="16" name="Frame16"/>
                <a:graphic xmlns:a="http://schemas.openxmlformats.org/drawingml/2006/main">
                  <a:graphicData uri="http://schemas.microsoft.com/office/word/2010/wordprocessingShape">
                    <wps:wsp>
                      <wps:cNvSpPr txBox="1"/>
                      <wps:spPr>
                        <a:xfrm>
                          <a:off x="0" y="0"/>
                          <a:ext cx="2971800" cy="120650"/>
                        </a:xfrm>
                        <a:prstGeom prst="rect"/>
                      </wps:spPr>
                      <wps:txbx>
                        <w:txbxContent>
                          <w:p>
                            <w:pPr>
                              <w:pStyle w:val="TextBody"/>
                              <w:spacing w:before="0" w:after="283"/>
                              <w:jc w:val="left"/>
                              <w:rPr>
                                <w:rFonts w:ascii="Times New Roman;Times;Serif" w:hAnsi="Times New Roman;Times;Serif"/>
                                <w:b/>
                                <w:color w:val="000000"/>
                                <w:sz w:val="17"/>
                              </w:rPr>
                            </w:pPr>
                            <w:r>
                              <w:rPr>
                                <w:rFonts w:ascii="Times New Roman;Times;Serif" w:hAnsi="Times New Roman;Times;Serif"/>
                                <w:b/>
                                <w:color w:val="000000"/>
                                <w:sz w:val="17"/>
                              </w:rPr>
                              <w:t>Transfer restrictions on founder shares</w:t>
                            </w:r>
                          </w:p>
                        </w:txbxContent>
                      </wps:txbx>
                      <wps:bodyPr anchor="t" lIns="0" tIns="0" rIns="0" bIns="0">
                        <a:noAutofit/>
                      </wps:bodyPr>
                    </wps:wsp>
                  </a:graphicData>
                </a:graphic>
              </wp:anchor>
            </w:drawing>
          </mc:Choice>
          <mc:Fallback>
            <w:pict>
              <v:rect style="position:absolute;rotation:0;width:234pt;height:9.5pt;mso-wrap-distance-left:0pt;mso-wrap-distance-right:0pt;mso-wrap-distance-top:6pt;mso-wrap-distance-bottom:0pt;margin-top:6pt;mso-position-vertical:top;mso-position-vertical-relative:text;margin-left:0pt;mso-position-horizontal:left;mso-position-horizontal-relative:text">
                <v:textbox inset="0in,0in,0in,0in">
                  <w:txbxContent>
                    <w:p>
                      <w:pPr>
                        <w:pStyle w:val="TextBody"/>
                        <w:spacing w:before="0" w:after="283"/>
                        <w:jc w:val="left"/>
                        <w:rPr>
                          <w:rFonts w:ascii="Times New Roman;Times;Serif" w:hAnsi="Times New Roman;Times;Serif"/>
                          <w:b/>
                          <w:color w:val="000000"/>
                          <w:sz w:val="17"/>
                        </w:rPr>
                      </w:pPr>
                      <w:r>
                        <w:rPr>
                          <w:rFonts w:ascii="Times New Roman;Times;Serif" w:hAnsi="Times New Roman;Times;Serif"/>
                          <w:b/>
                          <w:color w:val="000000"/>
                          <w:sz w:val="17"/>
                        </w:rPr>
                        <w:t>Transfer restrictions on founder shares</w:t>
                      </w:r>
                    </w:p>
                  </w:txbxContent>
                </v:textbox>
                <w10:wrap type="square" side="right"/>
              </v:rect>
            </w:pict>
          </mc:Fallback>
        </mc:AlternateContent>
      </w:r>
    </w:p>
    <w:p>
      <w:pPr>
        <w:pStyle w:val="TextBody"/>
        <w:spacing w:lineRule="atLeast" w:line="240"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Notwithstanding the foregoing, if the last reported sale price of our ordinary shares equals or exceeds $12.00 per share (as adjusted for share splits, share dividends, rights issuances, subdivisions, reorganizations, recapitalizations and the like) for any 20 trading days within any 30-trading day period commencing at least 150 days after our initial business combination, the founder shares will be released from the lock-up.</w:t>
      </w:r>
    </w:p>
    <w:p>
      <w:pPr>
        <w:pStyle w:val="TextBody"/>
        <w:spacing w:lineRule="atLeast" w:line="240" w:before="120" w:after="283"/>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 xml:space="preserve">The founder shares are designated as Class B ordinary shares and will automatically convert into Class A ordinary shares on the first business day following the completion of our initial business combination on a one-for-one basis, subject to adjustment as provided herein. In the case that additional Class A ordinary shares, or equity-linked securities convertible or exercisable for Class A ordinary shares, are issued or deemed issued in excess of the amounts issued in this offering and related to the closing of our initial business combination, the ratio at which founder shares will convert into Class A ordinary shares will be adjusted (subject to waiver by holders of a majority of the Class B ordinary shares then in issue) so that the number of Class A ordinary shares issuable upon conversion of all Class B ordinary shares will equal, in the aggregate, on an as-converted basis, 20% of the sum of our ordinary shares issued and outstanding upon the completion of this offering plus the number of Class A ordinary shares and equity-linked securities issued or deemed issued in connection with our initial business combination (net of redemptions), excluding any Class A ordinary shares or equity-linked securities issued, or to be issued, to any seller in our initial business combination and any private placement </w:t>
      </w:r>
      <w:r>
        <mc:AlternateContent>
          <mc:Choice Requires="wps">
            <w:drawing>
              <wp:anchor behindDoc="0" distT="76200" distB="0" distL="0" distR="0" simplePos="0" locked="0" layoutInCell="1" allowOverlap="1" relativeHeight="18">
                <wp:simplePos x="0" y="0"/>
                <wp:positionH relativeFrom="column">
                  <wp:align>left</wp:align>
                </wp:positionH>
                <wp:positionV relativeFrom="line">
                  <wp:align>top</wp:align>
                </wp:positionV>
                <wp:extent cx="2838450" cy="152400"/>
                <wp:effectExtent l="0" t="0" r="0" b="0"/>
                <wp:wrapSquare wrapText="largest"/>
                <wp:docPr id="17" name="Frame17"/>
                <a:graphic xmlns:a="http://schemas.openxmlformats.org/drawingml/2006/main">
                  <a:graphicData uri="http://schemas.microsoft.com/office/word/2010/wordprocessingShape">
                    <wps:wsp>
                      <wps:cNvSpPr txBox="1"/>
                      <wps:spPr>
                        <a:xfrm>
                          <a:off x="0" y="0"/>
                          <a:ext cx="2838450" cy="152400"/>
                        </a:xfrm>
                        <a:prstGeom prst="rect"/>
                      </wps:spPr>
                      <wps:txbx>
                        <w:txbxContent>
                          <w:p>
                            <w:pPr>
                              <w:pStyle w:val="TextBody"/>
                              <w:spacing w:lineRule="atLeast" w:line="240" w:before="0" w:after="283"/>
                              <w:jc w:val="left"/>
                              <w:rPr>
                                <w:rFonts w:ascii="Times New Roman;Times;Serif" w:hAnsi="Times New Roman;Times;Serif"/>
                                <w:b/>
                                <w:color w:val="000000"/>
                                <w:sz w:val="17"/>
                              </w:rPr>
                            </w:pPr>
                            <w:r>
                              <w:rPr>
                                <w:rFonts w:ascii="Times New Roman;Times;Serif" w:hAnsi="Times New Roman;Times;Serif"/>
                                <w:b/>
                                <w:color w:val="000000"/>
                                <w:sz w:val="17"/>
                              </w:rPr>
                              <w:t xml:space="preserve">Founder shares conversion and anti-dilution rights </w:t>
                            </w:r>
                          </w:p>
                        </w:txbxContent>
                      </wps:txbx>
                      <wps:bodyPr anchor="t" lIns="0" tIns="0" rIns="0" bIns="0">
                        <a:noAutofit/>
                      </wps:bodyPr>
                    </wps:wsp>
                  </a:graphicData>
                </a:graphic>
              </wp:anchor>
            </w:drawing>
          </mc:Choice>
          <mc:Fallback>
            <w:pict>
              <v:rect style="position:absolute;rotation:0;width:223.5pt;height:12pt;mso-wrap-distance-left:0pt;mso-wrap-distance-right:0pt;mso-wrap-distance-top:6pt;mso-wrap-distance-bottom:0pt;margin-top:6pt;mso-position-vertical:top;mso-position-vertical-relative:text;margin-left:0pt;mso-position-horizontal:left;mso-position-horizontal-relative:text">
                <v:textbox inset="0in,0in,0in,0in">
                  <w:txbxContent>
                    <w:p>
                      <w:pPr>
                        <w:pStyle w:val="TextBody"/>
                        <w:spacing w:lineRule="atLeast" w:line="240" w:before="0" w:after="283"/>
                        <w:jc w:val="left"/>
                        <w:rPr>
                          <w:rFonts w:ascii="Times New Roman;Times;Serif" w:hAnsi="Times New Roman;Times;Serif"/>
                          <w:b/>
                          <w:color w:val="000000"/>
                          <w:sz w:val="17"/>
                        </w:rPr>
                      </w:pPr>
                      <w:r>
                        <w:rPr>
                          <w:rFonts w:ascii="Times New Roman;Times;Serif" w:hAnsi="Times New Roman;Times;Serif"/>
                          <w:b/>
                          <w:color w:val="000000"/>
                          <w:sz w:val="17"/>
                        </w:rPr>
                        <w:t xml:space="preserve">Founder shares conversion and anti-dilution rights </w:t>
                      </w:r>
                    </w:p>
                  </w:txbxContent>
                </v:textbox>
                <w10:wrap type="square" side="right"/>
              </v:rect>
            </w:pict>
          </mc:Fallback>
        </mc:AlternateConten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13</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warrants issued to our sponsor, an affiliate of our sponsor or any of our officers or directors. Any conversion of Class B ordinary shares described herein will take effect as a redemption of Class B ordinary shares and an issuance of Class A ordinary shares as a matter of Cayman Islands law. The term equity-linked securities refers to any debt or equity securities that are convertible, exercisable or exchangeable for our Class A ordinary shares issued in a financing transaction in connection with our initial business combination, including but not limited to a private placement of equity or debt.</w:t>
      </w:r>
    </w:p>
    <w:p>
      <w:pPr>
        <w:pStyle w:val="TextBody"/>
        <w:spacing w:lineRule="atLeast" w:line="240"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Prior to our initial business combination, only holders of our founder shares will have the right to vote on the election of directors. Holders of our public shares will not be entitled to vote on the election of directors during such time. In addition, prior to our initial business combination, holders of a majority of our founder shares may remove a member of the board of directors for any reason. These provisions of our amended and restated memorandum and articles of association may only be amended by a special resolution passed by at least 90% of our ordinary shares voting in a general meeting. With respect to any other matter submitted to a vote of our shareholders, including any vote in connection with our initial business combination, except as required by law, holders of our founder shares and holders of our public shares will vote together as a single class, with each share entitling the holder to one vote.</w:t>
      </w:r>
      <w:r>
        <mc:AlternateContent>
          <mc:Choice Requires="wps">
            <w:drawing>
              <wp:anchor behindDoc="0" distT="76200" distB="0" distL="0" distR="0" simplePos="0" locked="0" layoutInCell="1" allowOverlap="1" relativeHeight="19">
                <wp:simplePos x="0" y="0"/>
                <wp:positionH relativeFrom="column">
                  <wp:align>left</wp:align>
                </wp:positionH>
                <wp:positionV relativeFrom="line">
                  <wp:align>top</wp:align>
                </wp:positionV>
                <wp:extent cx="2971800" cy="120650"/>
                <wp:effectExtent l="0" t="0" r="0" b="0"/>
                <wp:wrapSquare wrapText="largest"/>
                <wp:docPr id="18" name="Frame18"/>
                <a:graphic xmlns:a="http://schemas.openxmlformats.org/drawingml/2006/main">
                  <a:graphicData uri="http://schemas.microsoft.com/office/word/2010/wordprocessingShape">
                    <wps:wsp>
                      <wps:cNvSpPr txBox="1"/>
                      <wps:spPr>
                        <a:xfrm>
                          <a:off x="0" y="0"/>
                          <a:ext cx="2971800" cy="120650"/>
                        </a:xfrm>
                        <a:prstGeom prst="rect"/>
                      </wps:spPr>
                      <wps:txbx>
                        <w:txbxContent>
                          <w:p>
                            <w:pPr>
                              <w:pStyle w:val="TextBody"/>
                              <w:spacing w:before="0" w:after="283"/>
                              <w:jc w:val="left"/>
                              <w:rPr>
                                <w:rFonts w:ascii="Times New Roman;Times;Serif" w:hAnsi="Times New Roman;Times;Serif"/>
                                <w:b/>
                                <w:color w:val="000000"/>
                                <w:sz w:val="17"/>
                              </w:rPr>
                            </w:pPr>
                            <w:r>
                              <w:rPr>
                                <w:rFonts w:ascii="Times New Roman;Times;Serif" w:hAnsi="Times New Roman;Times;Serif"/>
                                <w:b/>
                                <w:color w:val="000000"/>
                                <w:sz w:val="17"/>
                              </w:rPr>
                              <w:t xml:space="preserve">Election of directors; voting rights </w:t>
                            </w:r>
                          </w:p>
                        </w:txbxContent>
                      </wps:txbx>
                      <wps:bodyPr anchor="t" lIns="0" tIns="0" rIns="0" bIns="0">
                        <a:noAutofit/>
                      </wps:bodyPr>
                    </wps:wsp>
                  </a:graphicData>
                </a:graphic>
              </wp:anchor>
            </w:drawing>
          </mc:Choice>
          <mc:Fallback>
            <w:pict>
              <v:rect style="position:absolute;rotation:0;width:234pt;height:9.5pt;mso-wrap-distance-left:0pt;mso-wrap-distance-right:0pt;mso-wrap-distance-top:6pt;mso-wrap-distance-bottom:0pt;margin-top:6pt;mso-position-vertical:top;mso-position-vertical-relative:text;margin-left:0pt;mso-position-horizontal:left;mso-position-horizontal-relative:text">
                <v:textbox inset="0in,0in,0in,0in">
                  <w:txbxContent>
                    <w:p>
                      <w:pPr>
                        <w:pStyle w:val="TextBody"/>
                        <w:spacing w:before="0" w:after="283"/>
                        <w:jc w:val="left"/>
                        <w:rPr>
                          <w:rFonts w:ascii="Times New Roman;Times;Serif" w:hAnsi="Times New Roman;Times;Serif"/>
                          <w:b/>
                          <w:color w:val="000000"/>
                          <w:sz w:val="17"/>
                        </w:rPr>
                      </w:pPr>
                      <w:r>
                        <w:rPr>
                          <w:rFonts w:ascii="Times New Roman;Times;Serif" w:hAnsi="Times New Roman;Times;Serif"/>
                          <w:b/>
                          <w:color w:val="000000"/>
                          <w:sz w:val="17"/>
                        </w:rPr>
                        <w:t xml:space="preserve">Election of directors; voting rights </w:t>
                      </w:r>
                    </w:p>
                  </w:txbxContent>
                </v:textbox>
                <w10:wrap type="square" side="right"/>
              </v:rect>
            </w:pict>
          </mc:Fallback>
        </mc:AlternateContent>
      </w:r>
    </w:p>
    <w:p>
      <w:pPr>
        <w:pStyle w:val="TextBody"/>
        <w:spacing w:lineRule="atLeast" w:line="240" w:before="120" w:after="283"/>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 xml:space="preserve">Our sponsor has committed, pursuant to a written agreement, to purchase an aggregate of 7,000,000 private placement warrants (or 7,750,000 if the underwriters over-allotment option is exercised in full) at a price of $1.00 per warrant ($7,000,000 in the aggregate or $7,750,000 in the aggregate if the underwriters over-allotment option is exercised in full) in a private placement that will occur simultaneously with the closing of this offering. Each private placement warrant is exercisable to purchase one Class A ordinary share at a price of $11.50 per share, subject to adjustment as provided herein. Private placement warrants may be exercised only for a whole number of shares. The purchase price of the private placement warrants will be added to the proceeds from this offering to be held in the trust account. If we do not complete our initial business combination within 18 months from the closing of this offering, the proceeds of the sale of the private placement warrants held in the trust account will be used to fund the redemption of our public shares (subject to the requirements of applicable law) and the private placement warrants will expire worthless. The private placement warrants will not be redeemable by us so </w:t>
      </w:r>
      <w:r>
        <mc:AlternateContent>
          <mc:Choice Requires="wps">
            <w:drawing>
              <wp:anchor behindDoc="0" distT="76200" distB="0" distL="0" distR="0" simplePos="0" locked="0" layoutInCell="1" allowOverlap="1" relativeHeight="20">
                <wp:simplePos x="0" y="0"/>
                <wp:positionH relativeFrom="column">
                  <wp:align>left</wp:align>
                </wp:positionH>
                <wp:positionV relativeFrom="line">
                  <wp:align>top</wp:align>
                </wp:positionV>
                <wp:extent cx="2971800" cy="120650"/>
                <wp:effectExtent l="0" t="0" r="0" b="0"/>
                <wp:wrapSquare wrapText="largest"/>
                <wp:docPr id="19" name="Frame19"/>
                <a:graphic xmlns:a="http://schemas.openxmlformats.org/drawingml/2006/main">
                  <a:graphicData uri="http://schemas.microsoft.com/office/word/2010/wordprocessingShape">
                    <wps:wsp>
                      <wps:cNvSpPr txBox="1"/>
                      <wps:spPr>
                        <a:xfrm>
                          <a:off x="0" y="0"/>
                          <a:ext cx="2971800" cy="120650"/>
                        </a:xfrm>
                        <a:prstGeom prst="rect"/>
                      </wps:spPr>
                      <wps:txbx>
                        <w:txbxContent>
                          <w:p>
                            <w:pPr>
                              <w:pStyle w:val="TextBody"/>
                              <w:spacing w:before="0" w:after="283"/>
                              <w:jc w:val="left"/>
                              <w:rPr>
                                <w:rFonts w:ascii="Times New Roman;Times;Serif" w:hAnsi="Times New Roman;Times;Serif"/>
                                <w:b/>
                                <w:color w:val="000000"/>
                                <w:sz w:val="17"/>
                              </w:rPr>
                            </w:pPr>
                            <w:r>
                              <w:rPr>
                                <w:rFonts w:ascii="Times New Roman;Times;Serif" w:hAnsi="Times New Roman;Times;Serif"/>
                                <w:b/>
                                <w:color w:val="000000"/>
                                <w:sz w:val="17"/>
                              </w:rPr>
                              <w:t>Private placement warrants</w:t>
                            </w:r>
                          </w:p>
                        </w:txbxContent>
                      </wps:txbx>
                      <wps:bodyPr anchor="t" lIns="0" tIns="0" rIns="0" bIns="0">
                        <a:noAutofit/>
                      </wps:bodyPr>
                    </wps:wsp>
                  </a:graphicData>
                </a:graphic>
              </wp:anchor>
            </w:drawing>
          </mc:Choice>
          <mc:Fallback>
            <w:pict>
              <v:rect style="position:absolute;rotation:0;width:234pt;height:9.5pt;mso-wrap-distance-left:0pt;mso-wrap-distance-right:0pt;mso-wrap-distance-top:6pt;mso-wrap-distance-bottom:0pt;margin-top:6pt;mso-position-vertical:top;mso-position-vertical-relative:text;margin-left:0pt;mso-position-horizontal:left;mso-position-horizontal-relative:text">
                <v:textbox inset="0in,0in,0in,0in">
                  <w:txbxContent>
                    <w:p>
                      <w:pPr>
                        <w:pStyle w:val="TextBody"/>
                        <w:spacing w:before="0" w:after="283"/>
                        <w:jc w:val="left"/>
                        <w:rPr>
                          <w:rFonts w:ascii="Times New Roman;Times;Serif" w:hAnsi="Times New Roman;Times;Serif"/>
                          <w:b/>
                          <w:color w:val="000000"/>
                          <w:sz w:val="17"/>
                        </w:rPr>
                      </w:pPr>
                      <w:r>
                        <w:rPr>
                          <w:rFonts w:ascii="Times New Roman;Times;Serif" w:hAnsi="Times New Roman;Times;Serif"/>
                          <w:b/>
                          <w:color w:val="000000"/>
                          <w:sz w:val="17"/>
                        </w:rPr>
                        <w:t>Private placement warrants</w:t>
                      </w:r>
                    </w:p>
                  </w:txbxContent>
                </v:textbox>
                <w10:wrap type="square" side="right"/>
              </v:rect>
            </w:pict>
          </mc:Fallback>
        </mc:AlternateConten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14</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long as they are held by our sponsor or its permitted transferees. If the private placement warrants are held by holders other than our sponsor or its permitted transferees, the private placement warrants will be redeemable by us and exercisable by the holders on the same basis as the warrants included in the units being sold in this offering. Our sponsor, as well as its permitted transferees, have the option to exercise the private placement warrants on a cashless basis.</w:t>
      </w:r>
    </w:p>
    <w:p>
      <w:pPr>
        <w:pStyle w:val="TextBody"/>
        <w:spacing w:lineRule="atLeast" w:line="240"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The private placement warrants (including the Class A ordinary shares issuable upon exercise of the private placement warrants) will not be transferable, assignable or salable until 30 days after the completion of our initial business combination, except as described herein under Principal Shareholders—Transfers of Founder Shares and Private Placement Warrants.</w:t>
      </w:r>
      <w:r>
        <mc:AlternateContent>
          <mc:Choice Requires="wps">
            <w:drawing>
              <wp:anchor behindDoc="0" distT="76200" distB="0" distL="0" distR="0" simplePos="0" locked="0" layoutInCell="1" allowOverlap="1" relativeHeight="21">
                <wp:simplePos x="0" y="0"/>
                <wp:positionH relativeFrom="column">
                  <wp:align>left</wp:align>
                </wp:positionH>
                <wp:positionV relativeFrom="line">
                  <wp:align>top</wp:align>
                </wp:positionV>
                <wp:extent cx="2838450" cy="152400"/>
                <wp:effectExtent l="0" t="0" r="0" b="0"/>
                <wp:wrapSquare wrapText="largest"/>
                <wp:docPr id="20" name="Frame20"/>
                <a:graphic xmlns:a="http://schemas.openxmlformats.org/drawingml/2006/main">
                  <a:graphicData uri="http://schemas.microsoft.com/office/word/2010/wordprocessingShape">
                    <wps:wsp>
                      <wps:cNvSpPr txBox="1"/>
                      <wps:spPr>
                        <a:xfrm>
                          <a:off x="0" y="0"/>
                          <a:ext cx="2838450" cy="152400"/>
                        </a:xfrm>
                        <a:prstGeom prst="rect"/>
                      </wps:spPr>
                      <wps:txbx>
                        <w:txbxContent>
                          <w:p>
                            <w:pPr>
                              <w:pStyle w:val="TextBody"/>
                              <w:spacing w:lineRule="atLeast" w:line="240" w:before="0" w:after="283"/>
                              <w:jc w:val="left"/>
                              <w:rPr>
                                <w:rFonts w:ascii="Times New Roman;Times;Serif" w:hAnsi="Times New Roman;Times;Serif"/>
                                <w:b/>
                                <w:color w:val="000000"/>
                                <w:sz w:val="17"/>
                              </w:rPr>
                            </w:pPr>
                            <w:r>
                              <w:rPr>
                                <w:rFonts w:ascii="Times New Roman;Times;Serif" w:hAnsi="Times New Roman;Times;Serif"/>
                                <w:b/>
                                <w:color w:val="000000"/>
                                <w:sz w:val="17"/>
                              </w:rPr>
                              <w:t>Transfer restrictions on private placement warrants</w:t>
                            </w:r>
                          </w:p>
                        </w:txbxContent>
                      </wps:txbx>
                      <wps:bodyPr anchor="t" lIns="0" tIns="0" rIns="0" bIns="0">
                        <a:noAutofit/>
                      </wps:bodyPr>
                    </wps:wsp>
                  </a:graphicData>
                </a:graphic>
              </wp:anchor>
            </w:drawing>
          </mc:Choice>
          <mc:Fallback>
            <w:pict>
              <v:rect style="position:absolute;rotation:0;width:223.5pt;height:12pt;mso-wrap-distance-left:0pt;mso-wrap-distance-right:0pt;mso-wrap-distance-top:6pt;mso-wrap-distance-bottom:0pt;margin-top:6pt;mso-position-vertical:top;mso-position-vertical-relative:text;margin-left:0pt;mso-position-horizontal:left;mso-position-horizontal-relative:text">
                <v:textbox inset="0in,0in,0in,0in">
                  <w:txbxContent>
                    <w:p>
                      <w:pPr>
                        <w:pStyle w:val="TextBody"/>
                        <w:spacing w:lineRule="atLeast" w:line="240" w:before="0" w:after="283"/>
                        <w:jc w:val="left"/>
                        <w:rPr>
                          <w:rFonts w:ascii="Times New Roman;Times;Serif" w:hAnsi="Times New Roman;Times;Serif"/>
                          <w:b/>
                          <w:color w:val="000000"/>
                          <w:sz w:val="17"/>
                        </w:rPr>
                      </w:pPr>
                      <w:r>
                        <w:rPr>
                          <w:rFonts w:ascii="Times New Roman;Times;Serif" w:hAnsi="Times New Roman;Times;Serif"/>
                          <w:b/>
                          <w:color w:val="000000"/>
                          <w:sz w:val="17"/>
                        </w:rPr>
                        <w:t>Transfer restrictions on private placement warrants</w:t>
                      </w:r>
                    </w:p>
                  </w:txbxContent>
                </v:textbox>
                <w10:wrap type="square" side="right"/>
              </v:rect>
            </w:pict>
          </mc:Fallback>
        </mc:AlternateContent>
      </w:r>
    </w:p>
    <w:p>
      <w:pPr>
        <w:pStyle w:val="TextBody"/>
        <w:spacing w:lineRule="atLeast" w:line="240" w:before="120" w:after="283"/>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 xml:space="preserve">Nasdaq rules provide that at least 90% of the gross proceeds from this offering and the sale of the private placement warrants be deposited in a trust account. Of the $257,000,000 in proceeds we will receive from this offering and the sale of the private placement warrants described in this prospectus, or $295,250,000 if the underwriters over-allotment option is exercised in full, $250,000,000 ($10.00 per unit), or $287,500,000 ($10.00 per unit) if the underwriters over-allotment option is exercised in full, (including $8,750,000 (or up to $10,062,500 if the underwriters over-allotment option is exercised in full) in deferred underwriting commissions), will be deposited into a U.S.-based trust account with Continental Stock Transfer &amp; Trust Company acting as trustee, and $2,000,000 will be used to pay expenses in connection with the closing of this offering and for working capital following this offering. The funds in the trust account will be invested only in U.S. government treasury bills with a maturity of 180 days or less or in money market funds investing solely in U.S. Treasuries. </w:t>
      </w:r>
      <w:r>
        <mc:AlternateContent>
          <mc:Choice Requires="wps">
            <w:drawing>
              <wp:anchor behindDoc="0" distT="76200" distB="0" distL="0" distR="0" simplePos="0" locked="0" layoutInCell="1" allowOverlap="1" relativeHeight="22">
                <wp:simplePos x="0" y="0"/>
                <wp:positionH relativeFrom="column">
                  <wp:align>left</wp:align>
                </wp:positionH>
                <wp:positionV relativeFrom="line">
                  <wp:align>top</wp:align>
                </wp:positionV>
                <wp:extent cx="2971800" cy="120650"/>
                <wp:effectExtent l="0" t="0" r="0" b="0"/>
                <wp:wrapSquare wrapText="largest"/>
                <wp:docPr id="21" name="Frame21"/>
                <a:graphic xmlns:a="http://schemas.openxmlformats.org/drawingml/2006/main">
                  <a:graphicData uri="http://schemas.microsoft.com/office/word/2010/wordprocessingShape">
                    <wps:wsp>
                      <wps:cNvSpPr txBox="1"/>
                      <wps:spPr>
                        <a:xfrm>
                          <a:off x="0" y="0"/>
                          <a:ext cx="2971800" cy="120650"/>
                        </a:xfrm>
                        <a:prstGeom prst="rect"/>
                      </wps:spPr>
                      <wps:txbx>
                        <w:txbxContent>
                          <w:p>
                            <w:pPr>
                              <w:pStyle w:val="TextBody"/>
                              <w:spacing w:before="0" w:after="283"/>
                              <w:jc w:val="left"/>
                              <w:rPr>
                                <w:rFonts w:ascii="Times New Roman;Times;Serif" w:hAnsi="Times New Roman;Times;Serif"/>
                                <w:b/>
                                <w:color w:val="000000"/>
                                <w:sz w:val="17"/>
                              </w:rPr>
                            </w:pPr>
                            <w:r>
                              <w:rPr>
                                <w:rFonts w:ascii="Times New Roman;Times;Serif" w:hAnsi="Times New Roman;Times;Serif"/>
                                <w:b/>
                                <w:color w:val="000000"/>
                                <w:sz w:val="17"/>
                              </w:rPr>
                              <w:t>Proceeds to be held in trust account</w:t>
                            </w:r>
                          </w:p>
                        </w:txbxContent>
                      </wps:txbx>
                      <wps:bodyPr anchor="t" lIns="0" tIns="0" rIns="0" bIns="0">
                        <a:noAutofit/>
                      </wps:bodyPr>
                    </wps:wsp>
                  </a:graphicData>
                </a:graphic>
              </wp:anchor>
            </w:drawing>
          </mc:Choice>
          <mc:Fallback>
            <w:pict>
              <v:rect style="position:absolute;rotation:0;width:234pt;height:9.5pt;mso-wrap-distance-left:0pt;mso-wrap-distance-right:0pt;mso-wrap-distance-top:6pt;mso-wrap-distance-bottom:0pt;margin-top:6pt;mso-position-vertical:top;mso-position-vertical-relative:text;margin-left:0pt;mso-position-horizontal:left;mso-position-horizontal-relative:text">
                <v:textbox inset="0in,0in,0in,0in">
                  <w:txbxContent>
                    <w:p>
                      <w:pPr>
                        <w:pStyle w:val="TextBody"/>
                        <w:spacing w:before="0" w:after="283"/>
                        <w:jc w:val="left"/>
                        <w:rPr>
                          <w:rFonts w:ascii="Times New Roman;Times;Serif" w:hAnsi="Times New Roman;Times;Serif"/>
                          <w:b/>
                          <w:color w:val="000000"/>
                          <w:sz w:val="17"/>
                        </w:rPr>
                      </w:pPr>
                      <w:r>
                        <w:rPr>
                          <w:rFonts w:ascii="Times New Roman;Times;Serif" w:hAnsi="Times New Roman;Times;Serif"/>
                          <w:b/>
                          <w:color w:val="000000"/>
                          <w:sz w:val="17"/>
                        </w:rPr>
                        <w:t>Proceeds to be held in trust account</w:t>
                      </w:r>
                    </w:p>
                  </w:txbxContent>
                </v:textbox>
                <w10:wrap type="square" side="right"/>
              </v:rect>
            </w:pict>
          </mc:Fallback>
        </mc:AlternateContent>
      </w:r>
    </w:p>
    <w:p>
      <w:pPr>
        <w:pStyle w:val="TextBody"/>
        <w:spacing w:lineRule="atLeast" w:line="240"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 xml:space="preserve">Except with respect to interest earned on the funds held in the trust account that may be released to us to pay our taxes, if any, the funds held in the trust account will not be released from the trust account until the earliest to occur of: (1) the completion of our initial business combination; (2) the redemption of any public shares properly submitted in connection with a shareholder vote to amend our amended and restated memorandum and articles of association (A) to modify the substance or timing of our obligation to redeem 100% of our public shares if we do not complete our initial business combination within 18 months from the closing of this offering or (B) with respect to any other provision relating to shareholders rights or pre-initial business combination activity; and (3) the redemption of our public shares if we are unable to complete our </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15</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initial business combination within 18 months from the closing of this offering, subject to applicable law. The proceeds deposited in the trust account could become subject to the claims of our creditors, if any, which could have priority over the claims of our public shareholders.</w:t>
      </w:r>
    </w:p>
    <w:p>
      <w:pPr>
        <w:pStyle w:val="TextBody"/>
        <w:spacing w:lineRule="atLeast" w:line="240"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Unless and until we complete our initial business combination, no proceeds held in the trust account will be available for our use, except the withdrawal of interest to pay taxes or to redeem our public shares in connection with an amendment to our amended and restated memorandum and articles of association, as described above. Based upon current interest rates, we expect the trust account to generate approximately $3,500,000 of interest annually (assuming an interest rate of 1.40% per year). Unless and until we complete our initial business combination, we may pay our expenses only from:</w:t>
      </w:r>
      <w:r>
        <mc:AlternateContent>
          <mc:Choice Requires="wps">
            <w:drawing>
              <wp:anchor behindDoc="0" distT="76200" distB="0" distL="0" distR="0" simplePos="0" locked="0" layoutInCell="1" allowOverlap="1" relativeHeight="23">
                <wp:simplePos x="0" y="0"/>
                <wp:positionH relativeFrom="column">
                  <wp:align>left</wp:align>
                </wp:positionH>
                <wp:positionV relativeFrom="line">
                  <wp:align>top</wp:align>
                </wp:positionV>
                <wp:extent cx="2971800" cy="120650"/>
                <wp:effectExtent l="0" t="0" r="0" b="0"/>
                <wp:wrapSquare wrapText="largest"/>
                <wp:docPr id="22" name="Frame22"/>
                <a:graphic xmlns:a="http://schemas.openxmlformats.org/drawingml/2006/main">
                  <a:graphicData uri="http://schemas.microsoft.com/office/word/2010/wordprocessingShape">
                    <wps:wsp>
                      <wps:cNvSpPr txBox="1"/>
                      <wps:spPr>
                        <a:xfrm>
                          <a:off x="0" y="0"/>
                          <a:ext cx="2971800" cy="120650"/>
                        </a:xfrm>
                        <a:prstGeom prst="rect"/>
                      </wps:spPr>
                      <wps:txbx>
                        <w:txbxContent>
                          <w:p>
                            <w:pPr>
                              <w:pStyle w:val="TextBody"/>
                              <w:spacing w:before="0" w:after="283"/>
                              <w:jc w:val="left"/>
                              <w:rPr>
                                <w:rFonts w:ascii="Times New Roman;Times;Serif" w:hAnsi="Times New Roman;Times;Serif"/>
                                <w:b/>
                                <w:color w:val="000000"/>
                                <w:sz w:val="17"/>
                              </w:rPr>
                            </w:pPr>
                            <w:r>
                              <w:rPr>
                                <w:rFonts w:ascii="Times New Roman;Times;Serif" w:hAnsi="Times New Roman;Times;Serif"/>
                                <w:b/>
                                <w:color w:val="000000"/>
                                <w:sz w:val="17"/>
                              </w:rPr>
                              <w:t>Anticipated expenses and funding sources</w:t>
                            </w:r>
                          </w:p>
                        </w:txbxContent>
                      </wps:txbx>
                      <wps:bodyPr anchor="t" lIns="0" tIns="0" rIns="0" bIns="0">
                        <a:noAutofit/>
                      </wps:bodyPr>
                    </wps:wsp>
                  </a:graphicData>
                </a:graphic>
              </wp:anchor>
            </w:drawing>
          </mc:Choice>
          <mc:Fallback>
            <w:pict>
              <v:rect style="position:absolute;rotation:0;width:234pt;height:9.5pt;mso-wrap-distance-left:0pt;mso-wrap-distance-right:0pt;mso-wrap-distance-top:6pt;mso-wrap-distance-bottom:0pt;margin-top:6pt;mso-position-vertical:top;mso-position-vertical-relative:text;margin-left:0pt;mso-position-horizontal:left;mso-position-horizontal-relative:text">
                <v:textbox inset="0in,0in,0in,0in">
                  <w:txbxContent>
                    <w:p>
                      <w:pPr>
                        <w:pStyle w:val="TextBody"/>
                        <w:spacing w:before="0" w:after="283"/>
                        <w:jc w:val="left"/>
                        <w:rPr>
                          <w:rFonts w:ascii="Times New Roman;Times;Serif" w:hAnsi="Times New Roman;Times;Serif"/>
                          <w:b/>
                          <w:color w:val="000000"/>
                          <w:sz w:val="17"/>
                        </w:rPr>
                      </w:pPr>
                      <w:r>
                        <w:rPr>
                          <w:rFonts w:ascii="Times New Roman;Times;Serif" w:hAnsi="Times New Roman;Times;Serif"/>
                          <w:b/>
                          <w:color w:val="000000"/>
                          <w:sz w:val="17"/>
                        </w:rPr>
                        <w:t>Anticipated expenses and funding sources</w:t>
                      </w:r>
                    </w:p>
                  </w:txbxContent>
                </v:textbox>
                <w10:wrap type="square" side="right"/>
              </v:rect>
            </w:pict>
          </mc:Fallback>
        </mc:AlternateContent>
      </w:r>
    </w:p>
    <w:tbl>
      <w:tblPr>
        <w:tblW w:w="5000" w:type="pct"/>
        <w:jc w:val="left"/>
        <w:tblInd w:w="0" w:type="dxa"/>
        <w:tblCellMar>
          <w:top w:w="0" w:type="dxa"/>
          <w:left w:w="0" w:type="dxa"/>
          <w:bottom w:w="0" w:type="dxa"/>
          <w:right w:w="0" w:type="dxa"/>
        </w:tblCellMar>
      </w:tblPr>
      <w:tblGrid>
        <w:gridCol w:w="2005"/>
        <w:gridCol w:w="225"/>
        <w:gridCol w:w="7975"/>
      </w:tblGrid>
      <w:tr>
        <w:trPr/>
        <w:tc>
          <w:tcPr>
            <w:tcW w:w="200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jc w:val="left"/>
              <w:rPr>
                <w:color w:val="000000"/>
              </w:rPr>
            </w:pPr>
            <w:r>
              <w:rPr>
                <w:color w:val="000000"/>
              </w:rPr>
              <w:t>•</w:t>
            </w:r>
          </w:p>
        </w:tc>
        <w:tc>
          <w:tcPr>
            <w:tcW w:w="7975"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the net proceeds of this offering and the sale of the private placement warrants not held in the trust account, which will be approximately $1,000,000 in working capital after the payment of approximately $1,000,000 in expenses relating to this offering; and</w:t>
            </w:r>
          </w:p>
        </w:tc>
      </w:tr>
    </w:tbl>
    <w:tbl>
      <w:tblPr>
        <w:tblW w:w="5000" w:type="pct"/>
        <w:jc w:val="left"/>
        <w:tblInd w:w="0" w:type="dxa"/>
        <w:tblCellMar>
          <w:top w:w="0" w:type="dxa"/>
          <w:left w:w="0" w:type="dxa"/>
          <w:bottom w:w="0" w:type="dxa"/>
          <w:right w:w="0" w:type="dxa"/>
        </w:tblCellMar>
      </w:tblPr>
      <w:tblGrid>
        <w:gridCol w:w="1416"/>
        <w:gridCol w:w="190"/>
        <w:gridCol w:w="8599"/>
      </w:tblGrid>
      <w:tr>
        <w:trPr/>
        <w:tc>
          <w:tcPr>
            <w:tcW w:w="1416"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jc w:val="left"/>
              <w:rPr>
                <w:color w:val="000000"/>
              </w:rPr>
            </w:pPr>
            <w:r>
              <w:rPr>
                <w:color w:val="000000"/>
              </w:rPr>
              <w:t>•</w:t>
            </w:r>
          </w:p>
        </w:tc>
        <w:tc>
          <w:tcPr>
            <w:tcW w:w="8599"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any loans or additional investments from our sponsor, members of our management team or any of their affiliates or other third parties, although they are under no obligation to loan funds or invest in us; and provided that any such loans will not have any claim on the proceeds held in the trust account unless such proceeds are released to us upon completion of our initial business combination.</w:t>
            </w:r>
          </w:p>
        </w:tc>
      </w:tr>
    </w:tbl>
    <w:p>
      <w:pPr>
        <w:pStyle w:val="TextBody"/>
        <w:spacing w:lineRule="atLeast" w:line="240" w:before="120" w:after="283"/>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 xml:space="preserve">There is no limitation on our ability to raise funds privately or through loans in connection with our initial business combination. The rules of Nasdaq require that our initial business combination occur with one or more target businesses that together have an aggregate fair market value of at least 80% of the assets held in the trust account (excluding the deferred underwriting commissions and taxes payable on the income earned on the trust account) at the time of the agreement to enter into the initial business combination. We refer to this as the 80% fair market value test. The fair market value of the target or targets will be determined by our board of directors based upon one or more standards generally accepted by the financial community (such as actual and potential sales, earnings, cash flow and/or book value). Even though our board of directors will rely on generally accepted standards, our board of directors will have discretion to select the standards employed. In </w:t>
      </w:r>
      <w:r>
        <mc:AlternateContent>
          <mc:Choice Requires="wps">
            <w:drawing>
              <wp:anchor behindDoc="0" distT="76200" distB="0" distL="0" distR="0" simplePos="0" locked="0" layoutInCell="1" allowOverlap="1" relativeHeight="24">
                <wp:simplePos x="0" y="0"/>
                <wp:positionH relativeFrom="column">
                  <wp:align>left</wp:align>
                </wp:positionH>
                <wp:positionV relativeFrom="line">
                  <wp:align>top</wp:align>
                </wp:positionV>
                <wp:extent cx="2838450" cy="152400"/>
                <wp:effectExtent l="0" t="0" r="0" b="0"/>
                <wp:wrapSquare wrapText="largest"/>
                <wp:docPr id="23" name="Frame23"/>
                <a:graphic xmlns:a="http://schemas.openxmlformats.org/drawingml/2006/main">
                  <a:graphicData uri="http://schemas.microsoft.com/office/word/2010/wordprocessingShape">
                    <wps:wsp>
                      <wps:cNvSpPr txBox="1"/>
                      <wps:spPr>
                        <a:xfrm>
                          <a:off x="0" y="0"/>
                          <a:ext cx="2838450" cy="152400"/>
                        </a:xfrm>
                        <a:prstGeom prst="rect"/>
                      </wps:spPr>
                      <wps:txbx>
                        <w:txbxContent>
                          <w:p>
                            <w:pPr>
                              <w:pStyle w:val="TextBody"/>
                              <w:spacing w:lineRule="atLeast" w:line="240" w:before="0" w:after="283"/>
                              <w:jc w:val="left"/>
                              <w:rPr>
                                <w:rFonts w:ascii="Times New Roman;Times;Serif" w:hAnsi="Times New Roman;Times;Serif"/>
                                <w:b/>
                                <w:color w:val="000000"/>
                                <w:sz w:val="17"/>
                              </w:rPr>
                            </w:pPr>
                            <w:r>
                              <w:rPr>
                                <w:rFonts w:ascii="Times New Roman;Times;Serif" w:hAnsi="Times New Roman;Times;Serif"/>
                                <w:b/>
                                <w:color w:val="000000"/>
                                <w:sz w:val="17"/>
                              </w:rPr>
                              <w:t>Conditions to completing our initial business combination</w:t>
                            </w:r>
                          </w:p>
                        </w:txbxContent>
                      </wps:txbx>
                      <wps:bodyPr anchor="t" lIns="0" tIns="0" rIns="0" bIns="0">
                        <a:noAutofit/>
                      </wps:bodyPr>
                    </wps:wsp>
                  </a:graphicData>
                </a:graphic>
              </wp:anchor>
            </w:drawing>
          </mc:Choice>
          <mc:Fallback>
            <w:pict>
              <v:rect style="position:absolute;rotation:0;width:223.5pt;height:12pt;mso-wrap-distance-left:0pt;mso-wrap-distance-right:0pt;mso-wrap-distance-top:6pt;mso-wrap-distance-bottom:0pt;margin-top:6pt;mso-position-vertical:top;mso-position-vertical-relative:text;margin-left:0pt;mso-position-horizontal:left;mso-position-horizontal-relative:text">
                <v:textbox inset="0in,0in,0in,0in">
                  <w:txbxContent>
                    <w:p>
                      <w:pPr>
                        <w:pStyle w:val="TextBody"/>
                        <w:spacing w:lineRule="atLeast" w:line="240" w:before="0" w:after="283"/>
                        <w:jc w:val="left"/>
                        <w:rPr>
                          <w:rFonts w:ascii="Times New Roman;Times;Serif" w:hAnsi="Times New Roman;Times;Serif"/>
                          <w:b/>
                          <w:color w:val="000000"/>
                          <w:sz w:val="17"/>
                        </w:rPr>
                      </w:pPr>
                      <w:r>
                        <w:rPr>
                          <w:rFonts w:ascii="Times New Roman;Times;Serif" w:hAnsi="Times New Roman;Times;Serif"/>
                          <w:b/>
                          <w:color w:val="000000"/>
                          <w:sz w:val="17"/>
                        </w:rPr>
                        <w:t>Conditions to completing our initial business combination</w:t>
                      </w:r>
                    </w:p>
                  </w:txbxContent>
                </v:textbox>
                <w10:wrap type="square" side="right"/>
              </v:rect>
            </w:pict>
          </mc:Fallback>
        </mc:AlternateConten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16</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addition, the application of the standards generally involves a substantial degree of judgment. Accordingly, investors will be relying on the business judgment of the board of directors in evaluating the fair market value of the target or targets. The proxy solicitation materials or tender offer documents used by us in connection with any proposed transaction will provide public shareholders with our analysis of our satisfaction of the 80% fair market value test, as well as the basis for our determinations. If our board is not able independently to determine the fair market value of the target business or businesses, we will obtain an opinion from an independent investment banking firm, or another independent entity that commonly renders valuation opinions, with respect to the satisfaction of such criteria. We do not currently intend to purchase multiple businesses in unrelated industries in conjunction with our initial business combination, although there is no restriction on our doing so.</w:t>
      </w:r>
    </w:p>
    <w:p>
      <w:pPr>
        <w:pStyle w:val="TextBody"/>
        <w:spacing w:lineRule="atLeast" w:line="240"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We will complete our initial business combination only if the post-transaction company in which our public shareholders own shares will own or acquire 50% or more of the issued and outstanding voting securities of the target or otherwise acquires a controlling interest in the target business sufficient for it not to be required to register as an investment company under the Investment Company Act. Even if the post-transaction company owns or acquires 50% or more of the voting securities of the target, our shareholders prior to our initial business combination may collectively own a minority interest in the post-transaction company, depending on valuations ascribed to the target and us in our initial business combination transaction. If less than 100% of the equity interests or assets of a target business or businesses are owned or acquired by the post-transaction company, the portion of such business or businesses that is owned or acquired is what will be valued for purposes of the 80% fair market value test; provided that in the event that our initial business combination involves more than one target business, the 80% fair market value test will be based on the aggregate value of all of the target businesses.</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17</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120" w:after="283"/>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If we seek shareholder approval of our initial business combination and we do not conduct redemptions in connection with our initial business combination pursuant to the tender offer rules, our initial shareholders, directors, officers, advisors or any of their affiliates may purchase public shares or public warrants or a combination thereof in privately negotiated transactions or in the open market either prior to or following the completion of our initial business combination, although they are under no obligation or duty to do so. Please see Proposed Business—Permitted purchases of our securities for a description of how such persons will determine from which shareholders to seek to acquire securities. There is no limit on the number of shares or warrants such persons may purchase, or any restriction on the price that they may pay. Any such price per share may be different than the amount per share a public shareholder would receive if it elected to redeem its shares in connection with our initial business combination. However, such persons have no current commitments, plans or intentions to engage in such transactions and have not formulated any terms or conditions for any such transactions. In the event our initial shareholders, directors, officers, advisors or any of their affiliates determine to make any such purchases at the time of a shareholder vote relating to our initial business combination, such purchases could have the effect of influencing the vote necessary to approve such transaction. None of the funds in the trust account will be used to purchase public shares or public warrants in such transactions. If they engage in such transactions, they will be restricted from making any such purchases when they are in possession of any material non-public information not disclosed to the seller or if such purchases are prohibited by Regulation M under the Exchange Act. Subsequent to the consummation of this offering, we will adopt an insider trading policy which will require insiders to (1) refrain from purchasing securities during certain blackout periods and when they are in possession of any material non-public information and (2) to clear certain trades prior to execution. We cannot currently determine whether our insiders will make such purchases pursuant to a Rule 10b5-1 plan, as it will be dependent upon several factors, including but not limited to, the timing and size of such purchases. Depending on such circumstances, our insiders may either make such purchases pursuant to a Rule 10b5-1 plan or determine that such a plan is not necessary.</w:t>
      </w:r>
      <w:r>
        <mc:AlternateContent>
          <mc:Choice Requires="wps">
            <w:drawing>
              <wp:anchor behindDoc="0" distT="76200" distB="0" distL="0" distR="0" simplePos="0" locked="0" layoutInCell="1" allowOverlap="1" relativeHeight="25">
                <wp:simplePos x="0" y="0"/>
                <wp:positionH relativeFrom="column">
                  <wp:align>left</wp:align>
                </wp:positionH>
                <wp:positionV relativeFrom="line">
                  <wp:align>top</wp:align>
                </wp:positionV>
                <wp:extent cx="2838450" cy="304800"/>
                <wp:effectExtent l="0" t="0" r="0" b="0"/>
                <wp:wrapSquare wrapText="largest"/>
                <wp:docPr id="24" name="Frame24"/>
                <a:graphic xmlns:a="http://schemas.openxmlformats.org/drawingml/2006/main">
                  <a:graphicData uri="http://schemas.microsoft.com/office/word/2010/wordprocessingShape">
                    <wps:wsp>
                      <wps:cNvSpPr txBox="1"/>
                      <wps:spPr>
                        <a:xfrm>
                          <a:off x="0" y="0"/>
                          <a:ext cx="2838450" cy="304800"/>
                        </a:xfrm>
                        <a:prstGeom prst="rect"/>
                      </wps:spPr>
                      <wps:txbx>
                        <w:txbxContent>
                          <w:p>
                            <w:pPr>
                              <w:pStyle w:val="TextBody"/>
                              <w:spacing w:lineRule="atLeast" w:line="240" w:before="0" w:after="283"/>
                              <w:jc w:val="left"/>
                              <w:rPr>
                                <w:rFonts w:ascii="Times New Roman;Times;Serif" w:hAnsi="Times New Roman;Times;Serif"/>
                                <w:b/>
                                <w:color w:val="000000"/>
                                <w:sz w:val="17"/>
                              </w:rPr>
                            </w:pPr>
                            <w:r>
                              <w:rPr>
                                <w:rFonts w:ascii="Times New Roman;Times;Serif" w:hAnsi="Times New Roman;Times;Serif"/>
                                <w:b/>
                                <w:color w:val="000000"/>
                                <w:sz w:val="17"/>
                              </w:rPr>
                              <w:t>Permitted purchases of public shares and public warrants by our affiliates</w:t>
                            </w:r>
                          </w:p>
                        </w:txbxContent>
                      </wps:txbx>
                      <wps:bodyPr anchor="t" lIns="0" tIns="0" rIns="0" bIns="0">
                        <a:noAutofit/>
                      </wps:bodyPr>
                    </wps:wsp>
                  </a:graphicData>
                </a:graphic>
              </wp:anchor>
            </w:drawing>
          </mc:Choice>
          <mc:Fallback>
            <w:pict>
              <v:rect style="position:absolute;rotation:0;width:223.5pt;height:24pt;mso-wrap-distance-left:0pt;mso-wrap-distance-right:0pt;mso-wrap-distance-top:6pt;mso-wrap-distance-bottom:0pt;margin-top:6pt;mso-position-vertical:top;mso-position-vertical-relative:text;margin-left:0pt;mso-position-horizontal:left;mso-position-horizontal-relative:text">
                <v:textbox inset="0in,0in,0in,0in">
                  <w:txbxContent>
                    <w:p>
                      <w:pPr>
                        <w:pStyle w:val="TextBody"/>
                        <w:spacing w:lineRule="atLeast" w:line="240" w:before="0" w:after="283"/>
                        <w:jc w:val="left"/>
                        <w:rPr>
                          <w:rFonts w:ascii="Times New Roman;Times;Serif" w:hAnsi="Times New Roman;Times;Serif"/>
                          <w:b/>
                          <w:color w:val="000000"/>
                          <w:sz w:val="17"/>
                        </w:rPr>
                      </w:pPr>
                      <w:r>
                        <w:rPr>
                          <w:rFonts w:ascii="Times New Roman;Times;Serif" w:hAnsi="Times New Roman;Times;Serif"/>
                          <w:b/>
                          <w:color w:val="000000"/>
                          <w:sz w:val="17"/>
                        </w:rPr>
                        <w:t>Permitted purchases of public shares and public warrants by our affiliates</w:t>
                      </w:r>
                    </w:p>
                  </w:txbxContent>
                </v:textbox>
                <w10:wrap type="square" side="right"/>
              </v:rect>
            </w:pict>
          </mc:Fallback>
        </mc:AlternateContent>
      </w:r>
    </w:p>
    <w:p>
      <w:pPr>
        <w:pStyle w:val="TextBody"/>
        <w:spacing w:lineRule="atLeast" w:line="240"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 xml:space="preserve">We do not currently anticipate that such purchases, if any, would constitute a tender offer subject to the tender offer rules under the Exchange Act or a going-private transaction subject to the going-private </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18</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rules under the Exchange Act; however, if the purchasers determine at the time of any such purchases that the purchases are subject to such rules, the purchasers will comply with such rules. Our sponsor, directors, officers, advisors or any of their affiliates will be restricted from making any purchases if such purchases would violate Section 9(a)(2) or Rule 10b-5 of the Exchange Act.</w:t>
      </w:r>
    </w:p>
    <w:p>
      <w:pPr>
        <w:pStyle w:val="TextBody"/>
        <w:spacing w:lineRule="atLeast" w:line="240" w:before="120" w:after="283"/>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We will provide our public shareholders with the opportunity to redeem all or a portion of their public shares upon the completion of our initial business combination at a per-share price, payable in cash, equal to the aggregate amount then on deposit in the trust account as of two business days prior to the completion of our initial business combination, including interest (which interest shall be net of taxes payable), divided by the number of then issued and outstanding public shares, subject to the limitations described herein.</w:t>
      </w:r>
      <w:r>
        <mc:AlternateContent>
          <mc:Choice Requires="wps">
            <w:drawing>
              <wp:anchor behindDoc="0" distT="76200" distB="0" distL="0" distR="0" simplePos="0" locked="0" layoutInCell="1" allowOverlap="1" relativeHeight="26">
                <wp:simplePos x="0" y="0"/>
                <wp:positionH relativeFrom="column">
                  <wp:align>left</wp:align>
                </wp:positionH>
                <wp:positionV relativeFrom="line">
                  <wp:align>top</wp:align>
                </wp:positionV>
                <wp:extent cx="2838450" cy="304800"/>
                <wp:effectExtent l="0" t="0" r="0" b="0"/>
                <wp:wrapSquare wrapText="largest"/>
                <wp:docPr id="25" name="Frame25"/>
                <a:graphic xmlns:a="http://schemas.openxmlformats.org/drawingml/2006/main">
                  <a:graphicData uri="http://schemas.microsoft.com/office/word/2010/wordprocessingShape">
                    <wps:wsp>
                      <wps:cNvSpPr txBox="1"/>
                      <wps:spPr>
                        <a:xfrm>
                          <a:off x="0" y="0"/>
                          <a:ext cx="2838450" cy="304800"/>
                        </a:xfrm>
                        <a:prstGeom prst="rect"/>
                      </wps:spPr>
                      <wps:txbx>
                        <w:txbxContent>
                          <w:p>
                            <w:pPr>
                              <w:pStyle w:val="TextBody"/>
                              <w:spacing w:lineRule="atLeast" w:line="240" w:before="0" w:after="283"/>
                              <w:jc w:val="left"/>
                              <w:rPr>
                                <w:rFonts w:ascii="Times New Roman;Times;Serif" w:hAnsi="Times New Roman;Times;Serif"/>
                                <w:color w:val="000000"/>
                                <w:sz w:val="17"/>
                              </w:rPr>
                            </w:pPr>
                            <w:r>
                              <w:rPr>
                                <w:rFonts w:ascii="Times New Roman;Times;Serif" w:hAnsi="Times New Roman;Times;Serif"/>
                                <w:b/>
                                <w:color w:val="000000"/>
                                <w:sz w:val="17"/>
                              </w:rPr>
                              <w:t>Redemption rights for public shareholders upon completion of our initial business combination</w:t>
                            </w:r>
                            <w:r>
                              <w:rPr>
                                <w:rFonts w:ascii="Times New Roman;Times;Serif" w:hAnsi="Times New Roman;Times;Serif"/>
                                <w:color w:val="000000"/>
                                <w:sz w:val="17"/>
                              </w:rPr>
                              <w:t>.</w:t>
                            </w:r>
                          </w:p>
                        </w:txbxContent>
                      </wps:txbx>
                      <wps:bodyPr anchor="t" lIns="0" tIns="0" rIns="0" bIns="0">
                        <a:noAutofit/>
                      </wps:bodyPr>
                    </wps:wsp>
                  </a:graphicData>
                </a:graphic>
              </wp:anchor>
            </w:drawing>
          </mc:Choice>
          <mc:Fallback>
            <w:pict>
              <v:rect style="position:absolute;rotation:0;width:223.5pt;height:24pt;mso-wrap-distance-left:0pt;mso-wrap-distance-right:0pt;mso-wrap-distance-top:6pt;mso-wrap-distance-bottom:0pt;margin-top:6pt;mso-position-vertical:top;mso-position-vertical-relative:text;margin-left:0pt;mso-position-horizontal:left;mso-position-horizontal-relative:text">
                <v:textbox inset="0in,0in,0in,0in">
                  <w:txbxContent>
                    <w:p>
                      <w:pPr>
                        <w:pStyle w:val="TextBody"/>
                        <w:spacing w:lineRule="atLeast" w:line="240" w:before="0" w:after="283"/>
                        <w:jc w:val="left"/>
                        <w:rPr>
                          <w:rFonts w:ascii="Times New Roman;Times;Serif" w:hAnsi="Times New Roman;Times;Serif"/>
                          <w:color w:val="000000"/>
                          <w:sz w:val="17"/>
                        </w:rPr>
                      </w:pPr>
                      <w:r>
                        <w:rPr>
                          <w:rFonts w:ascii="Times New Roman;Times;Serif" w:hAnsi="Times New Roman;Times;Serif"/>
                          <w:b/>
                          <w:color w:val="000000"/>
                          <w:sz w:val="17"/>
                        </w:rPr>
                        <w:t>Redemption rights for public shareholders upon completion of our initial business combination</w:t>
                      </w:r>
                      <w:r>
                        <w:rPr>
                          <w:rFonts w:ascii="Times New Roman;Times;Serif" w:hAnsi="Times New Roman;Times;Serif"/>
                          <w:color w:val="000000"/>
                          <w:sz w:val="17"/>
                        </w:rPr>
                        <w:t>.</w:t>
                      </w:r>
                    </w:p>
                  </w:txbxContent>
                </v:textbox>
                <w10:wrap type="square" side="right"/>
              </v:rect>
            </w:pict>
          </mc:Fallback>
        </mc:AlternateContent>
      </w:r>
    </w:p>
    <w:p>
      <w:pPr>
        <w:pStyle w:val="TextBody"/>
        <w:spacing w:lineRule="atLeast" w:line="240"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The amount in the trust account is initially anticipated to be $10.00 per public share. The per-share amount we will distribute to investors who properly redeem their shares will not be reduced by the deferred underwriting commissions we will pay to the underwriters. There will be no redemption rights upon the completion of our initial business combination with respect to our warrants. Our initial shareholders have entered into a letter agreement with us, pursuant to which they have agreed to waive their redemption rights with respect to their founder shares and any public shares held by them in connection with the completion of our initial business combination. Our directors and officers have also entered into the letter agreement, imposing similar obligations on them with respect to public shares acquired by them, if any.</w:t>
      </w:r>
    </w:p>
    <w:p>
      <w:pPr>
        <w:pStyle w:val="TextBody"/>
        <w:spacing w:lineRule="atLeast" w:line="240" w:before="120" w:after="283"/>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 xml:space="preserve">We will provide our public shareholders with the opportunity to redeem all or a portion of their public shares upon the completion of our initial business combination either (1) in connection with a shareholder meeting called to approve the business combination or (2) by means of a tender offer. The decision as to whether we will seek shareholder approval of a proposed business combination or conduct a tender offer will be made by us, solely in our discretion, and will be based on a variety of factors such as the timing of the transaction and whether the terms of the transaction would require us to seek shareholder approval under applicable law or stock exchange listing requirement. Asset acquisitions and share purchases would not typically require shareholder approval while direct mergers with our company where we do not survive, amalgamations pursuant to a scheme of arrangement and any </w:t>
      </w:r>
      <w:r>
        <mc:AlternateContent>
          <mc:Choice Requires="wps">
            <w:drawing>
              <wp:anchor behindDoc="0" distT="76200" distB="0" distL="0" distR="0" simplePos="0" locked="0" layoutInCell="1" allowOverlap="1" relativeHeight="27">
                <wp:simplePos x="0" y="0"/>
                <wp:positionH relativeFrom="column">
                  <wp:align>left</wp:align>
                </wp:positionH>
                <wp:positionV relativeFrom="line">
                  <wp:align>top</wp:align>
                </wp:positionV>
                <wp:extent cx="2971800" cy="120650"/>
                <wp:effectExtent l="0" t="0" r="0" b="0"/>
                <wp:wrapSquare wrapText="largest"/>
                <wp:docPr id="26" name="Frame26"/>
                <a:graphic xmlns:a="http://schemas.openxmlformats.org/drawingml/2006/main">
                  <a:graphicData uri="http://schemas.microsoft.com/office/word/2010/wordprocessingShape">
                    <wps:wsp>
                      <wps:cNvSpPr txBox="1"/>
                      <wps:spPr>
                        <a:xfrm>
                          <a:off x="0" y="0"/>
                          <a:ext cx="2971800" cy="120650"/>
                        </a:xfrm>
                        <a:prstGeom prst="rect"/>
                      </wps:spPr>
                      <wps:txbx>
                        <w:txbxContent>
                          <w:p>
                            <w:pPr>
                              <w:pStyle w:val="TextBody"/>
                              <w:spacing w:before="0" w:after="283"/>
                              <w:jc w:val="left"/>
                              <w:rPr>
                                <w:rFonts w:ascii="Times New Roman;Times;Serif" w:hAnsi="Times New Roman;Times;Serif"/>
                                <w:b/>
                                <w:color w:val="000000"/>
                                <w:sz w:val="17"/>
                              </w:rPr>
                            </w:pPr>
                            <w:r>
                              <w:rPr>
                                <w:rFonts w:ascii="Times New Roman;Times;Serif" w:hAnsi="Times New Roman;Times;Serif"/>
                                <w:b/>
                                <w:color w:val="000000"/>
                                <w:sz w:val="17"/>
                              </w:rPr>
                              <w:t>Manner of conducting redemptions</w:t>
                            </w:r>
                          </w:p>
                        </w:txbxContent>
                      </wps:txbx>
                      <wps:bodyPr anchor="t" lIns="0" tIns="0" rIns="0" bIns="0">
                        <a:noAutofit/>
                      </wps:bodyPr>
                    </wps:wsp>
                  </a:graphicData>
                </a:graphic>
              </wp:anchor>
            </w:drawing>
          </mc:Choice>
          <mc:Fallback>
            <w:pict>
              <v:rect style="position:absolute;rotation:0;width:234pt;height:9.5pt;mso-wrap-distance-left:0pt;mso-wrap-distance-right:0pt;mso-wrap-distance-top:6pt;mso-wrap-distance-bottom:0pt;margin-top:6pt;mso-position-vertical:top;mso-position-vertical-relative:text;margin-left:0pt;mso-position-horizontal:left;mso-position-horizontal-relative:text">
                <v:textbox inset="0in,0in,0in,0in">
                  <w:txbxContent>
                    <w:p>
                      <w:pPr>
                        <w:pStyle w:val="TextBody"/>
                        <w:spacing w:before="0" w:after="283"/>
                        <w:jc w:val="left"/>
                        <w:rPr>
                          <w:rFonts w:ascii="Times New Roman;Times;Serif" w:hAnsi="Times New Roman;Times;Serif"/>
                          <w:b/>
                          <w:color w:val="000000"/>
                          <w:sz w:val="17"/>
                        </w:rPr>
                      </w:pPr>
                      <w:r>
                        <w:rPr>
                          <w:rFonts w:ascii="Times New Roman;Times;Serif" w:hAnsi="Times New Roman;Times;Serif"/>
                          <w:b/>
                          <w:color w:val="000000"/>
                          <w:sz w:val="17"/>
                        </w:rPr>
                        <w:t>Manner of conducting redemptions</w:t>
                      </w:r>
                    </w:p>
                  </w:txbxContent>
                </v:textbox>
                <w10:wrap type="square" side="right"/>
              </v:rect>
            </w:pict>
          </mc:Fallback>
        </mc:AlternateConten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19</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transactions where we issue more than 20% of our issued and outstanding ordinary shares or seek to amend our amended and restated memorandum and articles of association would typically require shareholder approval. We intend to conduct redemptions without a shareholder vote pursuant to the tender offer rules of the SEC unless shareholder approval is required by applicable law or stock exchange listing requirement or we choose to seek shareholder approval for business or other reasons.</w:t>
      </w:r>
    </w:p>
    <w:p>
      <w:pPr>
        <w:pStyle w:val="TextBody"/>
        <w:spacing w:lineRule="atLeast" w:line="240"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If a shareholder vote is not required and we do not decide to hold a shareholder vote for business or other reasons, we will, pursuant to our amended and restated memorandum and articles of association:</w:t>
      </w:r>
    </w:p>
    <w:tbl>
      <w:tblPr>
        <w:tblW w:w="5000" w:type="pct"/>
        <w:jc w:val="left"/>
        <w:tblInd w:w="0" w:type="dxa"/>
        <w:tblCellMar>
          <w:top w:w="0" w:type="dxa"/>
          <w:left w:w="0" w:type="dxa"/>
          <w:bottom w:w="0" w:type="dxa"/>
          <w:right w:w="0" w:type="dxa"/>
        </w:tblCellMar>
      </w:tblPr>
      <w:tblGrid>
        <w:gridCol w:w="3338"/>
        <w:gridCol w:w="303"/>
        <w:gridCol w:w="6564"/>
      </w:tblGrid>
      <w:tr>
        <w:trPr/>
        <w:tc>
          <w:tcPr>
            <w:tcW w:w="3338"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jc w:val="left"/>
              <w:rPr>
                <w:color w:val="000000"/>
              </w:rPr>
            </w:pPr>
            <w:r>
              <w:rPr>
                <w:color w:val="000000"/>
              </w:rPr>
              <w:t>•</w:t>
            </w:r>
          </w:p>
        </w:tc>
        <w:tc>
          <w:tcPr>
            <w:tcW w:w="6564"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conduct the redemptions pursuant to Rule 13e-4 and Regulation 14E of the Exchange Act, which regulate issuer tender offers; and</w:t>
            </w:r>
          </w:p>
        </w:tc>
      </w:tr>
    </w:tbl>
    <w:tbl>
      <w:tblPr>
        <w:tblW w:w="5000" w:type="pct"/>
        <w:jc w:val="left"/>
        <w:tblInd w:w="0" w:type="dxa"/>
        <w:tblCellMar>
          <w:top w:w="0" w:type="dxa"/>
          <w:left w:w="0" w:type="dxa"/>
          <w:bottom w:w="0" w:type="dxa"/>
          <w:right w:w="0" w:type="dxa"/>
        </w:tblCellMar>
      </w:tblPr>
      <w:tblGrid>
        <w:gridCol w:w="1657"/>
        <w:gridCol w:w="205"/>
        <w:gridCol w:w="8343"/>
      </w:tblGrid>
      <w:tr>
        <w:trPr/>
        <w:tc>
          <w:tcPr>
            <w:tcW w:w="1657"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jc w:val="left"/>
              <w:rPr>
                <w:color w:val="000000"/>
              </w:rPr>
            </w:pPr>
            <w:r>
              <w:rPr>
                <w:color w:val="000000"/>
              </w:rPr>
              <w:t>•</w:t>
            </w:r>
          </w:p>
        </w:tc>
        <w:tc>
          <w:tcPr>
            <w:tcW w:w="8343"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tc>
      </w:tr>
    </w:tbl>
    <w:p>
      <w:pPr>
        <w:pStyle w:val="TextBody"/>
        <w:spacing w:lineRule="atLeast" w:line="240"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Upon the public announcement of our initial business combination, if we elect to conduct redemptions pursuant to the tender offer rules, we and our sponsor will terminate any plan established in accordance with Rule 10b5-1 to purchase our Class A ordinary shares in the open market, in order to comply with Rule 14e-5 under the Exchange Act.</w:t>
      </w:r>
    </w:p>
    <w:p>
      <w:pPr>
        <w:pStyle w:val="TextBody"/>
        <w:spacing w:lineRule="atLeast" w:line="240"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shareholders not tendering more than a specified number of public shares, which number will be based on the requirement that we may not redeem public shares in an amount that would cause our net tangible assets, after payment of the deferred underwriting commission, to be less than $5,000,001 upon completion of our initial business combination (so that we do not then become subject to the SECs penny stock rules), or any greater net tangible asset or cash requirement that may be contained in the agreement relating to our initial business combination. If public shareholders tender more shares than we have offered to purchase, we will withdraw the tender offer and not complete such initial business combination.</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20</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If, however, shareholder approval of the transaction is required by applicable law or stock exchange listing requirement, or we decide to obtain shareholder approval for business or other reasons, we will:</w:t>
      </w:r>
    </w:p>
    <w:tbl>
      <w:tblPr>
        <w:tblW w:w="5000" w:type="pct"/>
        <w:jc w:val="left"/>
        <w:tblInd w:w="0" w:type="dxa"/>
        <w:tblCellMar>
          <w:top w:w="0" w:type="dxa"/>
          <w:left w:w="0" w:type="dxa"/>
          <w:bottom w:w="0" w:type="dxa"/>
          <w:right w:w="0" w:type="dxa"/>
        </w:tblCellMar>
      </w:tblPr>
      <w:tblGrid>
        <w:gridCol w:w="2419"/>
        <w:gridCol w:w="249"/>
        <w:gridCol w:w="7537"/>
      </w:tblGrid>
      <w:tr>
        <w:trPr/>
        <w:tc>
          <w:tcPr>
            <w:tcW w:w="241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jc w:val="left"/>
              <w:rPr>
                <w:color w:val="000000"/>
              </w:rPr>
            </w:pPr>
            <w:r>
              <w:rPr>
                <w:color w:val="000000"/>
              </w:rPr>
              <w:t>•</w:t>
            </w:r>
          </w:p>
        </w:tc>
        <w:tc>
          <w:tcPr>
            <w:tcW w:w="7537"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conduct the redemptions in conjunction with a proxy solicitation pursuant to Regulation 14A of the Exchange Act, which regulates the solicitation of proxies, and not pursuant to the tender offer rules; and</w:t>
            </w:r>
          </w:p>
        </w:tc>
      </w:tr>
    </w:tbl>
    <w:tbl>
      <w:tblPr>
        <w:tblW w:w="5000" w:type="pct"/>
        <w:jc w:val="left"/>
        <w:tblInd w:w="0" w:type="dxa"/>
        <w:tblCellMar>
          <w:top w:w="0" w:type="dxa"/>
          <w:left w:w="0" w:type="dxa"/>
          <w:bottom w:w="0" w:type="dxa"/>
          <w:right w:w="0" w:type="dxa"/>
        </w:tblCellMar>
      </w:tblPr>
      <w:tblGrid>
        <w:gridCol w:w="6482"/>
        <w:gridCol w:w="525"/>
        <w:gridCol w:w="3198"/>
      </w:tblGrid>
      <w:tr>
        <w:trPr/>
        <w:tc>
          <w:tcPr>
            <w:tcW w:w="6482"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jc w:val="left"/>
              <w:rPr>
                <w:color w:val="000000"/>
              </w:rPr>
            </w:pPr>
            <w:r>
              <w:rPr>
                <w:color w:val="000000"/>
              </w:rPr>
              <w:t>•</w:t>
            </w:r>
          </w:p>
        </w:tc>
        <w:tc>
          <w:tcPr>
            <w:tcW w:w="3198"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file proxy materials with the SEC.</w:t>
            </w:r>
          </w:p>
        </w:tc>
      </w:tr>
    </w:tbl>
    <w:p>
      <w:pPr>
        <w:pStyle w:val="TextBody"/>
        <w:spacing w:lineRule="atLeast" w:line="240"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We expect that a final proxy statement would be mailed to public shareholders at least 10 days prior to the shareholder vote. However, we expect that a draft proxy statement would be made available to such shareholders well in advance of such time, providing additional notice of redemption if we conduct redemptions in conjunction with a proxy solicitation. Although we are not required to do so, we currently intend to comply with the substantive and procedural requirements of Regulation 14A in connection with any shareholder vote even if we are not able to maintain our Nasdaq listing or Exchange Act registration.</w:t>
      </w:r>
    </w:p>
    <w:p>
      <w:pPr>
        <w:pStyle w:val="TextBody"/>
        <w:spacing w:lineRule="atLeast" w:line="240"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If we seek shareholder approval, we will complete our initial business combination only if we receive an ordinary resolution under Cayman Islands law, which requires the affirmative vote of a majority of the shareholders who attend and vote at a general meeting of the company. In such case, pursuant to the terms of a letter agreement entered into with us, our initial shareholders have agreed (and their permitted transferees will agree) to vote their founder shares and any public shares held by them in favor of our initial business combination. We expect that at the time of any shareholder vote relating to our initial business combination, our initial shareholders and their permitted transferees will own at least 20% of our issued and outstanding ordinary shares entitled to vote thereon. Our directors and officers also have agreed to vote in favor of our initial business combination with respect to public shares acquired by them, if any. These voting thresholds, and the voting agreements of our initial shareholders, may make it more likely that we will consummate our initial business combination. Each public shareholder may elect to redeem their public shares without voting, and if they do vote, irrespective of whether they vote for or against the proposed business combination.</w:t>
      </w:r>
    </w:p>
    <w:p>
      <w:pPr>
        <w:pStyle w:val="TextBody"/>
        <w:spacing w:lineRule="atLeast" w:line="240"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 xml:space="preserve">Our amended and restated memorandum and articles of association will provide that in no event will we redeem our public shares in an amount that would cause our net tangible assets, after payment of the deferred underwriting commissions, to be less than </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21</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$5,000,001 upon completion of our initial business combination (so that we do not then become subject to the SECs penny stock rules). Redemptions of our public shares may also be subject to a higher net tangible asset test or cash requirement pursuant to an agreement relating to our initial business combination. For example, the proposed business combination may require: (1) cash consideration to be paid to the target or its owners; (2) cash to be transferred to the target for working capital or other general corporate purposes; or (3) the retention of cash to satisfy other conditions in accordance with the terms of the proposed business combination. In the event the aggregate cash consideration we would be required to pay for all public shares that are validly submitted for redemption plus any amount required to satisfy cash conditions pursuant to the terms of the proposed business combination exceed the aggregate amount of cash available to us, we will not complete such business combination or redeem any shares in connection therewith, and all public shares submitted for redemption will be returned to the holders thereof.</w:t>
      </w:r>
    </w:p>
    <w:p>
      <w:pPr>
        <w:pStyle w:val="TextBody"/>
        <w:spacing w:lineRule="atLeast" w:line="240"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We may require our public shareholders seeking to exercise their redemption rights, whether they are record holders or hold their shares in street name, to either tender their certificates to our transfer agent prior to the date set forth in the tender offer documents or proxy materials mailed to such holders, or up to two business days prior to the vote on the proposal to approve our initial business combination in the event we distribute proxy materials, or to deliver their shares to the transfer agent electronically using The Depository Trust Companys DWAC (Deposit/Withdrawal At Custodian) System, at the holders option, rather than simply voting against the initial business combination. The tender offer or proxy materials, as applicable, that we will furnish to holders of our public shares in connection with our initial business combination will indicate whether we are requiring public shareholders to satisfy such delivery requirements.</w:t>
      </w:r>
      <w:r>
        <mc:AlternateContent>
          <mc:Choice Requires="wps">
            <w:drawing>
              <wp:anchor behindDoc="0" distT="76200" distB="0" distL="0" distR="0" simplePos="0" locked="0" layoutInCell="1" allowOverlap="1" relativeHeight="28">
                <wp:simplePos x="0" y="0"/>
                <wp:positionH relativeFrom="column">
                  <wp:align>left</wp:align>
                </wp:positionH>
                <wp:positionV relativeFrom="line">
                  <wp:align>top</wp:align>
                </wp:positionV>
                <wp:extent cx="2838450" cy="304800"/>
                <wp:effectExtent l="0" t="0" r="0" b="0"/>
                <wp:wrapSquare wrapText="largest"/>
                <wp:docPr id="27" name="Frame27"/>
                <a:graphic xmlns:a="http://schemas.openxmlformats.org/drawingml/2006/main">
                  <a:graphicData uri="http://schemas.microsoft.com/office/word/2010/wordprocessingShape">
                    <wps:wsp>
                      <wps:cNvSpPr txBox="1"/>
                      <wps:spPr>
                        <a:xfrm>
                          <a:off x="0" y="0"/>
                          <a:ext cx="2838450" cy="304800"/>
                        </a:xfrm>
                        <a:prstGeom prst="rect"/>
                      </wps:spPr>
                      <wps:txbx>
                        <w:txbxContent>
                          <w:p>
                            <w:pPr>
                              <w:pStyle w:val="TextBody"/>
                              <w:spacing w:lineRule="atLeast" w:line="240" w:before="0" w:after="283"/>
                              <w:jc w:val="left"/>
                              <w:rPr>
                                <w:rFonts w:ascii="Times New Roman;Times;Serif" w:hAnsi="Times New Roman;Times;Serif"/>
                                <w:b/>
                                <w:color w:val="000000"/>
                                <w:sz w:val="17"/>
                              </w:rPr>
                            </w:pPr>
                            <w:r>
                              <w:rPr>
                                <w:rFonts w:ascii="Times New Roman;Times;Serif" w:hAnsi="Times New Roman;Times;Serif"/>
                                <w:b/>
                                <w:color w:val="000000"/>
                                <w:sz w:val="17"/>
                              </w:rPr>
                              <w:t>Tendering share certificates in connection with a tender offer or redemption rights</w:t>
                            </w:r>
                          </w:p>
                        </w:txbxContent>
                      </wps:txbx>
                      <wps:bodyPr anchor="t" lIns="0" tIns="0" rIns="0" bIns="0">
                        <a:noAutofit/>
                      </wps:bodyPr>
                    </wps:wsp>
                  </a:graphicData>
                </a:graphic>
              </wp:anchor>
            </w:drawing>
          </mc:Choice>
          <mc:Fallback>
            <w:pict>
              <v:rect style="position:absolute;rotation:0;width:223.5pt;height:24pt;mso-wrap-distance-left:0pt;mso-wrap-distance-right:0pt;mso-wrap-distance-top:6pt;mso-wrap-distance-bottom:0pt;margin-top:6pt;mso-position-vertical:top;mso-position-vertical-relative:text;margin-left:0pt;mso-position-horizontal:left;mso-position-horizontal-relative:text">
                <v:textbox inset="0in,0in,0in,0in">
                  <w:txbxContent>
                    <w:p>
                      <w:pPr>
                        <w:pStyle w:val="TextBody"/>
                        <w:spacing w:lineRule="atLeast" w:line="240" w:before="0" w:after="283"/>
                        <w:jc w:val="left"/>
                        <w:rPr>
                          <w:rFonts w:ascii="Times New Roman;Times;Serif" w:hAnsi="Times New Roman;Times;Serif"/>
                          <w:b/>
                          <w:color w:val="000000"/>
                          <w:sz w:val="17"/>
                        </w:rPr>
                      </w:pPr>
                      <w:r>
                        <w:rPr>
                          <w:rFonts w:ascii="Times New Roman;Times;Serif" w:hAnsi="Times New Roman;Times;Serif"/>
                          <w:b/>
                          <w:color w:val="000000"/>
                          <w:sz w:val="17"/>
                        </w:rPr>
                        <w:t>Tendering share certificates in connection with a tender offer or redemption rights</w:t>
                      </w:r>
                    </w:p>
                  </w:txbxContent>
                </v:textbox>
                <w10:wrap type="square" side="right"/>
              </v:rect>
            </w:pict>
          </mc:Fallback>
        </mc:AlternateContent>
      </w:r>
    </w:p>
    <w:p>
      <w:pPr>
        <w:pStyle w:val="TextBody"/>
        <w:spacing w:lineRule="atLeast" w:line="240" w:before="120" w:after="283"/>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 xml:space="preserve">Notwithstanding the foregoing redemption rights, 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w:t>
      </w:r>
      <w:r>
        <mc:AlternateContent>
          <mc:Choice Requires="wps">
            <w:drawing>
              <wp:anchor behindDoc="0" distT="76200" distB="0" distL="0" distR="0" simplePos="0" locked="0" layoutInCell="1" allowOverlap="1" relativeHeight="29">
                <wp:simplePos x="0" y="0"/>
                <wp:positionH relativeFrom="column">
                  <wp:align>left</wp:align>
                </wp:positionH>
                <wp:positionV relativeFrom="line">
                  <wp:align>top</wp:align>
                </wp:positionV>
                <wp:extent cx="2838450" cy="457200"/>
                <wp:effectExtent l="0" t="0" r="0" b="0"/>
                <wp:wrapSquare wrapText="largest"/>
                <wp:docPr id="28" name="Frame28"/>
                <a:graphic xmlns:a="http://schemas.openxmlformats.org/drawingml/2006/main">
                  <a:graphicData uri="http://schemas.microsoft.com/office/word/2010/wordprocessingShape">
                    <wps:wsp>
                      <wps:cNvSpPr txBox="1"/>
                      <wps:spPr>
                        <a:xfrm>
                          <a:off x="0" y="0"/>
                          <a:ext cx="2838450" cy="457200"/>
                        </a:xfrm>
                        <a:prstGeom prst="rect"/>
                      </wps:spPr>
                      <wps:txbx>
                        <w:txbxContent>
                          <w:p>
                            <w:pPr>
                              <w:pStyle w:val="TextBody"/>
                              <w:spacing w:lineRule="atLeast" w:line="240" w:before="0" w:after="283"/>
                              <w:jc w:val="left"/>
                              <w:rPr>
                                <w:rFonts w:ascii="Times New Roman;Times;Serif" w:hAnsi="Times New Roman;Times;Serif"/>
                                <w:b/>
                                <w:color w:val="000000"/>
                                <w:sz w:val="17"/>
                              </w:rPr>
                            </w:pPr>
                            <w:r>
                              <w:rPr>
                                <w:rFonts w:ascii="Times New Roman;Times;Serif" w:hAnsi="Times New Roman;Times;Serif"/>
                                <w:b/>
                                <w:color w:val="000000"/>
                                <w:sz w:val="17"/>
                              </w:rPr>
                              <w:t>Limitation on redemption rights of shareholders holding more than 15% of the shares sold in this offering if we hold shareholder vote</w:t>
                            </w:r>
                          </w:p>
                        </w:txbxContent>
                      </wps:txbx>
                      <wps:bodyPr anchor="t" lIns="0" tIns="0" rIns="0" bIns="0">
                        <a:noAutofit/>
                      </wps:bodyPr>
                    </wps:wsp>
                  </a:graphicData>
                </a:graphic>
              </wp:anchor>
            </w:drawing>
          </mc:Choice>
          <mc:Fallback>
            <w:pict>
              <v:rect style="position:absolute;rotation:0;width:223.5pt;height:36pt;mso-wrap-distance-left:0pt;mso-wrap-distance-right:0pt;mso-wrap-distance-top:6pt;mso-wrap-distance-bottom:0pt;margin-top:6pt;mso-position-vertical:top;mso-position-vertical-relative:text;margin-left:0pt;mso-position-horizontal:left;mso-position-horizontal-relative:text">
                <v:textbox inset="0in,0in,0in,0in">
                  <w:txbxContent>
                    <w:p>
                      <w:pPr>
                        <w:pStyle w:val="TextBody"/>
                        <w:spacing w:lineRule="atLeast" w:line="240" w:before="0" w:after="283"/>
                        <w:jc w:val="left"/>
                        <w:rPr>
                          <w:rFonts w:ascii="Times New Roman;Times;Serif" w:hAnsi="Times New Roman;Times;Serif"/>
                          <w:b/>
                          <w:color w:val="000000"/>
                          <w:sz w:val="17"/>
                        </w:rPr>
                      </w:pPr>
                      <w:r>
                        <w:rPr>
                          <w:rFonts w:ascii="Times New Roman;Times;Serif" w:hAnsi="Times New Roman;Times;Serif"/>
                          <w:b/>
                          <w:color w:val="000000"/>
                          <w:sz w:val="17"/>
                        </w:rPr>
                        <w:t>Limitation on redemption rights of shareholders holding more than 15% of the shares sold in this offering if we hold shareholder vote</w:t>
                      </w:r>
                    </w:p>
                  </w:txbxContent>
                </v:textbox>
                <w10:wrap type="square" side="right"/>
              </v:rect>
            </w:pict>
          </mc:Fallback>
        </mc:AlternateConten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22</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Act), will be restricted from redeeming its shares with respect to more than an aggregate of 15% of the shares sold in this offering, without our prior consent. We believe the restriction described above will discourage shareholders from accumulating large blocks of shares, and subsequent attempts by such holders to use their ability to redeem their shares as a means to force us or our sponsor or its affiliates to purchase their shares at a significant premium to the then-current market price or on other undesirable terms. Absent this provision, a public shareholder holding more than an aggregate of 15% of the shares sold in this offering could threaten to exercise its redemption rights against a business combination if such holders shares are not purchased by us or our sponsor or its affiliates at a premium to the then-current market price or on other undesirable terms. By limiting our shareholders ability to redeem to no more than 15% of the shares sold in this offering, we believe we will limit the ability of a small group of shareholders to unreasonably attempt to block our ability to complete our initial business combination, particularly in connection with a business combination with a target that requires as a closing condition that we have a minimum net worth or a certain amount of cash.</w:t>
      </w:r>
    </w:p>
    <w:p>
      <w:pPr>
        <w:pStyle w:val="TextBody"/>
        <w:spacing w:lineRule="atLeast" w:line="240"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However, we would not be restricting our shareholders ability to vote all of their shares (including all shares held by those shareholders that hold more than 15% of the shares sold in this offering) for or against our initial business combination.</w:t>
      </w:r>
    </w:p>
    <w:p>
      <w:pPr>
        <w:pStyle w:val="TextBody"/>
        <w:spacing w:lineRule="atLeast" w:line="240" w:before="120" w:after="283"/>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 xml:space="preserve">Some other blank check companies have a provision in their constitutional documents which prohibits the amendment of certain constitutional provisions. Our amended and restated memorandum and articles of association will provide that any of its provisions (other than amendments relating to the appointment or removal of directors prior to our initial business combination, which require the approval of at least 90% of our ordinary shares voting in a general meeting), including those related to pre-business combination activity (including the requirement to deposit proceeds of this offering and the private placement warrants into the trust account and not release such amounts except in specified circumstances), may be amended if approved by holders of at least two-thirds of our ordinary shares who attend and vote in a general meeting, and corresponding provisions of the trust agreement governing the release of funds from our trust account may be amended if approved by holders of 65% of our ordinary shares. Our initial shareholders, who will beneficially own 20% of our ordinary shares upon the </w:t>
      </w:r>
      <w:r>
        <mc:AlternateContent>
          <mc:Choice Requires="wps">
            <w:drawing>
              <wp:anchor behindDoc="0" distT="76200" distB="0" distL="0" distR="0" simplePos="0" locked="0" layoutInCell="1" allowOverlap="1" relativeHeight="30">
                <wp:simplePos x="0" y="0"/>
                <wp:positionH relativeFrom="column">
                  <wp:align>left</wp:align>
                </wp:positionH>
                <wp:positionV relativeFrom="line">
                  <wp:align>top</wp:align>
                </wp:positionV>
                <wp:extent cx="2838450" cy="457200"/>
                <wp:effectExtent l="0" t="0" r="0" b="0"/>
                <wp:wrapSquare wrapText="largest"/>
                <wp:docPr id="29" name="Frame29"/>
                <a:graphic xmlns:a="http://schemas.openxmlformats.org/drawingml/2006/main">
                  <a:graphicData uri="http://schemas.microsoft.com/office/word/2010/wordprocessingShape">
                    <wps:wsp>
                      <wps:cNvSpPr txBox="1"/>
                      <wps:spPr>
                        <a:xfrm>
                          <a:off x="0" y="0"/>
                          <a:ext cx="2838450" cy="457200"/>
                        </a:xfrm>
                        <a:prstGeom prst="rect"/>
                      </wps:spPr>
                      <wps:txbx>
                        <w:txbxContent>
                          <w:p>
                            <w:pPr>
                              <w:pStyle w:val="TextBody"/>
                              <w:spacing w:lineRule="atLeast" w:line="240" w:before="0" w:after="283"/>
                              <w:jc w:val="left"/>
                              <w:rPr>
                                <w:rFonts w:ascii="Times New Roman;Times;Serif" w:hAnsi="Times New Roman;Times;Serif"/>
                                <w:b/>
                                <w:color w:val="000000"/>
                                <w:sz w:val="17"/>
                              </w:rPr>
                            </w:pPr>
                            <w:r>
                              <w:rPr>
                                <w:rFonts w:ascii="Times New Roman;Times;Serif" w:hAnsi="Times New Roman;Times;Serif"/>
                                <w:b/>
                                <w:color w:val="000000"/>
                                <w:sz w:val="17"/>
                              </w:rPr>
                              <w:t>Redemption Rights in connection with proposed amendments to our amended and restated memorandum and articles of association</w:t>
                            </w:r>
                          </w:p>
                        </w:txbxContent>
                      </wps:txbx>
                      <wps:bodyPr anchor="t" lIns="0" tIns="0" rIns="0" bIns="0">
                        <a:noAutofit/>
                      </wps:bodyPr>
                    </wps:wsp>
                  </a:graphicData>
                </a:graphic>
              </wp:anchor>
            </w:drawing>
          </mc:Choice>
          <mc:Fallback>
            <w:pict>
              <v:rect style="position:absolute;rotation:0;width:223.5pt;height:36pt;mso-wrap-distance-left:0pt;mso-wrap-distance-right:0pt;mso-wrap-distance-top:6pt;mso-wrap-distance-bottom:0pt;margin-top:6pt;mso-position-vertical:top;mso-position-vertical-relative:text;margin-left:0pt;mso-position-horizontal:left;mso-position-horizontal-relative:text">
                <v:textbox inset="0in,0in,0in,0in">
                  <w:txbxContent>
                    <w:p>
                      <w:pPr>
                        <w:pStyle w:val="TextBody"/>
                        <w:spacing w:lineRule="atLeast" w:line="240" w:before="0" w:after="283"/>
                        <w:jc w:val="left"/>
                        <w:rPr>
                          <w:rFonts w:ascii="Times New Roman;Times;Serif" w:hAnsi="Times New Roman;Times;Serif"/>
                          <w:b/>
                          <w:color w:val="000000"/>
                          <w:sz w:val="17"/>
                        </w:rPr>
                      </w:pPr>
                      <w:r>
                        <w:rPr>
                          <w:rFonts w:ascii="Times New Roman;Times;Serif" w:hAnsi="Times New Roman;Times;Serif"/>
                          <w:b/>
                          <w:color w:val="000000"/>
                          <w:sz w:val="17"/>
                        </w:rPr>
                        <w:t>Redemption Rights in connection with proposed amendments to our amended and restated memorandum and articles of association</w:t>
                      </w:r>
                    </w:p>
                  </w:txbxContent>
                </v:textbox>
                <w10:wrap type="square" side="right"/>
              </v:rect>
            </w:pict>
          </mc:Fallback>
        </mc:AlternateConten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23</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closing of this offering (assuming they do not purchase any units in this offering), may participate in any vote to amend our amended and restated memorandum and articles of association and/or trust agreement and will have the discretion to vote in any manner they choose. Our sponsor, officers and directors have agreed, pursuant to a written agreement with us, that they will not propose any amendment to our amended and restated memorandum and articles of association (A) to modify the substance or timing of our obligation to redeem 100% of our public shares if we do not complete our initial business combination within 18 months from the closing of this offering or (B) with respect to any other provision relating to shareholders rights or pre-initial business combination activity, unless we provide our public shareholders with the opportunity to redeem their public shares upon approval of any such amendment at a per-share price, payable in cash, equal to the aggregate amount then on deposit in the trust account, including interest (which interest shall be net of taxes payable), divided by the number of then issued and outstanding public shares. Our initial shareholders have entered into a letter agreement with us, pursuant to which they have agreed to waive their redemption rights with respect to their founder shares and any public shares held by them in connection with the completion of our initial business combination. Our directors and officers have also entered into the letter agreement, imposing similar obligations on them with respect to public shares acquired by them, if any.</w:t>
      </w:r>
    </w:p>
    <w:p>
      <w:pPr>
        <w:pStyle w:val="TextBody"/>
        <w:spacing w:lineRule="atLeast" w:line="240" w:before="120" w:after="283"/>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 xml:space="preserve">On the completion of our initial business combination, all amounts held in the trust account will be released to us. We will use these funds to pay amounts due to any public shareholders who properly exercise their redemption rights as described above under Redemption rights for public shareholders upon completion of our initial business combination, to pay the underwriters their deferred underwriting commissions, to pay all or a portion of the consideration payable to the target or owners of the target of our initial business combination and to pay other expenses associated with our initial business combination. If our initial business combination is paid for using equity or debt, or not all of the funds released from the trust account are used for payment of the consideration in connection with our initial business combination or the redemption of our public shares, we may apply the balance of the cash released to us from the trust account for general corporate purposes, including for maintenance or expansion of operations of post-transaction businesses, the payment </w:t>
      </w:r>
      <w:r>
        <mc:AlternateContent>
          <mc:Choice Requires="wps">
            <w:drawing>
              <wp:anchor behindDoc="0" distT="76200" distB="0" distL="0" distR="0" simplePos="0" locked="0" layoutInCell="1" allowOverlap="1" relativeHeight="31">
                <wp:simplePos x="0" y="0"/>
                <wp:positionH relativeFrom="column">
                  <wp:align>left</wp:align>
                </wp:positionH>
                <wp:positionV relativeFrom="line">
                  <wp:align>top</wp:align>
                </wp:positionV>
                <wp:extent cx="2838450" cy="304800"/>
                <wp:effectExtent l="0" t="0" r="0" b="0"/>
                <wp:wrapSquare wrapText="largest"/>
                <wp:docPr id="30" name="Frame30"/>
                <a:graphic xmlns:a="http://schemas.openxmlformats.org/drawingml/2006/main">
                  <a:graphicData uri="http://schemas.microsoft.com/office/word/2010/wordprocessingShape">
                    <wps:wsp>
                      <wps:cNvSpPr txBox="1"/>
                      <wps:spPr>
                        <a:xfrm>
                          <a:off x="0" y="0"/>
                          <a:ext cx="2838450" cy="304800"/>
                        </a:xfrm>
                        <a:prstGeom prst="rect"/>
                      </wps:spPr>
                      <wps:txbx>
                        <w:txbxContent>
                          <w:p>
                            <w:pPr>
                              <w:pStyle w:val="TextBody"/>
                              <w:spacing w:lineRule="atLeast" w:line="240" w:before="0" w:after="283"/>
                              <w:jc w:val="left"/>
                              <w:rPr>
                                <w:rFonts w:ascii="Times New Roman;Times;Serif" w:hAnsi="Times New Roman;Times;Serif"/>
                                <w:b/>
                                <w:color w:val="000000"/>
                                <w:sz w:val="17"/>
                              </w:rPr>
                            </w:pPr>
                            <w:r>
                              <w:rPr>
                                <w:rFonts w:ascii="Times New Roman;Times;Serif" w:hAnsi="Times New Roman;Times;Serif"/>
                                <w:b/>
                                <w:color w:val="000000"/>
                                <w:sz w:val="17"/>
                              </w:rPr>
                              <w:t>Release of funds in trust account on closing of our initial business combination</w:t>
                            </w:r>
                          </w:p>
                        </w:txbxContent>
                      </wps:txbx>
                      <wps:bodyPr anchor="t" lIns="0" tIns="0" rIns="0" bIns="0">
                        <a:noAutofit/>
                      </wps:bodyPr>
                    </wps:wsp>
                  </a:graphicData>
                </a:graphic>
              </wp:anchor>
            </w:drawing>
          </mc:Choice>
          <mc:Fallback>
            <w:pict>
              <v:rect style="position:absolute;rotation:0;width:223.5pt;height:24pt;mso-wrap-distance-left:0pt;mso-wrap-distance-right:0pt;mso-wrap-distance-top:6pt;mso-wrap-distance-bottom:0pt;margin-top:6pt;mso-position-vertical:top;mso-position-vertical-relative:text;margin-left:0pt;mso-position-horizontal:left;mso-position-horizontal-relative:text">
                <v:textbox inset="0in,0in,0in,0in">
                  <w:txbxContent>
                    <w:p>
                      <w:pPr>
                        <w:pStyle w:val="TextBody"/>
                        <w:spacing w:lineRule="atLeast" w:line="240" w:before="0" w:after="283"/>
                        <w:jc w:val="left"/>
                        <w:rPr>
                          <w:rFonts w:ascii="Times New Roman;Times;Serif" w:hAnsi="Times New Roman;Times;Serif"/>
                          <w:b/>
                          <w:color w:val="000000"/>
                          <w:sz w:val="17"/>
                        </w:rPr>
                      </w:pPr>
                      <w:r>
                        <w:rPr>
                          <w:rFonts w:ascii="Times New Roman;Times;Serif" w:hAnsi="Times New Roman;Times;Serif"/>
                          <w:b/>
                          <w:color w:val="000000"/>
                          <w:sz w:val="17"/>
                        </w:rPr>
                        <w:t>Release of funds in trust account on closing of our initial business combination</w:t>
                      </w:r>
                    </w:p>
                  </w:txbxContent>
                </v:textbox>
                <w10:wrap type="square" side="right"/>
              </v:rect>
            </w:pict>
          </mc:Fallback>
        </mc:AlternateConten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24</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of principal or interest due on indebtedness incurred in completing our initial business combination, to fund the purchase of other companies or for working capital.</w:t>
      </w:r>
    </w:p>
    <w:p>
      <w:pPr>
        <w:pStyle w:val="TextBody"/>
        <w:spacing w:lineRule="atLeast" w:line="240" w:before="120" w:after="283"/>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Our sponsor, officers and directors have agreed that we will have only 18 months from the closing of this offering to complete our initial business combination. If we are unable to complete our initial business combination within such 18-month period, we will: (1) cease all operations except for the purpose of winding up; (2) as promptly as reasonably possible but not more than 10 business days thereafter, redeem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 (3) as promptly as reasonably possible following such redemption, subject to the approval of our remaining shareholders and our board of directors, dissolve and liquidate, subject in each case to our obligations under Cayman Islands law to provide for claims of creditors and the requirements of other applicable law. There will be no redemption rights or liquidating distributions with respect to our warrants, which will expire worthless if we fail to complete our initial business combination within the 18-month time period.</w:t>
      </w:r>
      <w:r>
        <mc:AlternateContent>
          <mc:Choice Requires="wps">
            <w:drawing>
              <wp:anchor behindDoc="0" distT="76200" distB="0" distL="0" distR="0" simplePos="0" locked="0" layoutInCell="1" allowOverlap="1" relativeHeight="32">
                <wp:simplePos x="0" y="0"/>
                <wp:positionH relativeFrom="column">
                  <wp:align>left</wp:align>
                </wp:positionH>
                <wp:positionV relativeFrom="line">
                  <wp:align>top</wp:align>
                </wp:positionV>
                <wp:extent cx="2838450" cy="304800"/>
                <wp:effectExtent l="0" t="0" r="0" b="0"/>
                <wp:wrapSquare wrapText="largest"/>
                <wp:docPr id="31" name="Frame31"/>
                <a:graphic xmlns:a="http://schemas.openxmlformats.org/drawingml/2006/main">
                  <a:graphicData uri="http://schemas.microsoft.com/office/word/2010/wordprocessingShape">
                    <wps:wsp>
                      <wps:cNvSpPr txBox="1"/>
                      <wps:spPr>
                        <a:xfrm>
                          <a:off x="0" y="0"/>
                          <a:ext cx="2838450" cy="304800"/>
                        </a:xfrm>
                        <a:prstGeom prst="rect"/>
                      </wps:spPr>
                      <wps:txbx>
                        <w:txbxContent>
                          <w:p>
                            <w:pPr>
                              <w:pStyle w:val="TextBody"/>
                              <w:spacing w:lineRule="atLeast" w:line="240" w:before="0" w:after="283"/>
                              <w:jc w:val="left"/>
                              <w:rPr>
                                <w:rFonts w:ascii="Times New Roman;Times;Serif" w:hAnsi="Times New Roman;Times;Serif"/>
                                <w:b/>
                                <w:color w:val="000000"/>
                                <w:sz w:val="17"/>
                              </w:rPr>
                            </w:pPr>
                            <w:r>
                              <w:rPr>
                                <w:rFonts w:ascii="Times New Roman;Times;Serif" w:hAnsi="Times New Roman;Times;Serif"/>
                                <w:b/>
                                <w:color w:val="000000"/>
                                <w:sz w:val="17"/>
                              </w:rPr>
                              <w:t>Redemption of public shares and distribution and liquidation if no initial business combination</w:t>
                            </w:r>
                          </w:p>
                        </w:txbxContent>
                      </wps:txbx>
                      <wps:bodyPr anchor="t" lIns="0" tIns="0" rIns="0" bIns="0">
                        <a:noAutofit/>
                      </wps:bodyPr>
                    </wps:wsp>
                  </a:graphicData>
                </a:graphic>
              </wp:anchor>
            </w:drawing>
          </mc:Choice>
          <mc:Fallback>
            <w:pict>
              <v:rect style="position:absolute;rotation:0;width:223.5pt;height:24pt;mso-wrap-distance-left:0pt;mso-wrap-distance-right:0pt;mso-wrap-distance-top:6pt;mso-wrap-distance-bottom:0pt;margin-top:6pt;mso-position-vertical:top;mso-position-vertical-relative:text;margin-left:0pt;mso-position-horizontal:left;mso-position-horizontal-relative:text">
                <v:textbox inset="0in,0in,0in,0in">
                  <w:txbxContent>
                    <w:p>
                      <w:pPr>
                        <w:pStyle w:val="TextBody"/>
                        <w:spacing w:lineRule="atLeast" w:line="240" w:before="0" w:after="283"/>
                        <w:jc w:val="left"/>
                        <w:rPr>
                          <w:rFonts w:ascii="Times New Roman;Times;Serif" w:hAnsi="Times New Roman;Times;Serif"/>
                          <w:b/>
                          <w:color w:val="000000"/>
                          <w:sz w:val="17"/>
                        </w:rPr>
                      </w:pPr>
                      <w:r>
                        <w:rPr>
                          <w:rFonts w:ascii="Times New Roman;Times;Serif" w:hAnsi="Times New Roman;Times;Serif"/>
                          <w:b/>
                          <w:color w:val="000000"/>
                          <w:sz w:val="17"/>
                        </w:rPr>
                        <w:t>Redemption of public shares and distribution and liquidation if no initial business combination</w:t>
                      </w:r>
                    </w:p>
                  </w:txbxContent>
                </v:textbox>
                <w10:wrap type="square" side="right"/>
              </v:rect>
            </w:pict>
          </mc:Fallback>
        </mc:AlternateContent>
      </w:r>
    </w:p>
    <w:p>
      <w:pPr>
        <w:pStyle w:val="TextBody"/>
        <w:spacing w:lineRule="atLeast" w:line="240"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 xml:space="preserve">Our initial shareholders have entered into a letter agreement with us, pursuant to which they have waived their rights to liquidating distributions from the trust account with respect to their founder shares if we fail to complete our initial business combination within 18 months from the closing of this offering. However, if our initial shareholders acquire public shares, they will be entitled to liquidating distributions from the trust account with respect to such public shares if we fail to complete our initial business combination within the allotted 18-month time frame. The underwriters have agreed to waive their rights to their deferred underwriting commission held in the trust account in the event we do not complete our initial business combination within the allotted time frame and, in such event, such amounts will be included with the funds held in the trust account that will be available to fund the redemption of our public shares. </w:t>
      </w:r>
    </w:p>
    <w:p>
      <w:pPr>
        <w:pStyle w:val="TextBody"/>
        <w:spacing w:lineRule="atLeast" w:line="240"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 xml:space="preserve">Our sponsor, officers and directors have agreed, pursuant to a written agreement with us, that they will not propose any amendment to our amended and </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25</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restated memorandum and articles of association (A) to modify the substance or timing of our obligation to redeem 100% of our public shares if we do not complete our initial business combination within 18 months from the closing of this offering or (B) with respect to any other provision relating to shareholders rights or pre-initial business combination activity, unless we provide our public shareholders with the opportunity to redeem their public shares upon approval of any such amendment at a per-share price, payable in cash, equal to the aggregate amount then on deposit in the trust account, including interest (which interest shall be net of taxes payable), divided by the number of then issued and outstanding public shares. However, we may not redeem our public shares in an amount that would cause our net tangible assets, after payment of the deferred underwriting commissions, to be less than $5,000,001 upon completion of our initial business combination (so that we do not then become subject to the SECs penny stock rules).</w:t>
      </w:r>
    </w:p>
    <w:p>
      <w:pPr>
        <w:pStyle w:val="TextBody"/>
        <w:spacing w:lineRule="atLeast" w:line="240"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There will be no finders fees, reimbursements or cash payments made by us to our sponsor, officers or directors, or our or any of their affiliates, for services rendered to us prior to or in connection with the completion of our initial business combination, other than the following payments, none of which will be made from the proceeds of this offering and the sale of the private placement warrants held in the trust account prior to the completion of our initial business combination:</w:t>
      </w:r>
      <w:r>
        <mc:AlternateContent>
          <mc:Choice Requires="wps">
            <w:drawing>
              <wp:anchor behindDoc="0" distT="76200" distB="0" distL="0" distR="0" simplePos="0" locked="0" layoutInCell="1" allowOverlap="1" relativeHeight="33">
                <wp:simplePos x="0" y="0"/>
                <wp:positionH relativeFrom="column">
                  <wp:align>left</wp:align>
                </wp:positionH>
                <wp:positionV relativeFrom="line">
                  <wp:align>top</wp:align>
                </wp:positionV>
                <wp:extent cx="2971800" cy="120650"/>
                <wp:effectExtent l="0" t="0" r="0" b="0"/>
                <wp:wrapSquare wrapText="largest"/>
                <wp:docPr id="32" name="Frame32"/>
                <a:graphic xmlns:a="http://schemas.openxmlformats.org/drawingml/2006/main">
                  <a:graphicData uri="http://schemas.microsoft.com/office/word/2010/wordprocessingShape">
                    <wps:wsp>
                      <wps:cNvSpPr txBox="1"/>
                      <wps:spPr>
                        <a:xfrm>
                          <a:off x="0" y="0"/>
                          <a:ext cx="2971800" cy="120650"/>
                        </a:xfrm>
                        <a:prstGeom prst="rect"/>
                      </wps:spPr>
                      <wps:txbx>
                        <w:txbxContent>
                          <w:p>
                            <w:pPr>
                              <w:pStyle w:val="TextBody"/>
                              <w:spacing w:before="0" w:after="283"/>
                              <w:jc w:val="left"/>
                              <w:rPr>
                                <w:rFonts w:ascii="Times New Roman;Times;Serif" w:hAnsi="Times New Roman;Times;Serif"/>
                                <w:b/>
                                <w:color w:val="000000"/>
                                <w:sz w:val="17"/>
                              </w:rPr>
                            </w:pPr>
                            <w:r>
                              <w:rPr>
                                <w:rFonts w:ascii="Times New Roman;Times;Serif" w:hAnsi="Times New Roman;Times;Serif"/>
                                <w:b/>
                                <w:color w:val="000000"/>
                                <w:sz w:val="17"/>
                              </w:rPr>
                              <w:t>Limited payments to insiders</w:t>
                            </w:r>
                          </w:p>
                        </w:txbxContent>
                      </wps:txbx>
                      <wps:bodyPr anchor="t" lIns="0" tIns="0" rIns="0" bIns="0">
                        <a:noAutofit/>
                      </wps:bodyPr>
                    </wps:wsp>
                  </a:graphicData>
                </a:graphic>
              </wp:anchor>
            </w:drawing>
          </mc:Choice>
          <mc:Fallback>
            <w:pict>
              <v:rect style="position:absolute;rotation:0;width:234pt;height:9.5pt;mso-wrap-distance-left:0pt;mso-wrap-distance-right:0pt;mso-wrap-distance-top:6pt;mso-wrap-distance-bottom:0pt;margin-top:6pt;mso-position-vertical:top;mso-position-vertical-relative:text;margin-left:0pt;mso-position-horizontal:left;mso-position-horizontal-relative:text">
                <v:textbox inset="0in,0in,0in,0in">
                  <w:txbxContent>
                    <w:p>
                      <w:pPr>
                        <w:pStyle w:val="TextBody"/>
                        <w:spacing w:before="0" w:after="283"/>
                        <w:jc w:val="left"/>
                        <w:rPr>
                          <w:rFonts w:ascii="Times New Roman;Times;Serif" w:hAnsi="Times New Roman;Times;Serif"/>
                          <w:b/>
                          <w:color w:val="000000"/>
                          <w:sz w:val="17"/>
                        </w:rPr>
                      </w:pPr>
                      <w:r>
                        <w:rPr>
                          <w:rFonts w:ascii="Times New Roman;Times;Serif" w:hAnsi="Times New Roman;Times;Serif"/>
                          <w:b/>
                          <w:color w:val="000000"/>
                          <w:sz w:val="17"/>
                        </w:rPr>
                        <w:t>Limited payments to insiders</w:t>
                      </w:r>
                    </w:p>
                  </w:txbxContent>
                </v:textbox>
                <w10:wrap type="square" side="right"/>
              </v:rect>
            </w:pict>
          </mc:Fallback>
        </mc:AlternateContent>
      </w:r>
    </w:p>
    <w:tbl>
      <w:tblPr>
        <w:tblW w:w="5000" w:type="pct"/>
        <w:jc w:val="left"/>
        <w:tblInd w:w="0" w:type="dxa"/>
        <w:tblCellMar>
          <w:top w:w="0" w:type="dxa"/>
          <w:left w:w="0" w:type="dxa"/>
          <w:bottom w:w="0" w:type="dxa"/>
          <w:right w:w="0" w:type="dxa"/>
        </w:tblCellMar>
      </w:tblPr>
      <w:tblGrid>
        <w:gridCol w:w="2277"/>
        <w:gridCol w:w="241"/>
        <w:gridCol w:w="7687"/>
      </w:tblGrid>
      <w:tr>
        <w:trPr/>
        <w:tc>
          <w:tcPr>
            <w:tcW w:w="2277"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jc w:val="left"/>
              <w:rPr>
                <w:color w:val="000000"/>
              </w:rPr>
            </w:pPr>
            <w:r>
              <w:rPr>
                <w:color w:val="000000"/>
              </w:rPr>
              <w:t>•</w:t>
            </w:r>
          </w:p>
        </w:tc>
        <w:tc>
          <w:tcPr>
            <w:tcW w:w="7687"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 xml:space="preserve">repayment of an aggregate of up to $250,000 in loans that may be made to us by our sponsor to cover offering-related and organizational expenses (as of June 30, 2019, we had borrowed $68,625 from our sponsor); </w:t>
            </w:r>
          </w:p>
        </w:tc>
      </w:tr>
    </w:tbl>
    <w:tbl>
      <w:tblPr>
        <w:tblW w:w="5000" w:type="pct"/>
        <w:jc w:val="left"/>
        <w:tblInd w:w="0" w:type="dxa"/>
        <w:tblCellMar>
          <w:top w:w="0" w:type="dxa"/>
          <w:left w:w="0" w:type="dxa"/>
          <w:bottom w:w="0" w:type="dxa"/>
          <w:right w:w="0" w:type="dxa"/>
        </w:tblCellMar>
      </w:tblPr>
      <w:tblGrid>
        <w:gridCol w:w="3839"/>
        <w:gridCol w:w="332"/>
        <w:gridCol w:w="6034"/>
      </w:tblGrid>
      <w:tr>
        <w:trPr/>
        <w:tc>
          <w:tcPr>
            <w:tcW w:w="383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jc w:val="left"/>
              <w:rPr>
                <w:color w:val="000000"/>
              </w:rPr>
            </w:pPr>
            <w:r>
              <w:rPr>
                <w:color w:val="000000"/>
              </w:rPr>
              <w:t>•</w:t>
            </w:r>
          </w:p>
        </w:tc>
        <w:tc>
          <w:tcPr>
            <w:tcW w:w="6034"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 xml:space="preserve">payment to our sponsor of up to $20,000 per month for office space, administrative and support services; </w:t>
            </w:r>
          </w:p>
        </w:tc>
      </w:tr>
    </w:tbl>
    <w:tbl>
      <w:tblPr>
        <w:tblW w:w="5000" w:type="pct"/>
        <w:jc w:val="left"/>
        <w:tblInd w:w="0" w:type="dxa"/>
        <w:tblCellMar>
          <w:top w:w="0" w:type="dxa"/>
          <w:left w:w="0" w:type="dxa"/>
          <w:bottom w:w="0" w:type="dxa"/>
          <w:right w:w="0" w:type="dxa"/>
        </w:tblCellMar>
      </w:tblPr>
      <w:tblGrid>
        <w:gridCol w:w="3241"/>
        <w:gridCol w:w="297"/>
        <w:gridCol w:w="6667"/>
      </w:tblGrid>
      <w:tr>
        <w:trPr/>
        <w:tc>
          <w:tcPr>
            <w:tcW w:w="3241"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jc w:val="left"/>
              <w:rPr>
                <w:color w:val="000000"/>
              </w:rPr>
            </w:pPr>
            <w:r>
              <w:rPr>
                <w:color w:val="000000"/>
              </w:rPr>
              <w:t>•</w:t>
            </w:r>
          </w:p>
        </w:tc>
        <w:tc>
          <w:tcPr>
            <w:tcW w:w="6667"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reimbursement for any out-of-pocket expenses related to identifying, investigating and completing an initial business combination; and</w:t>
            </w:r>
          </w:p>
        </w:tc>
      </w:tr>
    </w:tbl>
    <w:tbl>
      <w:tblPr>
        <w:tblW w:w="5000" w:type="pct"/>
        <w:jc w:val="left"/>
        <w:tblInd w:w="0" w:type="dxa"/>
        <w:tblCellMar>
          <w:top w:w="0" w:type="dxa"/>
          <w:left w:w="0" w:type="dxa"/>
          <w:bottom w:w="0" w:type="dxa"/>
          <w:right w:w="0" w:type="dxa"/>
        </w:tblCellMar>
      </w:tblPr>
      <w:tblGrid>
        <w:gridCol w:w="1066"/>
        <w:gridCol w:w="170"/>
        <w:gridCol w:w="8969"/>
      </w:tblGrid>
      <w:tr>
        <w:trPr/>
        <w:tc>
          <w:tcPr>
            <w:tcW w:w="1066"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color w:val="000000"/>
              </w:rPr>
            </w:pPr>
            <w:r>
              <w:rPr>
                <w:color w:val="000000"/>
              </w:rPr>
              <w:t>•</w:t>
            </w:r>
          </w:p>
        </w:tc>
        <w:tc>
          <w:tcPr>
            <w:tcW w:w="8969"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 xml:space="preserve">repayment of loans which may be made by our sponsor or an affiliate of our sponsor or certain of our officers and directors to finance transaction costs in connection with an intended initial business combination, the terms of which have not been determined nor have any written agreements been executed with respect thereto. Up to $1,500,000 of such loans may be convertible into warrants at a price of $1.00 per warrant at the option of the lender. These payments may be funded using the net proceeds of this offering and the sale of the private </w:t>
            </w:r>
          </w:p>
        </w:tc>
      </w:tr>
    </w:tbl>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26</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placement warrants not held in the trust account or, upon completion of the initial business combination, from any amounts remaining from the proceeds of the trust account released to us in connection therewith.</w:t>
      </w:r>
    </w:p>
    <w:p>
      <w:pPr>
        <w:pStyle w:val="TextBody"/>
        <w:spacing w:lineRule="atLeast" w:line="240"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Prior to the effectiveness of this registration statement, we will have established and will maintain an audit committee to, among other things, monitor compliance with the terms described above and the other terms relating to this offering. Our audit committee will also review on a quarterly basis all payments that were made to our sponsor, officers or directors, or our or any of their affiliates. If any noncompliance is identified, then the audit committee will be charged with the responsibility to immediately take all action necessary to rectify such noncompliance or otherwise to cause compliance with the terms of this offering. For more information, see the section entitled Management—Committees of the Board of Directors—Audit Committee.</w:t>
      </w:r>
      <w:r>
        <mc:AlternateContent>
          <mc:Choice Requires="wps">
            <w:drawing>
              <wp:anchor behindDoc="0" distT="76200" distB="0" distL="0" distR="0" simplePos="0" locked="0" layoutInCell="1" allowOverlap="1" relativeHeight="34">
                <wp:simplePos x="0" y="0"/>
                <wp:positionH relativeFrom="column">
                  <wp:align>left</wp:align>
                </wp:positionH>
                <wp:positionV relativeFrom="line">
                  <wp:align>top</wp:align>
                </wp:positionV>
                <wp:extent cx="2971800" cy="120650"/>
                <wp:effectExtent l="0" t="0" r="0" b="0"/>
                <wp:wrapSquare wrapText="largest"/>
                <wp:docPr id="33" name="Frame33"/>
                <a:graphic xmlns:a="http://schemas.openxmlformats.org/drawingml/2006/main">
                  <a:graphicData uri="http://schemas.microsoft.com/office/word/2010/wordprocessingShape">
                    <wps:wsp>
                      <wps:cNvSpPr txBox="1"/>
                      <wps:spPr>
                        <a:xfrm>
                          <a:off x="0" y="0"/>
                          <a:ext cx="2971800" cy="120650"/>
                        </a:xfrm>
                        <a:prstGeom prst="rect"/>
                      </wps:spPr>
                      <wps:txbx>
                        <w:txbxContent>
                          <w:p>
                            <w:pPr>
                              <w:pStyle w:val="TextBody"/>
                              <w:spacing w:before="0" w:after="283"/>
                              <w:jc w:val="left"/>
                              <w:rPr>
                                <w:rFonts w:ascii="Times New Roman;Times;Serif" w:hAnsi="Times New Roman;Times;Serif"/>
                                <w:b/>
                                <w:color w:val="000000"/>
                                <w:sz w:val="17"/>
                              </w:rPr>
                            </w:pPr>
                            <w:r>
                              <w:rPr>
                                <w:rFonts w:ascii="Times New Roman;Times;Serif" w:hAnsi="Times New Roman;Times;Serif"/>
                                <w:b/>
                                <w:color w:val="000000"/>
                                <w:sz w:val="17"/>
                              </w:rPr>
                              <w:t xml:space="preserve">Audit committee </w:t>
                            </w:r>
                          </w:p>
                        </w:txbxContent>
                      </wps:txbx>
                      <wps:bodyPr anchor="t" lIns="0" tIns="0" rIns="0" bIns="0">
                        <a:noAutofit/>
                      </wps:bodyPr>
                    </wps:wsp>
                  </a:graphicData>
                </a:graphic>
              </wp:anchor>
            </w:drawing>
          </mc:Choice>
          <mc:Fallback>
            <w:pict>
              <v:rect style="position:absolute;rotation:0;width:234pt;height:9.5pt;mso-wrap-distance-left:0pt;mso-wrap-distance-right:0pt;mso-wrap-distance-top:6pt;mso-wrap-distance-bottom:0pt;margin-top:6pt;mso-position-vertical:top;mso-position-vertical-relative:text;margin-left:0pt;mso-position-horizontal:left;mso-position-horizontal-relative:text">
                <v:textbox inset="0in,0in,0in,0in">
                  <w:txbxContent>
                    <w:p>
                      <w:pPr>
                        <w:pStyle w:val="TextBody"/>
                        <w:spacing w:before="0" w:after="283"/>
                        <w:jc w:val="left"/>
                        <w:rPr>
                          <w:rFonts w:ascii="Times New Roman;Times;Serif" w:hAnsi="Times New Roman;Times;Serif"/>
                          <w:b/>
                          <w:color w:val="000000"/>
                          <w:sz w:val="17"/>
                        </w:rPr>
                      </w:pPr>
                      <w:r>
                        <w:rPr>
                          <w:rFonts w:ascii="Times New Roman;Times;Serif" w:hAnsi="Times New Roman;Times;Serif"/>
                          <w:b/>
                          <w:color w:val="000000"/>
                          <w:sz w:val="17"/>
                        </w:rPr>
                        <w:t xml:space="preserve">Audit committee </w:t>
                      </w:r>
                    </w:p>
                  </w:txbxContent>
                </v:textbox>
                <w10:wrap type="square" side="right"/>
              </v:rect>
            </w:pict>
          </mc:Fallback>
        </mc:AlternateContent>
      </w:r>
    </w:p>
    <w:p>
      <w:pPr>
        <w:pStyle w:val="TextBody"/>
        <w:spacing w:lineRule="atLeast" w:line="240"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Certain of our officers and directors presently have, and any of them in the future may have, additional, fiduciary or contractual obligations to other entities pursuant to which such officer or director is or will be required to present a business combination opportunity to such entity. Accordingly, if any of our officers or directors becomes aware of a business combination opportunity that is suitable for an entity to which he or she has then-current fiduciary or contractual obligations, he or she may need to honor these fiduciary or contractual obligations to present such business combination opportunity to such entity, subject to their fiduciary duties under Cayman Islands law. We do not believe, however, that the fiduciary duties or contractual obligations of our officers or directors will materially affect our ability to complete our initial business combination.</w:t>
      </w:r>
      <w:r>
        <mc:AlternateContent>
          <mc:Choice Requires="wps">
            <w:drawing>
              <wp:anchor behindDoc="0" distT="76200" distB="0" distL="0" distR="0" simplePos="0" locked="0" layoutInCell="1" allowOverlap="1" relativeHeight="35">
                <wp:simplePos x="0" y="0"/>
                <wp:positionH relativeFrom="column">
                  <wp:align>left</wp:align>
                </wp:positionH>
                <wp:positionV relativeFrom="line">
                  <wp:align>top</wp:align>
                </wp:positionV>
                <wp:extent cx="2971800" cy="120650"/>
                <wp:effectExtent l="0" t="0" r="0" b="0"/>
                <wp:wrapSquare wrapText="largest"/>
                <wp:docPr id="34" name="Frame34"/>
                <a:graphic xmlns:a="http://schemas.openxmlformats.org/drawingml/2006/main">
                  <a:graphicData uri="http://schemas.microsoft.com/office/word/2010/wordprocessingShape">
                    <wps:wsp>
                      <wps:cNvSpPr txBox="1"/>
                      <wps:spPr>
                        <a:xfrm>
                          <a:off x="0" y="0"/>
                          <a:ext cx="2971800" cy="120650"/>
                        </a:xfrm>
                        <a:prstGeom prst="rect"/>
                      </wps:spPr>
                      <wps:txbx>
                        <w:txbxContent>
                          <w:p>
                            <w:pPr>
                              <w:pStyle w:val="TextBody"/>
                              <w:spacing w:before="0" w:after="283"/>
                              <w:jc w:val="left"/>
                              <w:rPr>
                                <w:rFonts w:ascii="Times New Roman;Times;Serif" w:hAnsi="Times New Roman;Times;Serif"/>
                                <w:b/>
                                <w:color w:val="000000"/>
                                <w:sz w:val="17"/>
                              </w:rPr>
                            </w:pPr>
                            <w:r>
                              <w:rPr>
                                <w:rFonts w:ascii="Times New Roman;Times;Serif" w:hAnsi="Times New Roman;Times;Serif"/>
                                <w:b/>
                                <w:color w:val="000000"/>
                                <w:sz w:val="17"/>
                              </w:rPr>
                              <w:t>Conflicts of interest</w:t>
                            </w:r>
                          </w:p>
                        </w:txbxContent>
                      </wps:txbx>
                      <wps:bodyPr anchor="t" lIns="0" tIns="0" rIns="0" bIns="0">
                        <a:noAutofit/>
                      </wps:bodyPr>
                    </wps:wsp>
                  </a:graphicData>
                </a:graphic>
              </wp:anchor>
            </w:drawing>
          </mc:Choice>
          <mc:Fallback>
            <w:pict>
              <v:rect style="position:absolute;rotation:0;width:234pt;height:9.5pt;mso-wrap-distance-left:0pt;mso-wrap-distance-right:0pt;mso-wrap-distance-top:6pt;mso-wrap-distance-bottom:0pt;margin-top:6pt;mso-position-vertical:top;mso-position-vertical-relative:text;margin-left:0pt;mso-position-horizontal:left;mso-position-horizontal-relative:text">
                <v:textbox inset="0in,0in,0in,0in">
                  <w:txbxContent>
                    <w:p>
                      <w:pPr>
                        <w:pStyle w:val="TextBody"/>
                        <w:spacing w:before="0" w:after="283"/>
                        <w:jc w:val="left"/>
                        <w:rPr>
                          <w:rFonts w:ascii="Times New Roman;Times;Serif" w:hAnsi="Times New Roman;Times;Serif"/>
                          <w:b/>
                          <w:color w:val="000000"/>
                          <w:sz w:val="17"/>
                        </w:rPr>
                      </w:pPr>
                      <w:r>
                        <w:rPr>
                          <w:rFonts w:ascii="Times New Roman;Times;Serif" w:hAnsi="Times New Roman;Times;Serif"/>
                          <w:b/>
                          <w:color w:val="000000"/>
                          <w:sz w:val="17"/>
                        </w:rPr>
                        <w:t>Conflicts of interest</w:t>
                      </w:r>
                    </w:p>
                  </w:txbxContent>
                </v:textbox>
                <w10:wrap type="square" side="right"/>
              </v:rect>
            </w:pict>
          </mc:Fallback>
        </mc:AlternateContent>
      </w:r>
    </w:p>
    <w:p>
      <w:pPr>
        <w:pStyle w:val="TextBody"/>
        <w:spacing w:lineRule="atLeast" w:line="240" w:before="120" w:after="283"/>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 xml:space="preserve">Our sponsor has agreed that it will be liable to us if and to the extent any claims by a third party (other than our independent auditors) for services rendered or products sold to us, or a prospective target business with which we have discussed entering into a transaction agreement, reduce the amount of funds in the trust account to below (1) $10.00 per public share or (2) such lesser amount per public share held in the trust account as of the date of the liquidation of the trust account due to reductions in the value of the trust assets, in each case net of the interest which may be withdrawn to pay taxes, except as to any claims by a third party who executed a waiver of any and all rights to seek access to the trust account and except as to any claims under our indemnity of the underwriters of this offering against certain liabilities, including liabilities under the Securities Act. Moreover, in the event that </w:t>
      </w:r>
      <w:r>
        <mc:AlternateContent>
          <mc:Choice Requires="wps">
            <w:drawing>
              <wp:anchor behindDoc="0" distT="76200" distB="0" distL="0" distR="0" simplePos="0" locked="0" layoutInCell="1" allowOverlap="1" relativeHeight="36">
                <wp:simplePos x="0" y="0"/>
                <wp:positionH relativeFrom="column">
                  <wp:align>left</wp:align>
                </wp:positionH>
                <wp:positionV relativeFrom="line">
                  <wp:align>top</wp:align>
                </wp:positionV>
                <wp:extent cx="2971800" cy="120650"/>
                <wp:effectExtent l="0" t="0" r="0" b="0"/>
                <wp:wrapSquare wrapText="largest"/>
                <wp:docPr id="35" name="Frame35"/>
                <a:graphic xmlns:a="http://schemas.openxmlformats.org/drawingml/2006/main">
                  <a:graphicData uri="http://schemas.microsoft.com/office/word/2010/wordprocessingShape">
                    <wps:wsp>
                      <wps:cNvSpPr txBox="1"/>
                      <wps:spPr>
                        <a:xfrm>
                          <a:off x="0" y="0"/>
                          <a:ext cx="2971800" cy="120650"/>
                        </a:xfrm>
                        <a:prstGeom prst="rect"/>
                      </wps:spPr>
                      <wps:txbx>
                        <w:txbxContent>
                          <w:p>
                            <w:pPr>
                              <w:pStyle w:val="TextBody"/>
                              <w:spacing w:before="0" w:after="283"/>
                              <w:jc w:val="left"/>
                              <w:rPr>
                                <w:rFonts w:ascii="Times New Roman;Times;Serif" w:hAnsi="Times New Roman;Times;Serif"/>
                                <w:b/>
                                <w:color w:val="000000"/>
                                <w:sz w:val="17"/>
                              </w:rPr>
                            </w:pPr>
                            <w:r>
                              <w:rPr>
                                <w:rFonts w:ascii="Times New Roman;Times;Serif" w:hAnsi="Times New Roman;Times;Serif"/>
                                <w:b/>
                                <w:color w:val="000000"/>
                                <w:sz w:val="17"/>
                              </w:rPr>
                              <w:t>Indemnity</w:t>
                            </w:r>
                          </w:p>
                        </w:txbxContent>
                      </wps:txbx>
                      <wps:bodyPr anchor="t" lIns="0" tIns="0" rIns="0" bIns="0">
                        <a:noAutofit/>
                      </wps:bodyPr>
                    </wps:wsp>
                  </a:graphicData>
                </a:graphic>
              </wp:anchor>
            </w:drawing>
          </mc:Choice>
          <mc:Fallback>
            <w:pict>
              <v:rect style="position:absolute;rotation:0;width:234pt;height:9.5pt;mso-wrap-distance-left:0pt;mso-wrap-distance-right:0pt;mso-wrap-distance-top:6pt;mso-wrap-distance-bottom:0pt;margin-top:6pt;mso-position-vertical:top;mso-position-vertical-relative:text;margin-left:0pt;mso-position-horizontal:left;mso-position-horizontal-relative:text">
                <v:textbox inset="0in,0in,0in,0in">
                  <w:txbxContent>
                    <w:p>
                      <w:pPr>
                        <w:pStyle w:val="TextBody"/>
                        <w:spacing w:before="0" w:after="283"/>
                        <w:jc w:val="left"/>
                        <w:rPr>
                          <w:rFonts w:ascii="Times New Roman;Times;Serif" w:hAnsi="Times New Roman;Times;Serif"/>
                          <w:b/>
                          <w:color w:val="000000"/>
                          <w:sz w:val="17"/>
                        </w:rPr>
                      </w:pPr>
                      <w:r>
                        <w:rPr>
                          <w:rFonts w:ascii="Times New Roman;Times;Serif" w:hAnsi="Times New Roman;Times;Serif"/>
                          <w:b/>
                          <w:color w:val="000000"/>
                          <w:sz w:val="17"/>
                        </w:rPr>
                        <w:t>Indemnity</w:t>
                      </w:r>
                    </w:p>
                  </w:txbxContent>
                </v:textbox>
                <w10:wrap type="square" side="right"/>
              </v:rect>
            </w:pict>
          </mc:Fallback>
        </mc:AlternateConten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27</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an executed waiver is deemed to be unenforceable against a third party, our sponsor will not be responsible to the extent of any liability for such third-party claims. We have not independently verified whether our sponsor has sufficient funds to satisfy its indemnity obligations and believe that our sponsors only assets are securities of our company and, therefore, our sponsor may not be able to satisfy those obligations. We have not asked our sponsor to reserve for such obligations.</w:t>
      </w:r>
    </w:p>
    <w:p>
      <w:pPr>
        <w:pStyle w:val="TextBody"/>
        <w:spacing w:before="120" w:after="0"/>
        <w:ind w:left="0" w:right="0" w:hanging="0"/>
        <w:jc w:val="left"/>
        <w:rPr>
          <w:rFonts w:ascii="Times New Roman;Times;Serif" w:hAnsi="Times New Roman;Times;Serif"/>
          <w:b/>
          <w:color w:val="000000"/>
          <w:sz w:val="17"/>
          <w:bdr w:val="single" w:sz="8" w:space="1" w:color="000000"/>
        </w:rPr>
      </w:pPr>
      <w:r>
        <w:rPr>
          <w:rFonts w:ascii="Times New Roman;Times;Serif" w:hAnsi="Times New Roman;Times;Serif"/>
          <w:b/>
          <w:color w:val="000000"/>
          <w:sz w:val="17"/>
          <w:bdr w:val="single" w:sz="8" w:space="1" w:color="000000"/>
        </w:rPr>
        <w:t>Risks</w:t>
      </w:r>
    </w:p>
    <w:p>
      <w:pPr>
        <w:pStyle w:val="TextBody"/>
        <w:spacing w:lineRule="atLeast" w:line="240"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We are a newly incorporated company that has conducted no operations and has generated no revenues. Until we complete our initial business combination, we will have no operations and will generate no operating revenues. In making your decision whether to invest in our securities, you should take into account not only the background of our management team, but also the special risks we face as a blank check company. This offering is not being conducted in compliance with Rule 419 promulgated under the Securities Act. Accordingly, you will not be entitled to protections normally afforded to investors in Rule 419 blank check offerings. For additional information concerning how Rule 419 blank check offerings differ from this offering, please see Proposed Business—Comparison of This Offering to Those of Blank Check Companies Subject to Rule 419. You should carefully consider these and the other risks set forth in the section of this prospectus entitled Risk Factors.</w:t>
      </w:r>
    </w:p>
    <w:p>
      <w:pPr>
        <w:pStyle w:val="TextBody"/>
        <w:spacing w:before="240" w:after="0"/>
        <w:ind w:left="0" w:right="0" w:hanging="0"/>
        <w:jc w:val="left"/>
        <w:rPr>
          <w:rFonts w:ascii="Times New Roman;Times;Serif" w:hAnsi="Times New Roman;Times;Serif"/>
          <w:b/>
          <w:color w:val="000000"/>
          <w:sz w:val="17"/>
          <w:bdr w:val="single" w:sz="8" w:space="1" w:color="000000"/>
        </w:rPr>
      </w:pPr>
      <w:r>
        <w:rPr>
          <w:rFonts w:ascii="Times New Roman;Times;Serif" w:hAnsi="Times New Roman;Times;Serif"/>
          <w:b/>
          <w:color w:val="000000"/>
          <w:sz w:val="17"/>
          <w:bdr w:val="single" w:sz="8" w:space="1" w:color="000000"/>
        </w:rPr>
        <w:t>Summary Financial Data</w:t>
      </w:r>
    </w:p>
    <w:p>
      <w:pPr>
        <w:pStyle w:val="TextBody"/>
        <w:spacing w:lineRule="atLeast" w:line="240"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The following table summarizes the relevant financial data for our business and should be read with our financial statements, which are included in this prospectus. We have not had any significant operations to date, so only balance sheet data is presented.</w:t>
      </w:r>
    </w:p>
    <w:tbl>
      <w:tblPr>
        <w:tblW w:w="5000" w:type="pct"/>
        <w:jc w:val="center"/>
        <w:tblInd w:w="0" w:type="dxa"/>
        <w:tblCellMar>
          <w:top w:w="0" w:type="dxa"/>
          <w:left w:w="0" w:type="dxa"/>
          <w:bottom w:w="0" w:type="dxa"/>
          <w:right w:w="0" w:type="dxa"/>
        </w:tblCellMar>
      </w:tblPr>
      <w:tblGrid>
        <w:gridCol w:w="6999"/>
        <w:gridCol w:w="292"/>
        <w:gridCol w:w="1007"/>
        <w:gridCol w:w="241"/>
        <w:gridCol w:w="292"/>
        <w:gridCol w:w="1148"/>
        <w:gridCol w:w="226"/>
      </w:tblGrid>
      <w:tr>
        <w:trPr/>
        <w:tc>
          <w:tcPr>
            <w:tcW w:w="6999" w:type="dxa"/>
            <w:tcBorders/>
            <w:shd w:fill="auto" w:val="clear"/>
            <w:vAlign w:val="bottom"/>
          </w:tcPr>
          <w:p>
            <w:pPr>
              <w:pStyle w:val="TableContents"/>
              <w:spacing w:before="0" w:after="0"/>
              <w:ind w:left="0" w:right="0" w:firstLine="90"/>
              <w:jc w:val="left"/>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Balance Sheet Data:</w:t>
            </w:r>
          </w:p>
        </w:tc>
        <w:tc>
          <w:tcPr>
            <w:tcW w:w="1540" w:type="dxa"/>
            <w:gridSpan w:val="3"/>
            <w:tcBorders/>
            <w:shd w:fill="auto" w:val="clear"/>
            <w:vAlign w:val="bottom"/>
          </w:tcPr>
          <w:p>
            <w:pPr>
              <w:pStyle w:val="TableContents"/>
              <w:spacing w:before="0" w:after="0"/>
              <w:ind w:left="0" w:right="0" w:firstLine="9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As of</w:t>
              <w:br/>
              <w:t>June 11,</w:t>
              <w:br/>
              <w:t>2019</w:t>
            </w:r>
          </w:p>
        </w:tc>
        <w:tc>
          <w:tcPr>
            <w:tcW w:w="1666" w:type="dxa"/>
            <w:gridSpan w:val="3"/>
            <w:tcBorders/>
            <w:shd w:fill="auto" w:val="clear"/>
            <w:vAlign w:val="bottom"/>
          </w:tcPr>
          <w:p>
            <w:pPr>
              <w:pStyle w:val="TableContents"/>
              <w:spacing w:before="0" w:after="0"/>
              <w:ind w:left="0" w:right="0" w:hanging="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As of</w:t>
              <w:br/>
              <w:t>June 30,</w:t>
              <w:br/>
              <w:t xml:space="preserve">2019 </w:t>
            </w:r>
          </w:p>
        </w:tc>
      </w:tr>
      <w:tr>
        <w:trPr/>
        <w:tc>
          <w:tcPr>
            <w:tcW w:w="6999" w:type="dxa"/>
            <w:tcBorders/>
            <w:shd w:fill="CCEEFF"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Working capital (deficiency)</w:t>
            </w:r>
          </w:p>
        </w:tc>
        <w:tc>
          <w:tcPr>
            <w:tcW w:w="292"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w:t>
            </w:r>
          </w:p>
        </w:tc>
        <w:tc>
          <w:tcPr>
            <w:tcW w:w="1007"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(12,500</w:t>
            </w:r>
          </w:p>
        </w:tc>
        <w:tc>
          <w:tcPr>
            <w:tcW w:w="241" w:type="dxa"/>
            <w:tcBorders/>
            <w:shd w:fill="CCEEFF"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w:t>
            </w:r>
          </w:p>
        </w:tc>
        <w:tc>
          <w:tcPr>
            <w:tcW w:w="292"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w:t>
            </w:r>
          </w:p>
        </w:tc>
        <w:tc>
          <w:tcPr>
            <w:tcW w:w="1148"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(295,281</w:t>
            </w:r>
          </w:p>
        </w:tc>
        <w:tc>
          <w:tcPr>
            <w:tcW w:w="226" w:type="dxa"/>
            <w:tcBorders/>
            <w:shd w:fill="CCEEFF" w:val="clear"/>
            <w:vAlign w:val="bottom"/>
          </w:tcPr>
          <w:p>
            <w:pPr>
              <w:pStyle w:val="TableContents"/>
              <w:spacing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p>
        </w:tc>
      </w:tr>
      <w:tr>
        <w:trPr/>
        <w:tc>
          <w:tcPr>
            <w:tcW w:w="6999" w:type="dxa"/>
            <w:tcBorders/>
            <w:shd w:fill="auto"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Total assets</w:t>
            </w:r>
          </w:p>
        </w:tc>
        <w:tc>
          <w:tcPr>
            <w:tcW w:w="292" w:type="dxa"/>
            <w:tcBorders/>
            <w:shd w:fill="auto" w:val="clear"/>
            <w:vAlign w:val="bottom"/>
          </w:tcPr>
          <w:p>
            <w:pPr>
              <w:pStyle w:val="TableContents"/>
              <w:spacing w:before="0" w:after="0"/>
              <w:ind w:left="0" w:right="0" w:hanging="0"/>
              <w:jc w:val="right"/>
              <w:rPr>
                <w:color w:val="000000"/>
              </w:rPr>
            </w:pPr>
            <w:r>
              <w:rPr>
                <w:color w:val="000000"/>
              </w:rPr>
              <w:t> </w:t>
            </w:r>
          </w:p>
        </w:tc>
        <w:tc>
          <w:tcPr>
            <w:tcW w:w="1007"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32,500</w:t>
            </w:r>
          </w:p>
        </w:tc>
        <w:tc>
          <w:tcPr>
            <w:tcW w:w="241" w:type="dxa"/>
            <w:tcBorders/>
            <w:shd w:fill="auto" w:val="clear"/>
            <w:vAlign w:val="bottom"/>
          </w:tcPr>
          <w:p>
            <w:pPr>
              <w:pStyle w:val="TableContents"/>
              <w:spacing w:before="0" w:after="0"/>
              <w:ind w:left="0" w:right="0" w:firstLine="75"/>
              <w:jc w:val="left"/>
              <w:rPr>
                <w:color w:val="000000"/>
              </w:rPr>
            </w:pPr>
            <w:r>
              <w:rPr>
                <w:color w:val="000000"/>
              </w:rPr>
              <w:t> </w:t>
            </w:r>
          </w:p>
        </w:tc>
        <w:tc>
          <w:tcPr>
            <w:tcW w:w="292" w:type="dxa"/>
            <w:tcBorders/>
            <w:shd w:fill="auto" w:val="clear"/>
            <w:vAlign w:val="bottom"/>
          </w:tcPr>
          <w:p>
            <w:pPr>
              <w:pStyle w:val="TableContents"/>
              <w:spacing w:before="0" w:after="0"/>
              <w:ind w:left="0" w:right="0" w:hanging="0"/>
              <w:jc w:val="right"/>
              <w:rPr>
                <w:color w:val="000000"/>
              </w:rPr>
            </w:pPr>
            <w:r>
              <w:rPr>
                <w:color w:val="000000"/>
              </w:rPr>
              <w:t> </w:t>
            </w:r>
          </w:p>
        </w:tc>
        <w:tc>
          <w:tcPr>
            <w:tcW w:w="1148"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315,281</w:t>
            </w:r>
          </w:p>
        </w:tc>
        <w:tc>
          <w:tcPr>
            <w:tcW w:w="226" w:type="dxa"/>
            <w:tcBorders/>
            <w:shd w:fill="auto" w:val="clear"/>
            <w:vAlign w:val="bottom"/>
          </w:tcPr>
          <w:p>
            <w:pPr>
              <w:pStyle w:val="TableContents"/>
              <w:spacing w:before="0" w:after="0"/>
              <w:ind w:left="0" w:right="0" w:hanging="0"/>
              <w:jc w:val="left"/>
              <w:rPr>
                <w:color w:val="000000"/>
              </w:rPr>
            </w:pPr>
            <w:r>
              <w:rPr>
                <w:color w:val="000000"/>
              </w:rPr>
              <w:t> </w:t>
            </w:r>
          </w:p>
        </w:tc>
      </w:tr>
      <w:tr>
        <w:trPr/>
        <w:tc>
          <w:tcPr>
            <w:tcW w:w="6999" w:type="dxa"/>
            <w:tcBorders/>
            <w:shd w:fill="CCEEFF"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Total liabilities</w:t>
            </w:r>
          </w:p>
        </w:tc>
        <w:tc>
          <w:tcPr>
            <w:tcW w:w="292" w:type="dxa"/>
            <w:tcBorders/>
            <w:shd w:fill="CCEEFF" w:val="clear"/>
            <w:vAlign w:val="bottom"/>
          </w:tcPr>
          <w:p>
            <w:pPr>
              <w:pStyle w:val="TableContents"/>
              <w:spacing w:before="0" w:after="0"/>
              <w:ind w:left="0" w:right="0" w:hanging="0"/>
              <w:jc w:val="right"/>
              <w:rPr>
                <w:color w:val="000000"/>
              </w:rPr>
            </w:pPr>
            <w:r>
              <w:rPr>
                <w:color w:val="000000"/>
              </w:rPr>
              <w:t> </w:t>
            </w:r>
          </w:p>
        </w:tc>
        <w:tc>
          <w:tcPr>
            <w:tcW w:w="1007"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12,500</w:t>
            </w:r>
          </w:p>
        </w:tc>
        <w:tc>
          <w:tcPr>
            <w:tcW w:w="241" w:type="dxa"/>
            <w:tcBorders/>
            <w:shd w:fill="CCEEFF" w:val="clear"/>
            <w:vAlign w:val="bottom"/>
          </w:tcPr>
          <w:p>
            <w:pPr>
              <w:pStyle w:val="TableContents"/>
              <w:spacing w:before="0" w:after="0"/>
              <w:ind w:left="0" w:right="0" w:firstLine="75"/>
              <w:jc w:val="left"/>
              <w:rPr>
                <w:color w:val="000000"/>
              </w:rPr>
            </w:pPr>
            <w:r>
              <w:rPr>
                <w:color w:val="000000"/>
              </w:rPr>
              <w:t> </w:t>
            </w:r>
          </w:p>
        </w:tc>
        <w:tc>
          <w:tcPr>
            <w:tcW w:w="292" w:type="dxa"/>
            <w:tcBorders/>
            <w:shd w:fill="CCEEFF" w:val="clear"/>
            <w:vAlign w:val="bottom"/>
          </w:tcPr>
          <w:p>
            <w:pPr>
              <w:pStyle w:val="TableContents"/>
              <w:spacing w:before="0" w:after="0"/>
              <w:ind w:left="0" w:right="0" w:hanging="0"/>
              <w:jc w:val="right"/>
              <w:rPr>
                <w:color w:val="000000"/>
              </w:rPr>
            </w:pPr>
            <w:r>
              <w:rPr>
                <w:color w:val="000000"/>
              </w:rPr>
              <w:t> </w:t>
            </w:r>
          </w:p>
        </w:tc>
        <w:tc>
          <w:tcPr>
            <w:tcW w:w="1148"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295,281</w:t>
            </w:r>
          </w:p>
        </w:tc>
        <w:tc>
          <w:tcPr>
            <w:tcW w:w="226" w:type="dxa"/>
            <w:tcBorders/>
            <w:shd w:fill="CCEEFF" w:val="clear"/>
            <w:vAlign w:val="bottom"/>
          </w:tcPr>
          <w:p>
            <w:pPr>
              <w:pStyle w:val="TableContents"/>
              <w:spacing w:before="0" w:after="0"/>
              <w:ind w:left="0" w:right="0" w:hanging="0"/>
              <w:jc w:val="left"/>
              <w:rPr>
                <w:color w:val="000000"/>
              </w:rPr>
            </w:pPr>
            <w:r>
              <w:rPr>
                <w:color w:val="000000"/>
              </w:rPr>
              <w:t> </w:t>
            </w:r>
          </w:p>
        </w:tc>
      </w:tr>
      <w:tr>
        <w:trPr/>
        <w:tc>
          <w:tcPr>
            <w:tcW w:w="6999" w:type="dxa"/>
            <w:tcBorders/>
            <w:shd w:fill="auto"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Shareholder’s equity</w:t>
            </w:r>
          </w:p>
        </w:tc>
        <w:tc>
          <w:tcPr>
            <w:tcW w:w="292" w:type="dxa"/>
            <w:tcBorders/>
            <w:shd w:fill="auto" w:val="clear"/>
            <w:vAlign w:val="bottom"/>
          </w:tcPr>
          <w:p>
            <w:pPr>
              <w:pStyle w:val="TableContents"/>
              <w:spacing w:before="0" w:after="0"/>
              <w:ind w:left="0" w:right="0" w:hanging="0"/>
              <w:jc w:val="right"/>
              <w:rPr>
                <w:color w:val="000000"/>
              </w:rPr>
            </w:pPr>
            <w:r>
              <w:rPr>
                <w:color w:val="000000"/>
              </w:rPr>
              <w:t> </w:t>
            </w:r>
          </w:p>
        </w:tc>
        <w:tc>
          <w:tcPr>
            <w:tcW w:w="1007"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20,000</w:t>
            </w:r>
          </w:p>
        </w:tc>
        <w:tc>
          <w:tcPr>
            <w:tcW w:w="241" w:type="dxa"/>
            <w:tcBorders/>
            <w:shd w:fill="auto" w:val="clear"/>
            <w:vAlign w:val="bottom"/>
          </w:tcPr>
          <w:p>
            <w:pPr>
              <w:pStyle w:val="TableContents"/>
              <w:spacing w:before="0" w:after="0"/>
              <w:ind w:left="0" w:right="0" w:firstLine="75"/>
              <w:jc w:val="left"/>
              <w:rPr>
                <w:color w:val="000000"/>
              </w:rPr>
            </w:pPr>
            <w:r>
              <w:rPr>
                <w:color w:val="000000"/>
              </w:rPr>
              <w:t> </w:t>
            </w:r>
          </w:p>
        </w:tc>
        <w:tc>
          <w:tcPr>
            <w:tcW w:w="292" w:type="dxa"/>
            <w:tcBorders/>
            <w:shd w:fill="auto" w:val="clear"/>
            <w:vAlign w:val="bottom"/>
          </w:tcPr>
          <w:p>
            <w:pPr>
              <w:pStyle w:val="TableContents"/>
              <w:spacing w:before="0" w:after="0"/>
              <w:ind w:left="0" w:right="0" w:hanging="0"/>
              <w:jc w:val="right"/>
              <w:rPr>
                <w:color w:val="000000"/>
              </w:rPr>
            </w:pPr>
            <w:r>
              <w:rPr>
                <w:color w:val="000000"/>
              </w:rPr>
              <w:t> </w:t>
            </w:r>
          </w:p>
        </w:tc>
        <w:tc>
          <w:tcPr>
            <w:tcW w:w="1148"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20,000</w:t>
            </w:r>
          </w:p>
        </w:tc>
        <w:tc>
          <w:tcPr>
            <w:tcW w:w="226" w:type="dxa"/>
            <w:tcBorders/>
            <w:shd w:fill="auto" w:val="clear"/>
            <w:vAlign w:val="bottom"/>
          </w:tcPr>
          <w:p>
            <w:pPr>
              <w:pStyle w:val="TableContents"/>
              <w:spacing w:before="0" w:after="0"/>
              <w:jc w:val="left"/>
              <w:rPr>
                <w:color w:val="000000"/>
              </w:rPr>
            </w:pPr>
            <w:r>
              <w:rPr>
                <w:color w:val="000000"/>
              </w:rPr>
              <w:t> </w:t>
            </w:r>
          </w:p>
        </w:tc>
      </w:tr>
    </w:tbl>
    <w:p>
      <w:pPr>
        <w:pStyle w:val="TextBody"/>
        <w:spacing w:lineRule="atLeast" w:line="240" w:before="120" w:after="0"/>
        <w:ind w:left="0" w:right="0" w:hanging="0"/>
        <w:jc w:val="lef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If our initial business combination is not completed within 18 months from the closing of this offering, the proceeds then on deposit in the trust account, including interest (less up to $100,000 of interest to pay dissolution expenses and which interest shall be net of taxes payable), will be used to fund the redemption of our public shares. Our initial shareholders have entered into a letter agreement with us, pursuant to which they have agreed to waive their rights to liquidating distributions from the trust account with respect to their founder shares if we fail to complete our initial business combination within such 18-month time period.</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28</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before="240" w:after="0"/>
        <w:ind w:left="0" w:right="0" w:hanging="0"/>
        <w:jc w:val="center"/>
        <w:rPr>
          <w:rFonts w:ascii="Times New Roman;Times;Serif" w:hAnsi="Times New Roman;Times;Serif"/>
          <w:b/>
          <w:color w:val="000000"/>
          <w:sz w:val="17"/>
        </w:rPr>
      </w:pPr>
      <w:bookmarkStart w:id="6" w:name="tRF"/>
      <w:bookmarkEnd w:id="6"/>
      <w:r>
        <w:rPr>
          <w:rFonts w:ascii="Times New Roman;Times;Serif" w:hAnsi="Times New Roman;Times;Serif"/>
          <w:b/>
          <w:color w:val="000000"/>
          <w:sz w:val="17"/>
        </w:rPr>
        <w:t>RISK FACTORS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i/>
          <w:color w:val="000000"/>
          <w:sz w:val="17"/>
        </w:rPr>
        <w:t>An investment in our securities involves a high degree of risk. You should consider carefully all of the risks described below, together with the other information contained in this prospectus, before making a decision to invest in our units. If any of the following events occur, our business, financial condition and operating results may be materially adversely affected. In that event, the trading price of our securities could decline, and you could lose all or part of your investment.</w:t>
      </w:r>
      <w:r>
        <w:rPr>
          <w:rFonts w:ascii="Times New Roman;Times;Serif" w:hAnsi="Times New Roman;Times;Serif"/>
          <w:color w:val="000000"/>
          <w:sz w:val="17"/>
        </w:rPr>
        <w:t xml:space="preserve"> </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Risks Relating to the Offering</w:t>
      </w:r>
    </w:p>
    <w:p>
      <w:pPr>
        <w:pStyle w:val="TextBody"/>
        <w:spacing w:lineRule="atLeast" w:line="225" w:before="12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 xml:space="preserve">We are a newly incorporated company with no operating history and no revenues, and you have no basis on which to evaluate our ability to achieve our business objective. </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are a newly incorporated company incorporated under the laws of the Cayman Islands with no operating results, and we will not commence operations until obtaining funding through this offering. Because we lack an operating history, you have no basis upon which to evaluate our ability to achieve our business objective of completing our initial business combination with one or more target businesses. We have no plans, arrangements or understandings with any prospective target business concerning a business combination and may be unable to complete our initial business combination. If we fail to complete our initial business combination, we will never generate any operating revenues.</w:t>
      </w:r>
    </w:p>
    <w:p>
      <w:pPr>
        <w:pStyle w:val="TextBody"/>
        <w:spacing w:lineRule="atLeast" w:line="225"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Our independent registered public accounting firms report contains an explanatory paragraph that expresses substantial doubt about our ability to continue as a going concern.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As of June 30, 2019, we had no cash and a working capital deficiency of $295,281. Further, we have incurred and expect to continue to incur significant costs in pursuit of our financing and acquisition plans. Managements plans to address this need for capital through this offering are discussed in the section of this prospectus titled Managements Discussion and Analysis of Financial Condition and Results of Operations. We cannot assure you that our plans to raise capital or to consummate an initial business combination will be successful. These factors, among others, raise substantial doubt about our ability to continue as a going concern. The financial statements contained elsewhere in this prospectus do not include any adjustments that might result from our inability to consummate this offering or our inability to continue as a going concern. </w:t>
      </w:r>
    </w:p>
    <w:p>
      <w:pPr>
        <w:pStyle w:val="TextBody"/>
        <w:spacing w:lineRule="atLeast" w:line="225"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 xml:space="preserve">Our public shareholders may not be afforded an opportunity to vote on our proposed business combination, which means we may complete our initial business combination even though a majority of our public shareholders do not support such a combination. </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will either (1) seek shareholder approval of our initial business combination at a meeting called for such purpose at which public shareholders may elect to redeem their public shares without voting, and if they do vote, irrespective of whether they vote for or against the proposed business combination, or (2) provide our public shareholders with the opportunity to redeem all or a portion of their public shares upon the completion of our initial business combination by means of a tender offer (and thereby avoid the need for a shareholder vote), in each in cash, for an amount payable in cash equal to the aggregate amount then on deposit in the trust account as of two business days prior to the completion of our initial business combination, including interest (which interest shall be net of taxes payable), divided by the number of then issued and outstanding public shares, subject to the limitations described herein. Accordingly, it is possible that we will consummate our initial business combination even if holders of a majority of our public shares do not approve of the business combination we consummate. The decision as to whether we will seek shareholder approval of a proposed business combination or will allow shareholders to sell their shares to us in a tender offer will be made by us, solely in our discretion, and will be based on a variety of factors such as the timing of the transaction and whether the terms of the transaction would otherwise require us to seek shareholder approval. For instance, Nasdaq rules currently allow us to engage in a tender offer in lieu of a shareholder meeting but would still require us to obtain shareholder approval if we were seeking to issue more than 20% of our outstanding shares to a target business as consideration in any business combination. Therefore, if we were structuring a business combination that required us to issue more than 20% of our outstanding shares, we would seek shareholder approval of such business combination instead of conducting a tender offer.</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29</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25"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If we seek shareholder approval of our initial business combination, our initial shareholders, officers and directors have agreed to vote in favor of such initial business combination, regardless of how our public shareholders vote.</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Unlike many other blank check companies in which the initial shareholders agree to vote their founder shares in accordance with the majority of the votes cast by the public shareholders in connection with an initial business combination, our initial shareholders have agreed (and their permitted transferees will agree), pursuant to the terms of a letter agreement entered into with us, to vote their founder shares and any public shares held by them in favor of our initial business combination. As a result, in addition to our initial shareholders founder shares, we would need 9,375,001, or 37.5%, of the 25,000,000 public shares sold in this offering to be voted in favor of a transaction (assuming all issued and outstanding shares are voted and the over-allotment option is not exercised), subject to any higher threshold as is required by Cayman Islands or other applicable law, in order to have such initial business combination approved. Our directors and officers have also entered into the letter agreement, imposing similar obligations on them with respect to public shares acquired by them, if any. We expect that our initial shareholders and their permitted transferees will own at least 20% of our issued and outstanding ordinary shares at the time of any such shareholder vote. Accordingly, if we seek shareholder approval of our initial business combination, it is more likely that the necessary shareholder approval will be received than would be the case if such persons agreed to vote their founder shares in accordance with the majority of the votes cast by our public shareholders.</w:t>
      </w:r>
    </w:p>
    <w:p>
      <w:pPr>
        <w:pStyle w:val="TextBody"/>
        <w:spacing w:lineRule="atLeast" w:line="225"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Your only opportunity to affect the investment decision regarding a potential business combination will be limited to the exercise of your right to redeem your shares from us for cash, unless we seek shareholder approval of such business combination.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At the time of your investment in us, you will not be provided with an opportunity to evaluate the specific merits or risks of any target businesses. Additionally, since our board of directors may complete a business combination without seeking shareholder approval, public shareholders may not have the right or opportunity to vote on the business combination, unless we seek such shareholder approval. Accordingly, if we do not seek shareholder approval, your only opportunity to affect the investment decision regarding a potential business combination may be limited to exercising your redemption rights within the period of time (which will be at least 20 business days) set forth in our tender offer documents mailed to our public shareholders in which we describe our initial business combination.</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The ability of our public shareholders to redeem their shares for cash may make our financial condition unattractive to potential business combination targets, which may make it difficult for us to enter into a business combination with a target.</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We may seek to enter into a business combination transaction agreement with a prospective target that requires as a closing condition that we have a minimum net worth or a certain amount of cash. If too many public shareholders exercise their redemption rights, we would not be able to meet such closing condition and, as a result, would not be able to proceed with the business combination. The amount of the deferred underwriting commissions payable to the underwriters will not be adjusted for any shares that are redeemed in connection with a business combination and such amount of deferred underwriting discount is not available for us to use as consideration in an initial business combination. Furthermore, in no event will we redeem our public shares in an amount that would cause our net tangible assets, after payment of the deferred underwriting commissions, to be less than $5,000,001 upon completion of our initial business combination (so that we do not then become subject to the SECs penny stock rules), or any greater net tangible asset or cash requirement that may be contained in the agreement relating to our initial business combination. Consequently, if accepting all properly submitted redemption requests would cause our net tangible assets, after payment of the deferred underwriting commissions, to be less than $5,000,001 upon completion of our initial business combination or less than such greater amount necessary to satisfy a closing condition as described above, we would not proceed with such redemption of our public shares and the related business combination, and we instead may search for an alternate business combination. Prospective targets will be aware of these risks and, thus, may be reluctant to enter into a business combination transaction with us. If we are able to consummate an initial business combination, the per-share value of shares held by non-redeeming stockholders will reflect our obligation to pay the deferred underwriting commissions. </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30</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The ability of our public shareholders to exercise redemption rights with respect to a large number of our shares may not allow us to complete the most desirable business combination or optimize our capital structure.</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At the time we enter into an agreement for our initial business combination, we will not know how many shareholders may exercise their redemption rights and, therefore, we will need to structure the transaction based on our expectations as to the number of shares that will be submitted for redemption. If our initial business combination agreement requires us to use a portion of the cash in the trust account to pay the purchase price, or requires us to have a minimum amount of cash at closing, we will need to reserve a portion of the cash in the trust account to meet such requirements, or arrange for third-party financing. In addition, if a larger number of shares is submitted for redemption than we initially expected, we may need to restructure the transaction to reserve a greater portion of the cash in the trust account or arrange for third-party financing.</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Raising additional third-party financing may involve dilutive equity issuances or the incurrence of indebtedness at higher than desirable levels. The above considerations may limit our ability to complete the most desirable business combination available to us or optimize our capital structure.</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The ability of our public shareholders to exercise redemption rights with respect to a large number of our shares could increase the probability that our initial business combination would be unsuccessful and that you would have to wait for liquidation in order to redeem your shares.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If our initial business combination agreement requires us to use a portion of the cash in the trust account to pay the purchase price, or requires us to have a minimum amount of cash at closing, the probability that our initial business combination would be unsuccessful increases. If our initial business combination is unsuccessful, you would not receive your pro rata portion of the trust account until we liquidate the trust account. If you are in need of immediate liquidity, you could attempt to sell your shares in the open market; however, at such time our shares may trade at a discount to the pro rata amount per share in the trust account. In either situation, you may suffer a material loss on your investment or lose the benefit of funds expected in connection with our redemption until we liquidate or you are able to sell your shares in the open market.</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The requirement that we complete our initial business combination within the prescribed time frame may give potential target businesses leverage over us in negotiating a business combination and may limit the time we have in which to conduct due diligence on potential business combination targets, in particular as we approach our dissolution deadline, which could undermine our ability to complete our initial business combination on terms that would produce value for our shareholders.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Any potential target business with which we enter into negotiations concerning a business combination will be aware that we must complete our initial business combination within 18 months from the closing of this offering. Consequently, such target business may obtain leverage over us in negotiating a business combination, knowing that if we do not complete our initial business combination with that particular target business, we may be unable to complete our initial business combination with any target business. This risk will increase as we get closer to the end of the 18-month period. In addition, we may have limited time to conduct due diligence and may enter into our initial business combination on terms that we would have rejected upon a more comprehensive investigation.</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We may not be able to complete our initial business combination within the prescribed time frame, in which case we would cease all operations except for the purpose of winding up and we would redeem our public shares and liquidate, in which case our public shareholders may receive only $10.00 per share, or less than such amount in certain circumstances, and our warrants will expire worthless.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Our sponsor, officers and directors have agreed that we must complete our initial business combination within 18 months from the closing of this offering. We may not be able to find a suitable target business and complete our initial business combination within such time period. Our ability to complete our initial business combination may be negatively impacted by general market conditions, volatility in the capital and debt markets and the other risks described herein.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If we are unable to complete our initial business combination within such 18-month period, we will: (1) cease all operations except for the purpose of winding up; (2) as promptly as reasonably possible but not more than 10 business days thereafter, redeem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31</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public shares, which redemption will completely extinguish public shareholders rights as shareholders (including the right to receive further liquidating distributions, if any); and (3) as promptly as reasonably possible following such redemption, subject to the approval of our remaining shareholders and our board of directors, dissolve and liquidate, subject in each case to our obligations under Cayman Islands law to provide for claims of creditors and the requirements of other applicable law. In such case, our public shareholders may receive only $10.00 per share, or less than $10.00 per share, on the redemption of their shares, and our warrants will expire worthless. See —If third parties bring claims against us, the proceeds held in the trust account could be reduced and the per-share redemption amount received by shareholders may be less than $10.00 per share and other risk factors herein.</w:t>
      </w:r>
    </w:p>
    <w:p>
      <w:pPr>
        <w:pStyle w:val="TextBody"/>
        <w:spacing w:lineRule="atLeast" w:line="225"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If we seek shareholder approval of our initial business combination, our sponsor, directors, officers, advisors or any of their affiliates may elect to purchase shares or warrants from public shareholders, which may influence a vote on a proposed business combination and reduce the public float of our securities.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If we seek shareholder approval of our initial business combination and we do not conduct redemptions in connection with our initial business combination pursuant to the tender offer rules, our initial shareholders, directors, officers, advisors or any of their affiliates may purchase public shares or public warrants or a combination thereof in privately negotiated transactions or in the open market either prior to or following the completion of our initial business combination, although they are under no obligation or duty to do so. Please see Proposed Business—Permitted purchases of our securities for a description of how such persons will determine from which shareholders to seek to acquire securities. Such a purchase may include a contractual acknowledgement that such shareholder, although still the record holder of our shares, is no longer the beneficial owner thereof and therefore agrees not to exercise its redemption rights. In the event that our sponsor, directors, officers, advisors or any of their affiliates purchase shares in privately negotiated transactions from public shareholders who have already elected to exercise their redemption rights or submitted a proxy to vote against our initial business combination, such selling shareholders would be required to revoke their prior elections to redeem their shares and any proxy to vote against our initial business combination. The price per share paid in any such transaction may be different than the amount per share a public shareholder would receive if it elected to redeem its shares in connection with our initial business combination. The purpose of such purchases could be to vote such shares in favor of our initial business combination and thereby increase the likelihood of obtaining shareholder approval of our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This may result in the completion of our initial business combination that may not otherwise have been possible.</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In addition, if such purchases are made, the public float of our Class A ordinary shares or public warrants and the number of beneficial holders of our securities may be reduced, possibly making it difficult to maintain or obtain the quotation, listing or trading of our securities on a national securities exchange.</w:t>
      </w:r>
    </w:p>
    <w:p>
      <w:pPr>
        <w:pStyle w:val="TextBody"/>
        <w:spacing w:lineRule="atLeast" w:line="225"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If a shareholder fails to receive notice of our offer to redeem our public shares in connection with our initial business combination, or fails to comply with the procedures for tendering its shares, such shares may not be redeemed.</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will comply with the tender offer rules or proxy rules, as applicable, when conducting redemptions in connection with our initial business combination. Despite our compliance with these rules, if a shareholder fails to receive our tender offer or proxy materials, as applicable, such shareholder may not become aware of the opportunity to redeem its shares. In addition, the tender offer documents or proxy materials, as applicable, that we will furnish to holders of our public shares in connection with our initial business combination will describe the various procedures that must be complied with in order to validly tender or redeem public shares. In the event that a shareholder fails to comply with these procedures, its shares may not be redeemed. See Proposed Business—Effecting Our Initial Business Combination—Tendering share certificates in connection with a tender offer or redemption rights.</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32</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You will not have any rights or interests in funds from the trust account, except under certain limited circumstances. To liquidate your investment, therefore, you may be forced to sell your public shares or warrants, potentially at a loss.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Our public shareholders will be entitled to receive funds from the trust account only upon the earliest to occur of: (1) the completion of our initial business combination, and then only in connection with those Class A ordinary shares that such shareholder properly elected to redeem, subject to the limitations described herein, (2) the redemption of any public shares properly submitted in connection with a shareholder vote to amend our amended and restated memorandum and articles of association (A) to modify the substance or timing of our obligation to redeem 100% of our public shares if we do not complete our initial business combination within 18 months from the closing of this offering or (B) with respect to any other provision relating to shareholders rights or pre-initial business combination activity and (3) the redemption of our public shares if we are unable to complete our initial business combination within 18 months from the closing of this offering, subject to applicable law and as further described herein. In no other circumstances will a shareholder have any right or interest of any kind in the trust account. Holders of warrants will not have any right to the proceeds held in the trust account with respect to the warrants. Accordingly, to liquidate your investment, you may be forced to sell your public shares or warrants, potentially at a loss.</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Nasdaq may delist our securities from its exchange, which could limit investors ability to make transactions in our securities and subject us to additional trading restrictions.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expect that our units will be listed on Nasdaq promptly after the date of this prospectus. Following the date that our Class A ordinary shares and warrants are eligible to trade separately, we anticipate that our Class A ordinary shares and warrants will be listed separately on Nasdaq. Although, after giving effect to this offering, we expect to meet on a pro forma basis Nasdaqs minimum initial listing standards, which generally only require that we meet certain requirements relating to shareholders equity, market capitalization, aggregate market value of publicly held shares and distribution requirements, we cannot assure you that our securities will be, or will continue to be, listed on Nasdaq in the future or prior to our initial business combination. In order to continue listing our securities on Nasdaq prior to our initial business combination, we must maintain certain financial, distribution and share price levels. Generally, we must maintain a minimum amount in stockholders equity (generally $2,500,000) and a minimum number of holders of our securities (generally 300 public holders). Additionally, in connection with our initial business combination, it is likely that Nasdaq will require us to file a new initial listing application and meet its initial listing requirements as well as certain qualitative requirements, as opposed to its more lenient continued listing requirements. We cannot assure you that we will be able to meet those initial listing requirements at that time.</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If Nasdaq delists any of our securities from trading on its exchange and we are not able to list such securities on another national securities exchange, we expect such securities could be quoted on an over-the-counter market. If this were to occur, we could face significant material adverse consequences, including:</w:t>
      </w:r>
    </w:p>
    <w:tbl>
      <w:tblPr>
        <w:tblW w:w="5000" w:type="pct"/>
        <w:jc w:val="left"/>
        <w:tblInd w:w="0" w:type="dxa"/>
        <w:tblCellMar>
          <w:top w:w="0" w:type="dxa"/>
          <w:left w:w="0" w:type="dxa"/>
          <w:bottom w:w="0" w:type="dxa"/>
          <w:right w:w="0" w:type="dxa"/>
        </w:tblCellMar>
      </w:tblPr>
      <w:tblGrid>
        <w:gridCol w:w="829"/>
        <w:gridCol w:w="798"/>
        <w:gridCol w:w="8578"/>
      </w:tblGrid>
      <w:tr>
        <w:trPr/>
        <w:tc>
          <w:tcPr>
            <w:tcW w:w="829"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jc w:val="left"/>
              <w:rPr>
                <w:color w:val="000000"/>
              </w:rPr>
            </w:pPr>
            <w:r>
              <w:rPr>
                <w:color w:val="000000"/>
              </w:rPr>
              <w:t>•</w:t>
            </w:r>
          </w:p>
        </w:tc>
        <w:tc>
          <w:tcPr>
            <w:tcW w:w="8578"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a limited availability of market quotations for our securities;</w:t>
            </w:r>
          </w:p>
        </w:tc>
      </w:tr>
    </w:tbl>
    <w:tbl>
      <w:tblPr>
        <w:tblW w:w="5000" w:type="pct"/>
        <w:jc w:val="left"/>
        <w:tblInd w:w="0" w:type="dxa"/>
        <w:tblCellMar>
          <w:top w:w="0" w:type="dxa"/>
          <w:left w:w="0" w:type="dxa"/>
          <w:bottom w:w="0" w:type="dxa"/>
          <w:right w:w="0" w:type="dxa"/>
        </w:tblCellMar>
      </w:tblPr>
      <w:tblGrid>
        <w:gridCol w:w="997"/>
        <w:gridCol w:w="960"/>
        <w:gridCol w:w="8248"/>
      </w:tblGrid>
      <w:tr>
        <w:trPr/>
        <w:tc>
          <w:tcPr>
            <w:tcW w:w="997"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jc w:val="left"/>
              <w:rPr>
                <w:color w:val="000000"/>
              </w:rPr>
            </w:pPr>
            <w:r>
              <w:rPr>
                <w:color w:val="000000"/>
              </w:rPr>
              <w:t>•</w:t>
            </w:r>
          </w:p>
        </w:tc>
        <w:tc>
          <w:tcPr>
            <w:tcW w:w="8248"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reduced liquidity with respect to such securities;</w:t>
            </w:r>
          </w:p>
        </w:tc>
      </w:tr>
    </w:tbl>
    <w:tbl>
      <w:tblPr>
        <w:tblW w:w="5000" w:type="pct"/>
        <w:jc w:val="left"/>
        <w:tblInd w:w="0" w:type="dxa"/>
        <w:tblCellMar>
          <w:top w:w="0" w:type="dxa"/>
          <w:left w:w="0" w:type="dxa"/>
          <w:bottom w:w="0" w:type="dxa"/>
          <w:right w:w="0" w:type="dxa"/>
        </w:tblCellMar>
      </w:tblPr>
      <w:tblGrid>
        <w:gridCol w:w="214"/>
        <w:gridCol w:w="245"/>
        <w:gridCol w:w="9746"/>
      </w:tblGrid>
      <w:tr>
        <w:trPr/>
        <w:tc>
          <w:tcPr>
            <w:tcW w:w="214"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jc w:val="left"/>
              <w:rPr>
                <w:color w:val="000000"/>
              </w:rPr>
            </w:pPr>
            <w:r>
              <w:rPr>
                <w:color w:val="000000"/>
              </w:rPr>
              <w:t>•</w:t>
            </w:r>
          </w:p>
        </w:tc>
        <w:tc>
          <w:tcPr>
            <w:tcW w:w="9746"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a determination that our Class A ordinary shares are a penny stock which will require brokers trading in our Class A ordinary shares to adhere to more stringent rules, possibly resulting in a reduced level of trading activity in the secondary trading market for our securities;</w:t>
            </w:r>
          </w:p>
        </w:tc>
      </w:tr>
    </w:tbl>
    <w:tbl>
      <w:tblPr>
        <w:tblW w:w="5000" w:type="pct"/>
        <w:jc w:val="left"/>
        <w:tblInd w:w="0" w:type="dxa"/>
        <w:tblCellMar>
          <w:top w:w="0" w:type="dxa"/>
          <w:left w:w="0" w:type="dxa"/>
          <w:bottom w:w="0" w:type="dxa"/>
          <w:right w:w="0" w:type="dxa"/>
        </w:tblCellMar>
      </w:tblPr>
      <w:tblGrid>
        <w:gridCol w:w="730"/>
        <w:gridCol w:w="703"/>
        <w:gridCol w:w="8772"/>
      </w:tblGrid>
      <w:tr>
        <w:trPr/>
        <w:tc>
          <w:tcPr>
            <w:tcW w:w="730"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jc w:val="left"/>
              <w:rPr>
                <w:color w:val="000000"/>
              </w:rPr>
            </w:pPr>
            <w:r>
              <w:rPr>
                <w:color w:val="000000"/>
              </w:rPr>
              <w:t>•</w:t>
            </w:r>
          </w:p>
        </w:tc>
        <w:tc>
          <w:tcPr>
            <w:tcW w:w="8772"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a limited amount of news and analyst coverage for our company; and</w:t>
            </w:r>
          </w:p>
        </w:tc>
      </w:tr>
    </w:tbl>
    <w:tbl>
      <w:tblPr>
        <w:tblW w:w="5000" w:type="pct"/>
        <w:jc w:val="left"/>
        <w:tblInd w:w="0" w:type="dxa"/>
        <w:tblCellMar>
          <w:top w:w="0" w:type="dxa"/>
          <w:left w:w="0" w:type="dxa"/>
          <w:bottom w:w="0" w:type="dxa"/>
          <w:right w:w="0" w:type="dxa"/>
        </w:tblCellMar>
      </w:tblPr>
      <w:tblGrid>
        <w:gridCol w:w="579"/>
        <w:gridCol w:w="558"/>
        <w:gridCol w:w="9068"/>
      </w:tblGrid>
      <w:tr>
        <w:trPr/>
        <w:tc>
          <w:tcPr>
            <w:tcW w:w="579"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jc w:val="left"/>
              <w:rPr>
                <w:color w:val="000000"/>
              </w:rPr>
            </w:pPr>
            <w:r>
              <w:rPr>
                <w:color w:val="000000"/>
              </w:rPr>
              <w:t>•</w:t>
            </w:r>
          </w:p>
        </w:tc>
        <w:tc>
          <w:tcPr>
            <w:tcW w:w="9068"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a decreased ability to issue additional securities or obtain additional financing in the future.</w:t>
            </w:r>
          </w:p>
        </w:tc>
      </w:tr>
    </w:tbl>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The National Securities Markets Improvement Act of 1996, which is a federal statute, prevents or preempts the states from regulating the sale of certain securities, which are referred to as covered securities. Because we expect that our units and eventually our Class A ordinary shares and warrants will be listed on Nasdaq, our units, Class A ordinary shares and warrants will qualify as covered securities under such statute. Although the states are preempted from regulating the sale of covered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33</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threaten to use these powers, to hinder the sale of securities of blank check companies in their states. Further, if we were no longer listed on Nasdaq, our securities would not qualify as covered securities under such statute and we would be subject to regulation in each state in which we offer our securities.</w:t>
      </w:r>
    </w:p>
    <w:p>
      <w:pPr>
        <w:pStyle w:val="TextBody"/>
        <w:spacing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You will not be entitled to protections normally afforded to investors of many other blank check companies.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Since the net proceeds of this offering and the sale of the private placement warrants are intended to be used to complete an initial business combination with a target business that has not been identified, we may be deemed to be a blank check company under the U.S. securities laws. However, because we will have net tangible assets in excess of $5,000,000 upon the successful completion of this offering and the sale of the private placement warrants and will file a Current Report on Form 8-K, including an audited balance sheet of the Company demonstrating this fact, we are exempt from rules promulgated by the SEC to protect investors in blank check companies, such as Rule 419. Accordingly, investors will not be afforded the benefits or protections of those rules. Among other things, this means our units will be immediately tradable and we will have a longer period of time to complete our initial business combination than do companies subject to Rule 419. Moreover, if this offering were subject to Rule 419, that rule would prohibit the release of any interest earned on funds held in the trust account to us unless and until the funds in the trust account were released to us in connection with our completion of an initial business combination. For a more detailed comparison of our offering to offerings that comply with Rule 419, please see Proposed Business—Comparison of This Offering to Those of Blank Check Companies Subject to Rule 419.</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If we seek shareholder approval of our initial business combination and we do not conduct redemptions pursuant to the tender offer rules, and if you or a group of shareholders are deemed to hold in excess of 15% of our Class A ordinary shares, you will lose the ability to redeem all such shares in excess of 15% of our Class A ordinary shares.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redeeming its shares with respect to more than an aggregate of 15% of the shares sold in this offering, which we refer to as the Excess Shares, without our prior consent. However, we would not be restricting our shareholders ability to vote all of 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that number of shares exceeding 15% and, in order to dispose of such shares, would be required to sell your shares in open market transactions, potentially at a loss.</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Because of our limited resources and the significant competition for business combination opportunities, it may be more difficult for us to complete our initial business combination. If we are unable to complete our initial business combination, our public shareholders may receive only approximately $10.00 per share, or less in certain circumstances, on our redemption of their shares, and our warrants will expire worthless.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We expect to encounter intense competition from other entities having a business objective similar to ours, including private investors (which may be individuals or investment partnerships), other blank check companies and other entities, domestic and international, competing for the types of businesses we intend to acquire. Many of these individuals and entities are well established and have extensive experience in identifying and effecting, directly or indirectly, acquisitions of companies operating in or providing services to various industries. Many of these competitors possess greater technical, human and other resources or more local industry knowledge than we do and our financial resources will be relatively limited when contrasted with those of many of these competitors. While we believe there are numerous target businesses we could potentially acquire with the net proceeds of this offering and the sale of the private placement warrants,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in the event we seek shareholder approval of our initial business combination and we are obligated to pay cash for our Class A ordinary shares, it will potentially reduce the resources available to us </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34</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for our initial business combination. Any of these obligations may place us at a competitive disadvantage in successfully negotiating a business combination. If we are unable to complete our initial business combination, our public shareholders may receive only approximately $10.00 per share, or less in certain circumstances, on the liquidation of our trust account and our warrants will expire worthless. See —If third parties bring claims against us, the proceeds held in the trust account could be reduced and the per-share redemption amount received by shareholders may be less than $10.00 per share and other risk factors herein.</w:t>
      </w:r>
    </w:p>
    <w:p>
      <w:pPr>
        <w:pStyle w:val="TextBody"/>
        <w:spacing w:lineRule="atLeast" w:line="210" w:before="240" w:after="0"/>
        <w:ind w:left="0" w:right="0" w:hanging="0"/>
        <w:jc w:val="left"/>
        <w:rPr>
          <w:rFonts w:ascii="Times New Roman;Times;Serif" w:hAnsi="Times New Roman;Times;Serif"/>
          <w:color w:val="000000"/>
          <w:sz w:val="17"/>
        </w:rPr>
      </w:pPr>
      <w:r>
        <w:rPr>
          <w:rFonts w:ascii="Times New Roman;Times;Serif" w:hAnsi="Times New Roman;Times;Serif"/>
          <w:b/>
          <w:i/>
          <w:color w:val="000000"/>
          <w:sz w:val="17"/>
        </w:rPr>
        <w:t>If the funds not being held in the trust account are insufficient to allow us to operate for at least the 18</w:t>
      </w:r>
      <w:r>
        <w:rPr>
          <w:rFonts w:ascii="Times New Roman;Times;Serif" w:hAnsi="Times New Roman;Times;Serif"/>
          <w:color w:val="000000"/>
          <w:sz w:val="17"/>
        </w:rPr>
        <w:t xml:space="preserve"> </w:t>
      </w:r>
      <w:r>
        <w:rPr>
          <w:rFonts w:ascii="Times New Roman;Times;Serif" w:hAnsi="Times New Roman;Times;Serif"/>
          <w:b/>
          <w:i/>
          <w:color w:val="000000"/>
          <w:sz w:val="17"/>
        </w:rPr>
        <w:t>months following the closing of this offering, we may be unable to complete our initial business combination.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funds available to us outside of the trust account may not be sufficient to allow us to operate for at least the 18 months following the closing of this offering, assuming that our initial business combination is not completed during that time. We expect to incur significant costs in pursuit of our acquisition plans. Managements plans to address this need for capital through this offering and potential loans from certain of our affiliates are discussed in the section of this prospectus titled Managements Discussion and Analysis of Financial Condition and Results of Operations. However, our affiliates are not obligated to make loans to us in the future, and we may not be able to raise additional financing from unaffiliated parties necessary to fund our expenses. Any such event in the future may negatively impact the analysis regarding our ability to continue as a going concern at such time.</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believe that, upon the closing of this offering, the funds available to us outside of the trust account, will be sufficient to allow us to operate for at least the 18 months following the closing of this offering; however, we cannot assure you that our estimate is accurate.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 letter of intent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 If we are unable to complete our initial business combination, our public shareholders may receive only approximately $10.00 per share, or less in certain circumstances, on the liquidation of our trust account and our warrants will expire worthless. See —If third parties bring claims against us, the proceeds held in the trust account could be reduced and the per-share redemption amount received by shareholders may be less than $10.00 per share and other risk factors herein.</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If the net proceeds of this offering and the sale of the private placement warrants not being held in the trust account are insufficient, it could limit the amount available to fund our search for a target business or businesses and complete our initial business combination and we may depend on loans from our sponsor or management team to fund our search, to pay our taxes and to complete our initial business combination. Our sponsor is not obligated to fund such loans.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Of the net proceeds of this offering and the sale of the private placement warrants, only approximately $1,000,000 will be available to us initially outside the trust account to fund our working capital requirements. In the event that our offering expenses exceed our estimate of $1,000,000, we may fund such excess with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 If we are required to seek additional capital, we would need to borrow funds from our sponsor, management team or other third parties to operate or may be forced to liquidate. Neither our sponsor, members of our management team nor any of their affiliates is under any obligation to loan funds to, or invest in, us in such circumstances. Any such loans may be repaid only from funds held outside the trust account or from funds released to us upon completion of our initial business combination. If we are unable to complete our initial business combination because we do not have sufficient funds available to us, we will be forced to cease operations and liquidate the trust account. In such case, our public shareholders may receive only $10.00 per share, or less in certain circumstances, and our warrants will expire worthless. See —If third parties bring claims against us, the proceeds held in the trust account could be reduced and the per-share redemption amount received by shareholders may be less than $10.00 per share and other risk factors herein.</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35</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Subsequent to our completion of our initial business combination, we may be required to subsequently take write-downs or write-offs, restructuring and impairment or other charges that could have a significant negative effect on our financial condition, results of operations and the price of our securities, which could cause you to lose some or all of your investment.</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Even if we conduct extensive due diligence on a target business with which we combine, we cannot assure you that this diligence will identify all material issues that may be present with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 down or write 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post-combination debt financing. Accordingly, any shareholder or warrant holder who chooses to remain a shareholder or warrant holder following our initial business combination could suffer a reduction in the value of their securities. Such shareholders and warrant holders are unlikely to have a remedy for such reduction in value.</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If third parties bring claims against us, the proceeds held in the trust account could be reduced and the per-share redemption amount received by shareholders may be less than $10.00 per share.</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Our placing of funds in the trust account may not protect those funds from third-party claims against us. Although we will seek to have all vendors, service providers (other than our independent auditors), prospective target businesses or other entities with which we do business execute agreements with us waiving any right, title, interest or claim of any kind in or to any monies held in the trust account for the benefit of our public shareholders,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enter into an agreement with a third party that has not executed a waiver only if management believes that such third partys engagement would be significantly more beneficial to us than any alternative.</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Examples of possible instances where we may engage a third party that refuses to execute a waiver include the engagement of a third-party consultant whose particular expertise or skills are believed by management to be significantly superior to those of other consultants that would agree to execute a waiver or in cases where we are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our initial business combination within the prescribed timeframe, or upon the exercise of a redemption right in connection with our initial business combination, we will be required to provide for payment of claims of creditors that were not waived that may be brought against us within the 10 years following redemption. Accordingly, the per-share redemption amount received by public shareholders could be less than the $10.00 per share initially held in the trust account, due to claims of such creditors.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Our sponsor has agreed that it will be liable to us if and to the extent any claims by a third party (other than our independent auditors) for services rendered or products sold to us, or a prospective target business with which we have discussed entering into a transaction agreement, reduce the amount of funds in the trust account to below (1) $10.00 per public share or (2) such lesser amount per public share held in the trust account as of the date of the liquidation of the trust account due to reductions in the value of the trust assets, in each case net of the interest which may be withdrawn to pay taxes, except as to any claims by a third party who executed a waiver of any and all rights to seek access to the trust account and except as to any claims under our indemnity of the </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36</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underwriters of this offering against certain liabilities, including liabilities under the Securities Act. Moreover, in the event that an executed waiver is deemed to be unenforceable against a third party, our sponsor will not be responsible to the extent of any liability for such third-party claims. We have not independently verified whether our sponsor has sufficient funds to satisfy its indemnity obligations and believe that our sponsors only assets are securities of our company. Our sponsor may not have sufficient funds available to satisfy those obligations. We have not asked our sponsor to reserve for such obligations, and therefore, no funds are currently set aside to cover any such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pStyle w:val="TextBody"/>
        <w:spacing w:lineRule="atLeast" w:line="225"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Our directors may decide not to enforce the indemnification obligations of our sponsor, resulting in a reduction in the amount of funds in the trust account available for distribution to our public shareholders.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In the event that the proceeds in the trust account are reduced below the lesser of (1) $10.00 per public share or (2) such lesser amount per share held in the trust account as of the date of the liquidation of the trust account due to reductions in the value of the trust assets, in each case net of the interest which may be withdrawn to pay taxes, and our sponsor asserts that it is unable to satisfy its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any particular instance. If our independent directors choose not to enforce these indemnification obligations, the amount of funds in the trust account available for distribution to our public shareholders may be reduced below $10.00 per share.</w:t>
      </w:r>
    </w:p>
    <w:p>
      <w:pPr>
        <w:pStyle w:val="TextBody"/>
        <w:spacing w:lineRule="atLeast" w:line="225"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If, after we distribute the proceeds in the trust account to our public shareholders, we file a winding-up or bankruptcy petition or an involuntary winding-up or bankruptcy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If, after we distribute the proceeds in the trust account to our public shareholders, we file a winding-up or bankruptcy petition or an involuntary winding-up or bankruptcy petition is filed against us that is not dismissed, any distributions received by shareholders could be viewed under applicable debtor/creditor and/or insolvency laws as a voidable performance. As a result, a liquidator could seek to recover some or all amounts received by our shareholders. In addition, our board of directors may be viewed as having breached its fiduciary duty to our creditors and/or having acted in bad faith by paying public shareholders from the trust account prior to addressing the claims of creditors, thereby exposing itself and us to claims of punitive damages.</w:t>
      </w:r>
    </w:p>
    <w:p>
      <w:pPr>
        <w:pStyle w:val="TextBody"/>
        <w:spacing w:lineRule="atLeast" w:line="225"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If, before distributing the proceeds in the trust account to our public shareholders, we file a winding-up or bankruptcy petition or an involuntary winding-up or bankruptcy petition is filed against us that is not dismissed, the claims of creditors in such proceeding may have priority over the claims of our shareholders and the per-share amount that would otherwise be received by our shareholders in connection with our liquidation may be reduced.</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If, before distributing the proceeds in the trust account to our public shareholders, we file a winding-up or bankruptcy petition or an involuntary winding-up or bankruptcy petition is filed against us that is not dismissed, the proceeds held in the trust account could be subject to applicable insolvency law, and may be included in our liquidation estate and subject to the claims of third parties with priority over the claims of our shareholders. To the extent any liquidation claims deplete the trust account, the per-share amount that would otherwise be received by our shareholders in connection with our liquidation would be reduced.</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37</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If we are deemed to be an investment company under the Investment Company Act, our activities may be restricted, including:</w:t>
      </w:r>
    </w:p>
    <w:tbl>
      <w:tblPr>
        <w:tblW w:w="5000" w:type="pct"/>
        <w:jc w:val="left"/>
        <w:tblInd w:w="0" w:type="dxa"/>
        <w:tblCellMar>
          <w:top w:w="0" w:type="dxa"/>
          <w:left w:w="0" w:type="dxa"/>
          <w:bottom w:w="0" w:type="dxa"/>
          <w:right w:w="0" w:type="dxa"/>
        </w:tblCellMar>
      </w:tblPr>
      <w:tblGrid>
        <w:gridCol w:w="979"/>
        <w:gridCol w:w="943"/>
        <w:gridCol w:w="8283"/>
      </w:tblGrid>
      <w:tr>
        <w:trPr/>
        <w:tc>
          <w:tcPr>
            <w:tcW w:w="979"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jc w:val="left"/>
              <w:rPr>
                <w:color w:val="000000"/>
              </w:rPr>
            </w:pPr>
            <w:r>
              <w:rPr>
                <w:color w:val="000000"/>
              </w:rPr>
              <w:t>•</w:t>
            </w:r>
          </w:p>
        </w:tc>
        <w:tc>
          <w:tcPr>
            <w:tcW w:w="8283"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restrictions on the nature of our investments; and</w:t>
            </w:r>
          </w:p>
        </w:tc>
      </w:tr>
    </w:tbl>
    <w:tbl>
      <w:tblPr>
        <w:tblW w:w="5000" w:type="pct"/>
        <w:jc w:val="left"/>
        <w:tblInd w:w="0" w:type="dxa"/>
        <w:tblCellMar>
          <w:top w:w="0" w:type="dxa"/>
          <w:left w:w="0" w:type="dxa"/>
          <w:bottom w:w="0" w:type="dxa"/>
          <w:right w:w="0" w:type="dxa"/>
        </w:tblCellMar>
      </w:tblPr>
      <w:tblGrid>
        <w:gridCol w:w="1151"/>
        <w:gridCol w:w="1108"/>
        <w:gridCol w:w="7946"/>
      </w:tblGrid>
      <w:tr>
        <w:trPr/>
        <w:tc>
          <w:tcPr>
            <w:tcW w:w="1151"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jc w:val="left"/>
              <w:rPr>
                <w:color w:val="000000"/>
              </w:rPr>
            </w:pPr>
            <w:r>
              <w:rPr>
                <w:color w:val="000000"/>
              </w:rPr>
              <w:t>•</w:t>
            </w:r>
          </w:p>
        </w:tc>
        <w:tc>
          <w:tcPr>
            <w:tcW w:w="7946"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restrictions on the issuance of securities;</w:t>
            </w:r>
          </w:p>
        </w:tc>
      </w:tr>
    </w:tbl>
    <w:p>
      <w:pPr>
        <w:pStyle w:val="TextBody"/>
        <w:spacing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each of which may make it difficult for us to complete our initial business combination.</w:t>
      </w:r>
    </w:p>
    <w:p>
      <w:pPr>
        <w:pStyle w:val="TextBody"/>
        <w:spacing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In addition, we may have imposed upon us burdensome requirements, including:</w:t>
      </w:r>
    </w:p>
    <w:tbl>
      <w:tblPr>
        <w:tblW w:w="5000" w:type="pct"/>
        <w:jc w:val="left"/>
        <w:tblInd w:w="0" w:type="dxa"/>
        <w:tblCellMar>
          <w:top w:w="0" w:type="dxa"/>
          <w:left w:w="0" w:type="dxa"/>
          <w:bottom w:w="0" w:type="dxa"/>
          <w:right w:w="0" w:type="dxa"/>
        </w:tblCellMar>
      </w:tblPr>
      <w:tblGrid>
        <w:gridCol w:w="923"/>
        <w:gridCol w:w="889"/>
        <w:gridCol w:w="8393"/>
      </w:tblGrid>
      <w:tr>
        <w:trPr/>
        <w:tc>
          <w:tcPr>
            <w:tcW w:w="923"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jc w:val="left"/>
              <w:rPr>
                <w:color w:val="000000"/>
              </w:rPr>
            </w:pPr>
            <w:r>
              <w:rPr>
                <w:color w:val="000000"/>
              </w:rPr>
              <w:t>•</w:t>
            </w:r>
          </w:p>
        </w:tc>
        <w:tc>
          <w:tcPr>
            <w:tcW w:w="8393"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registration as an investment company with the SEC;</w:t>
            </w:r>
          </w:p>
        </w:tc>
      </w:tr>
    </w:tbl>
    <w:tbl>
      <w:tblPr>
        <w:tblW w:w="5000" w:type="pct"/>
        <w:jc w:val="left"/>
        <w:tblInd w:w="0" w:type="dxa"/>
        <w:tblCellMar>
          <w:top w:w="0" w:type="dxa"/>
          <w:left w:w="0" w:type="dxa"/>
          <w:bottom w:w="0" w:type="dxa"/>
          <w:right w:w="0" w:type="dxa"/>
        </w:tblCellMar>
      </w:tblPr>
      <w:tblGrid>
        <w:gridCol w:w="896"/>
        <w:gridCol w:w="863"/>
        <w:gridCol w:w="8446"/>
      </w:tblGrid>
      <w:tr>
        <w:trPr/>
        <w:tc>
          <w:tcPr>
            <w:tcW w:w="896"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jc w:val="left"/>
              <w:rPr>
                <w:color w:val="000000"/>
              </w:rPr>
            </w:pPr>
            <w:r>
              <w:rPr>
                <w:color w:val="000000"/>
              </w:rPr>
              <w:t>•</w:t>
            </w:r>
          </w:p>
        </w:tc>
        <w:tc>
          <w:tcPr>
            <w:tcW w:w="8446"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adoption of a specific form of corporate structure; and</w:t>
            </w:r>
          </w:p>
        </w:tc>
      </w:tr>
    </w:tbl>
    <w:tbl>
      <w:tblPr>
        <w:tblW w:w="5000" w:type="pct"/>
        <w:jc w:val="left"/>
        <w:tblInd w:w="0" w:type="dxa"/>
        <w:tblCellMar>
          <w:top w:w="0" w:type="dxa"/>
          <w:left w:w="0" w:type="dxa"/>
          <w:bottom w:w="0" w:type="dxa"/>
          <w:right w:w="0" w:type="dxa"/>
        </w:tblCellMar>
      </w:tblPr>
      <w:tblGrid>
        <w:gridCol w:w="399"/>
        <w:gridCol w:w="386"/>
        <w:gridCol w:w="9420"/>
      </w:tblGrid>
      <w:tr>
        <w:trPr/>
        <w:tc>
          <w:tcPr>
            <w:tcW w:w="399"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jc w:val="left"/>
              <w:rPr>
                <w:color w:val="000000"/>
              </w:rPr>
            </w:pPr>
            <w:r>
              <w:rPr>
                <w:color w:val="000000"/>
              </w:rPr>
              <w:t>•</w:t>
            </w:r>
          </w:p>
        </w:tc>
        <w:tc>
          <w:tcPr>
            <w:tcW w:w="9420"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reporting, record keeping, voting, proxy and disclosure requirements and other rules and regulations that we are currently not subject to.</w:t>
            </w:r>
          </w:p>
        </w:tc>
      </w:tr>
    </w:tbl>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do not believe that our anticipated principal activities will subject us to the Investment Company Act. The proceeds held in the trust account may be invested by the trustee only in U.S. government treasury bills with a maturity of 180 days or less or in money market funds investing solely in U.S. Treasuries and meeting certain conditions under Rule 2a-7 under the Investment Company Act. Because the investment of the proceeds will be restricted to these instruments, we believe we will meet the requirements for the exemption provided in Rule 3a-1 promulgated under the Investment Company Act. If we were deemed to be subject to the Investment Company Act, compliance with these additional regulatory burdens would require additional expenses for which we have not allotted funds and may hinder our ability to complete a business combination. If we are unable to complete our initial business combination, our public shareholders may receive only approximately $10.00 per share, or less in certain circumstances, on the liquidation of our trust account and our warrants will expire worthless.</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Changes in laws or regulations, or a failure to comply with any laws and regulations, may adversely affect our business, including our ability to negotiate and complete our initial business combination, and results of operations.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 See —Risks Relating to the Cannabis Industry for additional risks we may face in connection with our initial business combination.</w:t>
      </w:r>
    </w:p>
    <w:p>
      <w:pPr>
        <w:pStyle w:val="TextBody"/>
        <w:spacing w:lineRule="atLeast" w:line="210" w:before="240" w:after="0"/>
        <w:ind w:left="0" w:right="0" w:hanging="0"/>
        <w:jc w:val="left"/>
        <w:rPr>
          <w:rFonts w:ascii="Times New Roman;Times;Serif" w:hAnsi="Times New Roman;Times;Serif"/>
          <w:color w:val="000000"/>
          <w:sz w:val="17"/>
        </w:rPr>
      </w:pPr>
      <w:r>
        <w:rPr>
          <w:rFonts w:ascii="Times New Roman;Times;Serif" w:hAnsi="Times New Roman;Times;Serif"/>
          <w:b/>
          <w:i/>
          <w:color w:val="000000"/>
          <w:sz w:val="17"/>
        </w:rPr>
        <w:t>If we are unable to consummate our initial business combination within 18</w:t>
      </w:r>
      <w:r>
        <w:rPr>
          <w:rFonts w:ascii="Times New Roman;Times;Serif" w:hAnsi="Times New Roman;Times;Serif"/>
          <w:color w:val="000000"/>
          <w:sz w:val="17"/>
        </w:rPr>
        <w:t xml:space="preserve"> </w:t>
      </w:r>
      <w:r>
        <w:rPr>
          <w:rFonts w:ascii="Times New Roman;Times;Serif" w:hAnsi="Times New Roman;Times;Serif"/>
          <w:b/>
          <w:i/>
          <w:color w:val="000000"/>
          <w:sz w:val="17"/>
        </w:rPr>
        <w:t>months of the closing of this offering, our public shareholders may be forced to wait beyond such 18</w:t>
      </w:r>
      <w:r>
        <w:rPr>
          <w:rFonts w:ascii="Times New Roman;Times;Serif" w:hAnsi="Times New Roman;Times;Serif"/>
          <w:color w:val="000000"/>
          <w:sz w:val="17"/>
        </w:rPr>
        <w:t xml:space="preserve"> </w:t>
      </w:r>
      <w:r>
        <w:rPr>
          <w:rFonts w:ascii="Times New Roman;Times;Serif" w:hAnsi="Times New Roman;Times;Serif"/>
          <w:b/>
          <w:i/>
          <w:color w:val="000000"/>
          <w:sz w:val="17"/>
        </w:rPr>
        <w:t>months before redemption from our trust account.</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If we are unable to consummate our initial business combination within 18 months from the closing of this offering, we will distribute the aggregate amount then on deposit in the trust account, including interest (less up to $100,000 of interest to pay dissolution expenses and which interest shall be net of taxes payable), pro rata to our public shareholders by way of redemption and cease all operations except for the purposes of winding up of our affairs, as further described herein. Any redemption of public shareholders from the trust account shall be effected automatically by function of our amended and restated memorandum and articles of association prior to any voluntary winding up. If we are required to windup, liquidate the trust account and distribute such amount therein, pro rata, to our public shareholders, as part of any liquidation process, such winding up, liquidation and distribution must comply with the applicable provisions of the Companies Law. In that case, investors may be forced to wait beyond the initial 18 months before the redemption proceeds of our trust account become </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38</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available to them and they receive the return of their pro rata portion of the proceeds from our trust account. We have no obligation to return funds to investors prior to the date of our redemption or liquidation unless, prior thereto, we consummate our initial business combination or amend certain provisions of our amended and restated memorandum and articles of association and then only in cases where investors have properly sought to redeem their Class A ordinary shares. Only upon our redemption or any liquidation will public shareholders be entitled to distributions if we are unable to complete our initial business combination and do not amend certain provisions of our amended and restated memorandum and articles of association prior thereto.</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Our shareholders may be held liable for claims by third parties against us to the extent of distributions received by them upon redemption of their shares.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If we are forced to enter into an insolvent liquidation, any distributions received by shareholders could be viewed as an unlawful payment if it was proved that immediately following the date on which the distribution was made, we were unable to pay our debts as they fall due in the ordinary course of business. As a result, a liquidator could seek to recover some or all amounts received by our shareholders. Furthermore, our directors may be viewed as having breached their fiduciary duties to us or our creditors and/or may have acted in bad faith, and thereby exposing themselves and our company to claims, by paying public shareholders from the trust account prior to addressing the claims of creditors. We cannot assure you that claims will not be brought against us for these reasons. We and our directors and officers who knowingly and willfully authorized or permitted any distribution to be paid out of our share premium account while we were unable to pay our debts as they fall due in the ordinary course of business would be guilty of an offence and may be liable to a fine of up to $18,292.68 and to imprisonment for five years in the Cayman Islands.</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We may not hold an annual general meeting of shareholders until after the completion of our initial business combination. Our public shareholders will not have the right to elect directors prior to the consummation of our Business Combination.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In accordance with Nasdaq corporate governance requirements, we are not required to hold an annual meeting until one year after our first fiscal year end following our listing on Nasdaq. There is no requirement under the Companies Law for us to hold annual or general meetings to elect directors. Until we hold an annual general meeting of shareholders, public shareholders may not be afforded the opportunity to discuss company affairs with management. As holders of our Class A ordinary shares, our public shareholders also will not have the right to vote on the election of directors prior to completion of our initial business combination. In addition, holders of a majority of our founder shares may remove a member of the board of directors for any reason.</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We are not registering the Class A ordinary shares issuable upon exercise of the warrants under the Securities Act or any state securities laws at this time, and such registration may not be in place when an investor desires to exercise warrants, thus precluding such investor from being able to exercise its warrants except on a cashless basis and potentially causing such warrants to expire worthless.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We are not registering the Class A ordinary shares issuable upon exercise of the warrants under the Securities Act or any state securities laws at this time. However, under the terms of the warrant agreement, we have agreed, as soon as practicable, but in no event later than 15 business days after the closing of our initial business combination, to use our reasonable best efforts to file a registration statement under the Securities Act covering the issuance of such shares, to use our reasonable best efforts to cause the same to become effective within 60 business days after the closing of our initial business combination and to maintain the effectiveness of such registration statement and a current prospectus relating to those Class A ordinary shares until the warrants expire or are redeemed.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complete or correct or the SEC issues a stop order. If the shares issuable upon exercise of the warrants are not registered under the Securities Act, we will be required to permit holders to exercise their warrants on a cashless basis. However, no warrant will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is available. Notwithstanding the above, if our Class A ordinary shares are, at the time of any exercise of a warrant, not listed on a national securities exchange such that they do not satisfy the definition of a covered security under Section 18(b)(1) of the Securities Act, we may, at our option, require holders of public warrants who </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39</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exercise their warrants to do so on a cashless basis in accordance with Section 3(a)(9) of the Securities Act and, in the event we so elect, we will not be required to file or maintain in effect a registration statement, but we will use our reasonable best efforts to register or qualify the shares under applicable blue sky laws to the extent an exemption is not available. In no event will we be required to net cash settle any warrant, or issue securities or other compensation in exchange for the warrants in the event that we are unable to register or qualify the shares underlying the warrants under applicable state securities laws and no exemption is available. If the issuance of the shares upon exercise of the warrants is not so registered or qualified or exempt from registration or qualification, the holder of such warrant shall not be entitled to exercise such warrant and such warrant may have no value and expire worthless. In such event, holders who acquired their warrants as part of a purchase of units will have paid the full unit purchase price solely for the Class A ordinary shares included in the units. If and when the warrants become redeemable by us, we may exercise our redemption right even if we are unable to register or qualify the underlying Class A ordinary shares for sale under all applicable state securities laws.</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The grant of registration rights to our initial shareholders and their permitted transferees may make it more difficult to complete our initial business combination, and the future exercise of such rights may adversely affect the market price of our Class A ordinary shares.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holders of the founder shares, private placement warrants and any warrants that may be issued on conversion of working capital loans (and any ordinary shares issuable upon the exercise of the private placement warrants or warrants issued upon conversion of the working capital loans and upon conversion of the founder shares) will be entitled to registration rights pursuant to a registration rights agreement to be signed prior to or on the effective date of this offering requiring us to register such securities for resale. We will bear the cost of registering these securities. The registration and availability of such a significant number of securities for trading in the public market may have an adverse effect on the market price of our Class A ordinary shares. In addition, the existence of the registration rights may make our initial business combination more costly or difficult to conclude. This is because the shareholders of the target business may increase the equity stake they seek in the combined entity or ask for more cash consideration to offset the negative impact on the market price of our Class A ordinary shares that is expected when the Class A ordinary shares owned by our initial shareholders or their permitted transferees, our private placement warrants or warrants issued in connection with working capital loans are registered for resale.</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Because we are not limited to a particular industry or any specific target businesses with which to pursue our initial business combination, you will be unable to ascertain the merits or risks of any particular target businesss operations.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may consummate a business combination with a company in any industry we choose and are not limited to any particular industry or type of business, although we intend to focus our search for businesses in the cannabis industry that are compliant with all applicable laws and regulations within the jurisdictions in which they are located or operate and, in particular, we will not invest in, or consummate a business combination with, a target business that we determine has been operating, or whose business plan is to operate, in violation of U.S. federal laws, including the U.S. Controlled Substances Act. Accordingly, there is no current basis for you to evaluate the possible merits or risks of the particular industry in which we may ultimately operate or the target business which we may ultimately acquire. To the extent we complete a business combination with a financially unstable company or an entity in its early stages of development or growth, we may be affected by numerous risks inherent in the business operations of those entities. If we complete a business combination with an entity in an industry characterized by a high level of risk, including the cannabis industry, we may be affected by the currently unascertainable risks of that industry. Although our management will endeavor to evaluate the risks inherent in a particular industry or target business, we cannot assure you that we will properly ascertain or assess all of the significant risk factors. We also cannot assure you that an investment in our units will not ultimately prove to be less favorable to investors in this offering than a direct investment, if an opportunity were available, in a target business. See —Risks Relating to the Cannabis Industry for additional risks we may face in connection with our initial business combination.</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Past performance by our management team and their affiliates may not be indicative of future performance of an investment in the Company.</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Information regarding performance by our management team and their affiliates is presented for informational purposes only. Past performance by our management team and their affiliates is not a guarantee either (1) that we will be able to identify a suitable candidate for our initial business combination or (2) of success with respect to </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40</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any business combination we may consummate. You should not rely on the historical record of our management team and their affiliates as indicative of our future performance of an investment in the company or the returns the company will, or is likely to, generate going forward.</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Although we have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Although we have identified general criteria and guidelines for evaluating prospective target businesses, it is possible that a target business with which we enter into our initial business combination will not have all of these positive attributes. If we complete our initial business combination with a target that does not meet some or all of these criteria and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shareholders may exercise their redemption rights, which may make it difficult for us to meet any closing condition with a target business that requires us to have a minimum net worth or a certain amount of cash. In addition, if shareholder approval of the transaction is required by applicable law or stock exchange listing requirement, or we decide to obtain shareholder approval for business or other reasons, it may be more difficult for us to attain shareholder approval of our initial business combination if the target business does not meet our general criteria and guidelines. If we are unable to complete our initial business combination, our public shareholders may receive only approximately $10.00 per share, or less in certain circumstances, on the liquidation of our trust account and our warrants will expire worthless.</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We may seek acquisition opportunities with an early stage company, a financially unstable business or an entity lacking an established record of revenue or earnings.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To the extent we complete our initial business combination with an early stage company, a financially unstable business or an entity lacking an established record of sales or earnings, we may be affected by numerous risks inherent in the operations of the business with which we combine. These risks include investing in a business without a proven business model and with limited historical financial data, volatile revenues or earnings, intense competition and difficulties in obtaining and retaining key personnel. Although our officers and directors will endeavor to evaluate the risks inherent in a particular target business, we may not be able to properly ascertain or assess all of the significant risk factors and we may not have adequate time to complete due diligence. Furthermore, some of these risks may be outside of our control and leave us with no ability to control or reduce the chances that those risks will adversely impact a target business.</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We are not required to obtain an opinion from an independent investment banking firm or from an independent accounting firm, and consequently, you may have no assurance from an independent source that the price we are paying for the business is fair to our company from a financial point of view.</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Unless we complete our initial business combination with an affiliated entity, we are not required to obtain an opinion from an independent investment banking firm, or from an independent accounting firm, that the price we are paying is fair to our company from a financial point of view. If no opinion is obtained, our shareholders will be relying on the judgment of our board of directors, who will determine fair market value based on standards generally accepted by the financial community. Such standards used will be disclosed in our tender offer documents or proxy solicitation materials, as applicable, related to our initial business combination.</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We may issue additional Class A ordinary shares or preferred shares to complete our initial business combination or under an employee incentive plan after completion of our initial business combination. We may also issue Class A ordinary shares upon the conversion of the founder shares at a ratio greater than one-to-one at the time of our initial business combination as a result of the anti-dilution provisions contained in our amended and restated memorandum and articles of association. Any such issuances would substantially dilute the interest of our shareholders and likely present other risks.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Our amended and restated memorandum and articles of association will authorize the issuance of ordinary shares, including 200,000,000 Class A ordinary shares, par value $0.0001 per share, and 20,000,000 Class B ordinary shares, par value $0.0001 per share, as well as 1,000,000 preferred shares, par value $0.0001. Immediately after this offering, there will be 155,500,000 and 13,750,000 (assuming that the underwriters have not exercised their </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41</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over-allotment option) authorized but unissued Class A ordinary shares and Class B ordinary shares, respectively, available for issuance, which amount takes into account shares reserved for issuance upon exercise of outstanding warrants, and 1,000,000 authorized but unissued preferred shares available for issuance. </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may issue a substantial number of additional Class A ordinary shares, and may issue preferred shares, in order to complete our initial business combination or under an employee incentive plan after completion of our initial business combination. We may also issue Class A ordinary shares upon conversion of the Class B ordinary shares at a ratio greater than one-to-one at the time of our initial business combination as a result of the anti-dilution provisions as set forth herein. However, our amended and restated memorandum and articles of association will provide, among other things, that prior to our initial business combination, we may not issue additional shares that would entitle the holders thereof to (1) receive funds from the trust account or (2) vote as a class with our public shares (a) on any initial business combination or (b) to approve an amendment to our amended and restated memorandum and articles of association to (x) extend the time we have to consummate a business combination beyond 18 months from the closing of this offering or (y) amend the foregoing provisions. The issuance of additional ordinary shares or preferred shares:</w:t>
      </w:r>
    </w:p>
    <w:tbl>
      <w:tblPr>
        <w:tblW w:w="5000" w:type="pct"/>
        <w:jc w:val="left"/>
        <w:tblInd w:w="0" w:type="dxa"/>
        <w:tblCellMar>
          <w:top w:w="0" w:type="dxa"/>
          <w:left w:w="0" w:type="dxa"/>
          <w:bottom w:w="0" w:type="dxa"/>
          <w:right w:w="0" w:type="dxa"/>
        </w:tblCellMar>
      </w:tblPr>
      <w:tblGrid>
        <w:gridCol w:w="722"/>
        <w:gridCol w:w="696"/>
        <w:gridCol w:w="8787"/>
      </w:tblGrid>
      <w:tr>
        <w:trPr/>
        <w:tc>
          <w:tcPr>
            <w:tcW w:w="722"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jc w:val="left"/>
              <w:rPr>
                <w:color w:val="000000"/>
              </w:rPr>
            </w:pPr>
            <w:r>
              <w:rPr>
                <w:color w:val="000000"/>
              </w:rPr>
              <w:t>•</w:t>
            </w:r>
          </w:p>
        </w:tc>
        <w:tc>
          <w:tcPr>
            <w:tcW w:w="8787"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may significantly dilute the equity interest of investors in this offering;</w:t>
            </w:r>
          </w:p>
        </w:tc>
      </w:tr>
    </w:tbl>
    <w:tbl>
      <w:tblPr>
        <w:tblW w:w="5000" w:type="pct"/>
        <w:jc w:val="left"/>
        <w:tblInd w:w="0" w:type="dxa"/>
        <w:tblCellMar>
          <w:top w:w="0" w:type="dxa"/>
          <w:left w:w="0" w:type="dxa"/>
          <w:bottom w:w="0" w:type="dxa"/>
          <w:right w:w="0" w:type="dxa"/>
        </w:tblCellMar>
      </w:tblPr>
      <w:tblGrid>
        <w:gridCol w:w="350"/>
        <w:gridCol w:w="349"/>
        <w:gridCol w:w="9506"/>
      </w:tblGrid>
      <w:tr>
        <w:trPr/>
        <w:tc>
          <w:tcPr>
            <w:tcW w:w="350"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jc w:val="left"/>
              <w:rPr>
                <w:color w:val="000000"/>
              </w:rPr>
            </w:pPr>
            <w:r>
              <w:rPr>
                <w:color w:val="000000"/>
              </w:rPr>
              <w:t>•</w:t>
            </w:r>
          </w:p>
        </w:tc>
        <w:tc>
          <w:tcPr>
            <w:tcW w:w="9506"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may subordinate the rights of holders of Class A ordinary shares if preferred shares are issued with rights senior to those afforded our Class A ordinary shares;</w:t>
            </w:r>
          </w:p>
        </w:tc>
      </w:tr>
    </w:tbl>
    <w:tbl>
      <w:tblPr>
        <w:tblW w:w="5000" w:type="pct"/>
        <w:jc w:val="left"/>
        <w:tblInd w:w="0" w:type="dxa"/>
        <w:tblCellMar>
          <w:top w:w="0" w:type="dxa"/>
          <w:left w:w="0" w:type="dxa"/>
          <w:bottom w:w="0" w:type="dxa"/>
          <w:right w:w="0" w:type="dxa"/>
        </w:tblCellMar>
      </w:tblPr>
      <w:tblGrid>
        <w:gridCol w:w="211"/>
        <w:gridCol w:w="242"/>
        <w:gridCol w:w="9752"/>
      </w:tblGrid>
      <w:tr>
        <w:trPr/>
        <w:tc>
          <w:tcPr>
            <w:tcW w:w="211"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jc w:val="left"/>
              <w:rPr>
                <w:color w:val="000000"/>
              </w:rPr>
            </w:pPr>
            <w:r>
              <w:rPr>
                <w:color w:val="000000"/>
              </w:rPr>
              <w:t>•</w:t>
            </w:r>
          </w:p>
        </w:tc>
        <w:tc>
          <w:tcPr>
            <w:tcW w:w="9752"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could cause a change in control if a substantial number of Class A ordinary shares are issued, which may affect, among other things, our ability to use our net operating loss carry forwards, if any, and could result in the resignation or removal of our present officers and directors; and</w:t>
            </w:r>
          </w:p>
        </w:tc>
      </w:tr>
    </w:tbl>
    <w:tbl>
      <w:tblPr>
        <w:tblW w:w="5000" w:type="pct"/>
        <w:jc w:val="left"/>
        <w:tblInd w:w="0" w:type="dxa"/>
        <w:tblCellMar>
          <w:top w:w="0" w:type="dxa"/>
          <w:left w:w="0" w:type="dxa"/>
          <w:bottom w:w="0" w:type="dxa"/>
          <w:right w:w="0" w:type="dxa"/>
        </w:tblCellMar>
      </w:tblPr>
      <w:tblGrid>
        <w:gridCol w:w="530"/>
        <w:gridCol w:w="511"/>
        <w:gridCol w:w="9164"/>
      </w:tblGrid>
      <w:tr>
        <w:trPr/>
        <w:tc>
          <w:tcPr>
            <w:tcW w:w="530"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jc w:val="left"/>
              <w:rPr>
                <w:color w:val="000000"/>
              </w:rPr>
            </w:pPr>
            <w:r>
              <w:rPr>
                <w:color w:val="000000"/>
              </w:rPr>
              <w:t>•</w:t>
            </w:r>
          </w:p>
        </w:tc>
        <w:tc>
          <w:tcPr>
            <w:tcW w:w="9164"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may adversely affect prevailing market prices for our units, Class A ordinary shares and/or warrants.</w:t>
            </w:r>
          </w:p>
        </w:tc>
      </w:tr>
    </w:tbl>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Unlike certain other blank check companies, our initial shareholder will receive additional Class A ordinary shares if we issue shares to consummate an initial business combination.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founder shares will automatically convert into Class A ordinary shares on the first business day following the completion of our initial business combination on a one-for-one basis, subject to adjustment as provided herein. In the case that additional Class A ordinary shares, or equity-linked securities convertible or exercisable for Class A ordinary shares, are issued or deemed issued in excess of the amounts issued in this offering and related to the closing of our initial business combination, the ratio at which founder shares will convert into Class A ordinary shares will be adjusted (subject to waiver by holders of a majority of the Class B ordinary shares then in issue) so that the number of Class A ordinary shares issuable upon conversion of all Class B ordinary shares will equal, in the aggregate, on an as-converted basis, 20% of the sum of our ordinary shares issued and outstanding upon the completion of this offering plus the number of Class A ordinary shares and equity-linked securities issued or deemed issued in connection with our initial business combination (net of redemptions), excluding any Class A ordinary shares or equity-linked securities issued, or to be issued, to any seller in our initial business combination and any private placement warrants issued to our sponsor, an affiliate of our sponsor or any of our officers or directors. This is different than certain other blank check companies in which the initial shareholder will only be issued an aggregate of 20% of the total number of shares to be outstanding prior to our initial business combination.</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We may be a passive foreign investment company, or PFIC, which could result in adverse United States federal income tax consequences to U.S. investors.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If we are a PFIC for any taxable year (or portion thereof) that is included in the holding period of a U.S. Holder (as defined in the section of this prospectus captioned Income Tax Considerations—United States Federal Income Taxation—General) of our Class A ordinary shares or warrants, the U.S. Holder may be subject to adverse U.S. federal income tax consequences and may be subject to additional reporting requirements. Our PFIC status for our current and subsequent taxable years may depend on whether we qualify for the PFIC start-up exception (see the section of this prospectus captioned Income Tax Considerations—United States Federal Income Taxation—U.S. Holders—Passive Foreign Investment Company Rules). Depending on the particular circumstances, the application of the start-up exception may be subject to uncertainty, and there cannot be any assurance that we will qualify for the start-up exception. Accordingly, there can be no assurances with respect to our status as a PFIC for our current taxable year or any subsequent taxable year. Our actual PFIC status for any </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42</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taxable year, moreover, will not be determinable until after the end of such taxable year. If we determine we are a PFIC for any taxable year (of which there can be no assurance), we will endeavor to provide to a U.S. Holder such information as the Internal Revenue Service (IRS) may require, including a PFIC annual information statement, in order to enable the U.S. Holder to make and maintain a qualified electing fund election, but there can be no assurance that we will timely provide such required information, and such election would be unavailable with respect to our warrants in all cases. We urge U.S. investors to consult their own tax advisors regarding the possible application of the PFIC rules. For a more detailed discussion of the tax consequences of PFIC classification to U.S. Holders, see the section of this prospectus captioned Income Tax Considerations —United States Federal Income Taxation—U.S. Holders—Passive Foreign Investment Company Rules.</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We may reincorporate in another jurisdiction in connection with our initial business combination and such reincorporation may result in taxes imposed on shareholders.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may, in connection with our initial business combination and subject to requisite shareholder approval under the Companies Law, reincorporate in the jurisdiction in which the target company or business is located or in another jurisdiction. The transaction may require a shareholder to recognize taxable income in the jurisdiction in which the shareholder is a tax resident or in which its members are resident if it is a tax transparent entity. We do not intend to make any cash distributions to shareholders to pay such taxes. Shareholders may be subject to withholding taxes or other taxes with respect to their ownership of us after the reincorporation.</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Resources could be wasted in researching acquisitions that are not completed, which could materially adversely affect subsequent attempts to locate and acquire or merge with another business. If we are unable to complete our initial business combination, our public shareholders may receive only approximately $10.00 per share, or less than such amount in certain circumstances, on the liquidation of our trust account and our warrants will expire worthless.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shareholders may receive only approximately $10.00 per share, or less in certain circumstances, on the liquidation of our trust account and our warrants will expire worthless.</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We are dependent upon our officers and directors and their departure could adversely affect our ability to operate.</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Our operations are dependent upon a relatively small group of individuals – in particular, Scott Gordon, our Chief Executive Officer and Chairman of our board of directors, William Healy, our President and a member of our board of directors, and Greg Gentile, our Chief Financial Officer, and Mohammed Grimeh, our Chief Operating Officer. We believe that our success depends on the continued service of our officers and directors, at least until we have completed our initial business combination. In addition, our officers and directors are not required to commit any specified amount of time to our affairs and, accordingly, will have conflicts of interest in allocating their time among various business activities, including identifying potential business combinations and monitoring the related due diligence. Moreover, certain of our officers and directors have time and attention requirements for investment funds of which affiliates of our sponsor are the investment managers. We do not have an employment agreement with, or key-man insurance on the life of, any of our directors or officers. The unexpected loss of the services of one or more of our directors or officers could have a detrimental effect on us.</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Our ability to successfully effect our initial business combination and to be successful thereafter will be dependent upon the efforts of our key personnel, some of whom may join us following our initial business combination. The loss of key personnel could negatively impact the operations and profitability of our post-combination business.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or advisory </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43</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positions following our initial business combination, it is likely that some or all of the management of the target business will remain in place. While we intend to closely scrutinize any individuals we engage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In addition, the officers and directors of an acquisition candidate may resign upon completion of our initial business combination. The departure of a business combination targets key personnel could negatively impact the operations and profitability of our post-combination business. The role of an acquisition candidates key personnel upon the completion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members of the management of an acquisition candidate will not wish to remain in place. The loss of key personnel could negatively impact the operations and profitability of our post-combination business.</w:t>
      </w:r>
    </w:p>
    <w:p>
      <w:pPr>
        <w:pStyle w:val="TextBody"/>
        <w:spacing w:lineRule="atLeast" w:line="225"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Our key personnel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a particular business combination is the most advantageous.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Our key personnel may be able to remain with the company after the completion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completion of our initial business combination. The personal and financial interests of such individuals may influence their motivation in identifying and selecting a target business, subject to their fiduciary duties under Cayman Islands law. However, we believe the ability of such individuals to remain with us after the completion of our initial business combination will not be the determining factor in our decision as to whether or not we will proceed with any potential business combination. There is no certainty, however, that any of our key personnel will remain with us after the completion of our initial business combination. We cannot assure you that any of our key personnel will remain in senior management or advisory positions with us. The determination as to whether any of our key personnel will remain with us will be made at the time of our initial business combination.</w:t>
      </w:r>
    </w:p>
    <w:p>
      <w:pPr>
        <w:pStyle w:val="TextBody"/>
        <w:spacing w:lineRule="atLeast" w:line="225"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We may have limited ability to assess the management of a prospective target business and, as a result, may effect our initial business combination with a target business whose management may not have the skills, qualifications or abilities to manage a public company.</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When evaluating the desirability of effecting our initial business combination with a prospective target business, our ability to assess the target businesss management may be limited due to a lack of time, resources or information. Our assessment of the capabilities of the targets management, therefore, may prove to be incorrect and such management may lack the skills, qualifications or abilities we suspected. Should the targets management not possess the skills, qualifications or abilities necessary to manage a public company, the operations and profitability of the post-combination business may be negatively impacted. Accordingly, shareholders or warrant holders who choose to remain shareholders or warrant holders following our initial business combination could suffer a reduction in the value of their securities. Such shareholders or warrant holders are unlikely to have a remedy for such reduction in value.</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officers and directors of an acquisition candidate may resign upon completion of our initial business combination. The departure of a business combination targets key personnel could negatively impact the operations and profitability of our post-combination business. The role of an acquisition candidates key personnel upon the completion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members of the management of an acquisition candidate will not wish to remain in place.</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44</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Our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Our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officers is engaged in several other business endeavors for which he may be entitled to substantial compensation and our officers are not obligated to contribute any specific number of hours per week to our affairs. Our independent directors may also serve as officers and board members for other entities. If our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 For a complete discussion of our officers and directors other business affairs, please see Management—Directors, Director Nominees and Executive Officers.</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Certain of our officers and directors are now, and all of them may in the future become, affiliated with entities engaged in business activities similar to those intended to be conducted by us and, accordingly, may have conflicts of interest in determining to which entity a particular business opportunity should be presented.</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Following the completion of this offering and until we consummate our initial business combination, we intend to engage in the business of identifying and combining with one or more businesses. Our sponsor and officers and directors are, or may in the future become, affiliated with entities that are engaged in a similar business, and they are not prohibited from sponsoring, or otherwise becoming involved with, other blank check companies prior to us completing our initial business combination. Moreover, certain of our officers and directors have time and attention requirements for investment funds of which affiliates of our sponsor are the investment managers.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Our officers and directors also may become aware of business opportunities which may be appropriate for presentation to us and the other entities to which they owe certain fiduciary or contractual duties. Accordingly, they may have conflicts of interest in determining to which entity a particular business opportunity should be presented. These conflicts may not be resolved in our favor and a potential target business may be presented to other entities prior to its presentation to us, subject to their fiduciary duties under Cayman Islands law.</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For a complete discussion of our officers and directors business affiliations and the potential conflicts of interest that you should be aware of, please see Management—Directors, Director Nominees and Executive Officers, Management—Conflicts of Interest and Certain Relationships and Related Party Transactions.</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Our officers, directors, security holders and their respective affiliates may have competitive pecuniary interests that conflict with our interests.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have not adopted a policy that expressly prohibits our directors, officers, security holders or affiliates from having a direct or indirect pecuniary or financial interest in any investment to be acquired or disposed of by us or in any transaction to which we are a party or have an interest. In fact, we may enter into a business combination with a target business that is affiliated with our sponsor, directors or officers, although we do not intend to do so. Nor do we have a policy that expressly prohibits any such persons from engaging for their own account in business activities of the types conducted by us. Accordingly, such persons or entities may have a conflict between their interests and ours.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In particular, affiliates of our sponsor have invested in industries as diverse as cannabis, consumer products, medical and scientific research and investment management. As a result, there may be substantial overlap between companies that would be a suitable business combination for us and companies that would make an attractive target for such other affiliates.</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We may engage in a business combination with one or more target businesses that have relationships with entities that may be affiliated with our sponsor, officers or directors which may raise potential conflicts of interest.</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In light of the involvement of our sponsor, officers and directors with other entities, we may decide to acquire one or more businesses affiliated with our sponsor, officers and directors. Our officers and directors also serve as officers and board members for other entities, including, without limitation, those described under </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45</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Management—Conflicts of Interest. Such entities may compete with us for business combination opportunities. Our sponsor, officers and directors are not currently aware of any specific opportunities for us to complete our initial business combination with any entities with which they are affiliated, and there have been no preliminary discussions concerning a business combination with any such entity or entities. Although we will not be specifically focusing on, or targeting, any transaction with any affiliated entities, we would pursue such a transaction if we determined that such affiliated entity met our criteria for a business combination as set forth in Proposed Business—Effecting Our Initial Business Combination—Selection of a target business and structuring of our initial business combination and such transaction was approved by a majority of our independent and disinterested directors.</w:t>
      </w:r>
    </w:p>
    <w:p>
      <w:pPr>
        <w:pStyle w:val="TextBody"/>
        <w:spacing w:lineRule="atLeast" w:line="225"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Since our initial shareholders will lose their entire investment in us if our initial business combination is not completed (other than with respect to any public shares they may acquire), a conflict of interest may arise in determining whether a particular business combination target is appropriate for our initial business combination.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On June 11, 2019, our sponsor subscribed for an aggregate of 7,187,500 founder shares for an aggregate purchase price of $25,000, or $0.004 per share (assuming the over-allotment option is not exercised and the forfeiture by our sponsor of 937,500 founder shares). As such, our initial shareholders will collectively own 20% of our issued and outstanding shares after this offering (assuming they do not purchase any units in this offering). The founder shares will be worthless if we do not complete an initial business combination. In addition, our sponsor has committed to purchase an aggregate of 7,000,000 (or 7,750,000 if the underwriters over-allotment option is exercised in full) private placement warrants, each exercisable to purchase one Class A ordinary share, for a purchase price of $7,000,000 in the aggregate (or $7,750,000 in the aggregate if the underwriters over-allotment option is exercised in full), or $1.00 per warrant, that will also be worthless if we do not complete a business combination. Each private placement warrant may be exercised for one Class A ordinary share at a price of $11.50 per share, subject to adjustment as provided herein. </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founder shares are identical to the ordinary shares included in the units being sold in this offering except that: (1) prior to our initial business combination, only holders of the founder shares have the right to vote on the election of directors and holders of a majority of our founder shares may remove a member of the board of directors for any reason; (2) the founder shares are subject to certain transfer restrictions; (3) our initial shareholders have entered into a letter agreement with us, pursuant to which they have agreed to waive: (x) their redemption rights with respect to their founder shares and any public shares held by them in connection with the completion of our initial business combination (and not seek to sell its shares to us in any tender offer we undertake in connection with our initial business combination); (y) their redemption rights with respect to their founder shares and any public shares held by them in connection with a shareholder vote to approve an amendment to our amended and restated memorandum and articles of association (A) to modify the substance or timing of our obligation to redeem 100% of our public shares if we do not complete our initial business combination within 18 months from the closing of this offering or (B) with respect to any other provision relating to shareholders rights or pre-initial business combination activity; and (z) their rights to liquidating distributions from the trust account with respect to any founder shares they hold if we fail to complete our initial business combination within 18 months from the closing of this offering (although they will be entitled to liquidating distributions from the trust account with respect to any public shares they hold if we fail to complete our initial business combination within the prescribed time frame); (4) the founder shares will automatically convert into our Class A ordinary shares on the first business day following the completion of our initial business combination on a one-for-one basis subject to adjustment pursuant to certain anti-dilution rights and (5) the founder shares are entitled to registration rights. Our directors and officers have also entered into the letter agreement with respect to public shares acquired by them, if any.</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personal and financial interests of our sponsor, officers and directors may influence their motivation in identifying and selecting a target business combination, completing an initial business combination and influencing the operation of the business following the initial business combination. This risk may become more acute as the 18-month deadline following the closing of this offering nears, which is the deadline for the completion of our initial business combination.</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46</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We may issue notes or other debt securities, or otherwise incur substantial debt, to complete a business combination, which may adversely affect our leverage and financial condition and thus negatively impact the value of our shareholders investment in us.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Although we have no commitments as of the date of this prospectus to issue any notes or other debt securities, or to otherwise incur outstanding debt following this offering, we may choose to incur substantial debt to complete our initial business combination. We have agreed that we will not incur any indebtedness unless we have obtained from the lender a waiver of any right, title, interest or claim of any kind in or to the monies held in the trust account. As such, no issuance of debt will affect the per-share amount available for redemption from the trust account. Nevertheless, the incurrence of debt could have a variety of negative effects, including:</w:t>
      </w:r>
    </w:p>
    <w:tbl>
      <w:tblPr>
        <w:tblW w:w="5000" w:type="pct"/>
        <w:jc w:val="left"/>
        <w:tblInd w:w="0" w:type="dxa"/>
        <w:tblCellMar>
          <w:top w:w="0" w:type="dxa"/>
          <w:left w:w="0" w:type="dxa"/>
          <w:bottom w:w="0" w:type="dxa"/>
          <w:right w:w="0" w:type="dxa"/>
        </w:tblCellMar>
      </w:tblPr>
      <w:tblGrid>
        <w:gridCol w:w="378"/>
        <w:gridCol w:w="370"/>
        <w:gridCol w:w="9457"/>
      </w:tblGrid>
      <w:tr>
        <w:trPr/>
        <w:tc>
          <w:tcPr>
            <w:tcW w:w="378"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jc w:val="left"/>
              <w:rPr>
                <w:color w:val="000000"/>
              </w:rPr>
            </w:pPr>
            <w:r>
              <w:rPr>
                <w:color w:val="000000"/>
              </w:rPr>
              <w:t>•</w:t>
            </w:r>
          </w:p>
        </w:tc>
        <w:tc>
          <w:tcPr>
            <w:tcW w:w="9457"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default and foreclosure on our assets if our operating revenues after an initial business combination are insufficient to repay our debt obligations;</w:t>
            </w:r>
          </w:p>
        </w:tc>
      </w:tr>
    </w:tbl>
    <w:tbl>
      <w:tblPr>
        <w:tblW w:w="5000" w:type="pct"/>
        <w:jc w:val="left"/>
        <w:tblInd w:w="0" w:type="dxa"/>
        <w:tblCellMar>
          <w:top w:w="0" w:type="dxa"/>
          <w:left w:w="0" w:type="dxa"/>
          <w:bottom w:w="0" w:type="dxa"/>
          <w:right w:w="0" w:type="dxa"/>
        </w:tblCellMar>
      </w:tblPr>
      <w:tblGrid>
        <w:gridCol w:w="220"/>
        <w:gridCol w:w="249"/>
        <w:gridCol w:w="9736"/>
      </w:tblGrid>
      <w:tr>
        <w:trPr/>
        <w:tc>
          <w:tcPr>
            <w:tcW w:w="220"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jc w:val="left"/>
              <w:rPr>
                <w:color w:val="000000"/>
              </w:rPr>
            </w:pPr>
            <w:r>
              <w:rPr>
                <w:color w:val="000000"/>
              </w:rPr>
              <w:t>•</w:t>
            </w:r>
          </w:p>
        </w:tc>
        <w:tc>
          <w:tcPr>
            <w:tcW w:w="9736"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tc>
      </w:tr>
    </w:tbl>
    <w:tbl>
      <w:tblPr>
        <w:tblW w:w="5000" w:type="pct"/>
        <w:jc w:val="left"/>
        <w:tblInd w:w="0" w:type="dxa"/>
        <w:tblCellMar>
          <w:top w:w="0" w:type="dxa"/>
          <w:left w:w="0" w:type="dxa"/>
          <w:bottom w:w="0" w:type="dxa"/>
          <w:right w:w="0" w:type="dxa"/>
        </w:tblCellMar>
      </w:tblPr>
      <w:tblGrid>
        <w:gridCol w:w="525"/>
        <w:gridCol w:w="506"/>
        <w:gridCol w:w="9174"/>
      </w:tblGrid>
      <w:tr>
        <w:trPr/>
        <w:tc>
          <w:tcPr>
            <w:tcW w:w="525"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jc w:val="left"/>
              <w:rPr>
                <w:color w:val="000000"/>
              </w:rPr>
            </w:pPr>
            <w:r>
              <w:rPr>
                <w:color w:val="000000"/>
              </w:rPr>
              <w:t>•</w:t>
            </w:r>
          </w:p>
        </w:tc>
        <w:tc>
          <w:tcPr>
            <w:tcW w:w="9174"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our immediate payment of all principal and accrued interest, if any, if the debt is payable on demand;</w:t>
            </w:r>
          </w:p>
        </w:tc>
      </w:tr>
    </w:tbl>
    <w:tbl>
      <w:tblPr>
        <w:tblW w:w="5000" w:type="pct"/>
        <w:jc w:val="left"/>
        <w:tblInd w:w="0" w:type="dxa"/>
        <w:tblCellMar>
          <w:top w:w="0" w:type="dxa"/>
          <w:left w:w="0" w:type="dxa"/>
          <w:bottom w:w="0" w:type="dxa"/>
          <w:right w:w="0" w:type="dxa"/>
        </w:tblCellMar>
      </w:tblPr>
      <w:tblGrid>
        <w:gridCol w:w="331"/>
        <w:gridCol w:w="334"/>
        <w:gridCol w:w="9540"/>
      </w:tblGrid>
      <w:tr>
        <w:trPr/>
        <w:tc>
          <w:tcPr>
            <w:tcW w:w="331"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jc w:val="left"/>
              <w:rPr>
                <w:color w:val="000000"/>
              </w:rPr>
            </w:pPr>
            <w:r>
              <w:rPr>
                <w:color w:val="000000"/>
              </w:rPr>
              <w:t>•</w:t>
            </w:r>
          </w:p>
        </w:tc>
        <w:tc>
          <w:tcPr>
            <w:tcW w:w="9540"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our inability to obtain necessary additional financing if the debt contains covenants restricting our ability to obtain such financing while the debt security is outstanding;</w:t>
            </w:r>
          </w:p>
        </w:tc>
      </w:tr>
    </w:tbl>
    <w:tbl>
      <w:tblPr>
        <w:tblW w:w="5000" w:type="pct"/>
        <w:jc w:val="left"/>
        <w:tblInd w:w="0" w:type="dxa"/>
        <w:tblCellMar>
          <w:top w:w="0" w:type="dxa"/>
          <w:left w:w="0" w:type="dxa"/>
          <w:bottom w:w="0" w:type="dxa"/>
          <w:right w:w="0" w:type="dxa"/>
        </w:tblCellMar>
      </w:tblPr>
      <w:tblGrid>
        <w:gridCol w:w="809"/>
        <w:gridCol w:w="780"/>
        <w:gridCol w:w="8616"/>
      </w:tblGrid>
      <w:tr>
        <w:trPr/>
        <w:tc>
          <w:tcPr>
            <w:tcW w:w="809"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jc w:val="left"/>
              <w:rPr>
                <w:color w:val="000000"/>
              </w:rPr>
            </w:pPr>
            <w:r>
              <w:rPr>
                <w:color w:val="000000"/>
              </w:rPr>
              <w:t>•</w:t>
            </w:r>
          </w:p>
        </w:tc>
        <w:tc>
          <w:tcPr>
            <w:tcW w:w="8616"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our inability to pay dividends on our Class A ordinary shares;</w:t>
            </w:r>
          </w:p>
        </w:tc>
      </w:tr>
    </w:tbl>
    <w:tbl>
      <w:tblPr>
        <w:tblW w:w="5000" w:type="pct"/>
        <w:jc w:val="left"/>
        <w:tblInd w:w="0" w:type="dxa"/>
        <w:tblCellMar>
          <w:top w:w="0" w:type="dxa"/>
          <w:left w:w="0" w:type="dxa"/>
          <w:bottom w:w="0" w:type="dxa"/>
          <w:right w:w="0" w:type="dxa"/>
        </w:tblCellMar>
      </w:tblPr>
      <w:tblGrid>
        <w:gridCol w:w="223"/>
        <w:gridCol w:w="252"/>
        <w:gridCol w:w="9730"/>
      </w:tblGrid>
      <w:tr>
        <w:trPr/>
        <w:tc>
          <w:tcPr>
            <w:tcW w:w="223"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jc w:val="left"/>
              <w:rPr>
                <w:color w:val="000000"/>
              </w:rPr>
            </w:pPr>
            <w:r>
              <w:rPr>
                <w:color w:val="000000"/>
              </w:rPr>
              <w:t>•</w:t>
            </w:r>
          </w:p>
        </w:tc>
        <w:tc>
          <w:tcPr>
            <w:tcW w:w="9730"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using a substantial portion of our cash flow to pay principal and interest on our debt, which will reduce the funds available for dividends on our Class A ordinary shares if declared, expenses, capital expenditures, acquisitions and other general corporate purposes;</w:t>
            </w:r>
          </w:p>
        </w:tc>
      </w:tr>
    </w:tbl>
    <w:tbl>
      <w:tblPr>
        <w:tblW w:w="5000" w:type="pct"/>
        <w:jc w:val="left"/>
        <w:tblInd w:w="0" w:type="dxa"/>
        <w:tblCellMar>
          <w:top w:w="0" w:type="dxa"/>
          <w:left w:w="0" w:type="dxa"/>
          <w:bottom w:w="0" w:type="dxa"/>
          <w:right w:w="0" w:type="dxa"/>
        </w:tblCellMar>
      </w:tblPr>
      <w:tblGrid>
        <w:gridCol w:w="436"/>
        <w:gridCol w:w="420"/>
        <w:gridCol w:w="9349"/>
      </w:tblGrid>
      <w:tr>
        <w:trPr/>
        <w:tc>
          <w:tcPr>
            <w:tcW w:w="436"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jc w:val="left"/>
              <w:rPr>
                <w:color w:val="000000"/>
              </w:rPr>
            </w:pPr>
            <w:r>
              <w:rPr>
                <w:color w:val="000000"/>
              </w:rPr>
              <w:t>•</w:t>
            </w:r>
          </w:p>
        </w:tc>
        <w:tc>
          <w:tcPr>
            <w:tcW w:w="9349"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limitations on our flexibility in planning for and reacting to changes in our business and in the industry in which we operate;</w:t>
            </w:r>
          </w:p>
        </w:tc>
      </w:tr>
    </w:tbl>
    <w:tbl>
      <w:tblPr>
        <w:tblW w:w="5000" w:type="pct"/>
        <w:jc w:val="left"/>
        <w:tblInd w:w="0" w:type="dxa"/>
        <w:tblCellMar>
          <w:top w:w="0" w:type="dxa"/>
          <w:left w:w="0" w:type="dxa"/>
          <w:bottom w:w="0" w:type="dxa"/>
          <w:right w:w="0" w:type="dxa"/>
        </w:tblCellMar>
      </w:tblPr>
      <w:tblGrid>
        <w:gridCol w:w="360"/>
        <w:gridCol w:w="357"/>
        <w:gridCol w:w="9488"/>
      </w:tblGrid>
      <w:tr>
        <w:trPr/>
        <w:tc>
          <w:tcPr>
            <w:tcW w:w="360"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jc w:val="left"/>
              <w:rPr>
                <w:color w:val="000000"/>
              </w:rPr>
            </w:pPr>
            <w:r>
              <w:rPr>
                <w:color w:val="000000"/>
              </w:rPr>
              <w:t>•</w:t>
            </w:r>
          </w:p>
        </w:tc>
        <w:tc>
          <w:tcPr>
            <w:tcW w:w="9488"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increased vulnerability to adverse changes in general economic, industry and competitive conditions and adverse changes in government regulation; and</w:t>
            </w:r>
          </w:p>
        </w:tc>
      </w:tr>
    </w:tbl>
    <w:tbl>
      <w:tblPr>
        <w:tblW w:w="5000" w:type="pct"/>
        <w:jc w:val="left"/>
        <w:tblInd w:w="0" w:type="dxa"/>
        <w:tblCellMar>
          <w:top w:w="0" w:type="dxa"/>
          <w:left w:w="0" w:type="dxa"/>
          <w:bottom w:w="0" w:type="dxa"/>
          <w:right w:w="0" w:type="dxa"/>
        </w:tblCellMar>
      </w:tblPr>
      <w:tblGrid>
        <w:gridCol w:w="232"/>
        <w:gridCol w:w="259"/>
        <w:gridCol w:w="9714"/>
      </w:tblGrid>
      <w:tr>
        <w:trPr/>
        <w:tc>
          <w:tcPr>
            <w:tcW w:w="232"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jc w:val="left"/>
              <w:rPr>
                <w:color w:val="000000"/>
              </w:rPr>
            </w:pPr>
            <w:r>
              <w:rPr>
                <w:color w:val="000000"/>
              </w:rPr>
              <w:t>•</w:t>
            </w:r>
          </w:p>
        </w:tc>
        <w:tc>
          <w:tcPr>
            <w:tcW w:w="9714"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limitations on our ability to borrow additional amounts for expenses, capital expenditures, acquisitions, debt service requirements, execution of our strategy and other purposes and other disadvantages compared to our competitors who have less debt.</w:t>
            </w:r>
          </w:p>
        </w:tc>
      </w:tr>
    </w:tbl>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We may be able to complete only one business combination with the proceeds of this offering and the sale of the private placement warrants, which will cause us to be solely dependent on a single business which may have a limited number of products or services. This lack of diversification may negatively impact our operations and profitability.</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The net proceeds from this offering and the sale of the private placement warrants will provide us with $250,000,000 (or $287,500,000 if the underwriters over-allotment option is exercised in full) that we may use to complete our initial business combination (which includes $8,750,000, or up to $10,062,500 if the underwriters over-allotment option is exercised in full, of deferred underwriting commissions being held in the trust account). </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may effectuate our initial business combination with a single target business or multiple 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completing our initial business combination with only a single entity our lack of diversification may subject us to numerous economic, competitive and regulatory risks.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tbl>
      <w:tblPr>
        <w:tblW w:w="5000" w:type="pct"/>
        <w:jc w:val="left"/>
        <w:tblInd w:w="0" w:type="dxa"/>
        <w:tblCellMar>
          <w:top w:w="0" w:type="dxa"/>
          <w:left w:w="0" w:type="dxa"/>
          <w:bottom w:w="0" w:type="dxa"/>
          <w:right w:w="0" w:type="dxa"/>
        </w:tblCellMar>
      </w:tblPr>
      <w:tblGrid>
        <w:gridCol w:w="640"/>
        <w:gridCol w:w="616"/>
        <w:gridCol w:w="8949"/>
      </w:tblGrid>
      <w:tr>
        <w:trPr/>
        <w:tc>
          <w:tcPr>
            <w:tcW w:w="640"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jc w:val="left"/>
              <w:rPr>
                <w:color w:val="000000"/>
              </w:rPr>
            </w:pPr>
            <w:r>
              <w:rPr>
                <w:color w:val="000000"/>
              </w:rPr>
              <w:t>•</w:t>
            </w:r>
          </w:p>
        </w:tc>
        <w:tc>
          <w:tcPr>
            <w:tcW w:w="8949"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solely dependent upon the performance of a single business, property or asset; or</w:t>
            </w:r>
          </w:p>
        </w:tc>
      </w:tr>
    </w:tbl>
    <w:tbl>
      <w:tblPr>
        <w:tblW w:w="5000" w:type="pct"/>
        <w:jc w:val="left"/>
        <w:tblInd w:w="0" w:type="dxa"/>
        <w:tblCellMar>
          <w:top w:w="0" w:type="dxa"/>
          <w:left w:w="0" w:type="dxa"/>
          <w:bottom w:w="0" w:type="dxa"/>
          <w:right w:w="0" w:type="dxa"/>
        </w:tblCellMar>
      </w:tblPr>
      <w:tblGrid>
        <w:gridCol w:w="452"/>
        <w:gridCol w:w="435"/>
        <w:gridCol w:w="9318"/>
      </w:tblGrid>
      <w:tr>
        <w:trPr/>
        <w:tc>
          <w:tcPr>
            <w:tcW w:w="452"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jc w:val="left"/>
              <w:rPr>
                <w:color w:val="000000"/>
              </w:rPr>
            </w:pPr>
            <w:r>
              <w:rPr>
                <w:color w:val="000000"/>
              </w:rPr>
              <w:t>•</w:t>
            </w:r>
          </w:p>
        </w:tc>
        <w:tc>
          <w:tcPr>
            <w:tcW w:w="9318"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dependent upon the development or market acceptance of a single or limited number of products, processes or services.</w:t>
            </w:r>
          </w:p>
        </w:tc>
      </w:tr>
    </w:tbl>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47</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We may attempt to complete our initial business combination with a private company about which little information is available, which may result in a business combination with a company that is not as profitable as we suspected, if at all.</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In pursuing our acquisition strategy, we may seek to effectuate our initial business combination with a privately held company. Very little public information generally exists about private companies, and we could be required to make our decision on whether to pursue a potential initial business combination on the basis of limited information, which may result in a business combination with a company that is not as profitable as we suspected, if at all.</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We expect to need to comply with the rules of Nasdaq that require our initial business combination to occur with one or more target businesses having an aggregate fair market value equal to at least 80% of the assets held in the trust account at the time of the agreement to enter into the initial business combination.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rules of Nasdaq require that our initial business combination occur with one or more target businesses that together have an aggregate fair market value of at least 80% of the assets held in the trust account (excluding the deferred underwriting commissions and taxes payable on the income earned on the trust account) at the time of the agreement to enter into the initial business combination. This restriction may limit the type and number of companies that we may complete a business combination with. If we are unable to locate a target business or businesses that satisfy this fair market value test, our public shareholders may receive only approximately $10.00 per share, or less in certain circumstances, on the liquidation of our trust account, and our warrants will expire worthless. If we are not then listed on Nasdaq for whatever reason, we would not be required to satisfy the foregoing 80% fair market value test and could complete a business combination with a target business having a fair market value substantially below 80% of the balance in the trust account.</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Our management may not be able to maintain control of a target business after our initial business combination. We cannot provide assurance that, upon loss of control of a target business, new management will possess the skills, qualifications or abilities necessary to profitably operate such business.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We may structure our initial business combination so that the post-transaction company in which our public shareholders own shares will own less than 100% of the equity interests or assets of a target business, but we will complete such business combination only if the post-transaction company owns or acquires 50% or more of the issued and outstanding voting securities of the target or otherwise acquires a controlling interest in the target business sufficient for us not to be required to register as an investment company under the Investment Company Act. We will not consider any transaction that does not meet such criteria. Even if the post-transaction company owns 50% or more of the voting securities of the target, our shareholders prior to our initial business combination may collectively own a minority interest in the post business combination company, depending on valuations ascribed to the target and us in our initial business combination transaction. For example, we could pursue a transaction in which we issue a substantial number of new Class A ordinary shares in exchange for all of the issued and outstanding capital stock or shares of a target. In this case, we would acquire a 100% interest in the target. However, as a result of the issuance of a substantial number of new Class A ordinary shares, our </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48</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shareholders immediately prior to such transaction could own less than a majority of our issued and outstanding Class A ordinary shares subsequent to such transaction. In addition, other minority shareholders may subsequently combine their holdings resulting in a single person or group obtaining a larger share of the companys shares than we initially acquired. Accordingly, this may make it more likely that our management will not be able to maintain our control of the target business.</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We do not have a specified maximum redemption threshold. The absence of such a redemption threshold may make it possible for us to complete a business combination with which a substantial majority of our shareholders do not agree.</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Our amended and restated memorandum and articles of association will not provide a specified maximum redemption threshold, except that in no event will we redeem our public shares in an amount that would cause our net tangible assets, after payment of the deferred underwriting commissions, to be less than $5,000,001 upon completion of our initial business combination (such that we do not then become subject to the SECs penny stock rules), or any greater net tangible asset or cash requirement that may be contained in the agreement relating to our initial business combination. As a result, we may be able to complete our initial business combination even though a substantial majority of our public shareholders do not agree with the transaction and have redeemed their shares or, if we seek shareholder approval of our initial business combination and do not conduct redemptions in connection with our initial business combination pursuant to the tender offer rules, have entered into privately negotiated agreements to sell their shares to our sponsor, officers, directors, advisors or any of their affiliates. In the event the aggregate cash consideration we would be required to pay for all Class A ordinary shares that are validly submitted for redemption plus any amount required to satisfy cash conditions pursuant to the terms of the proposed business combination exceed the aggregate amount of cash available to us, we will not complete the business combination or redeem any shares, all Class A ordinary shares submitted for redemption will be returned to the holders thereof, and we instead may search for an alternate business combination.</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The exercise price for the public warrants is higher than in many similar blank check company offerings in the past, and, accordingly, the warrants are more likely to expire worthless.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exercise price of the public warrants is higher than is typical in many similar blank check companies in the past. Historically, the exercise price of a warrant was generally a fraction of the purchase price of the units in the initial public offering. The exercise price for our public warrants is $11.50 per share, subject to adjustment as provided herein. As a result, the warrants are more likely to expire worthless.</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In order to effectuate an initial business combination, blank check companies have, in the past, amended various provisions of their charters and modified governing instruments. We cannot assure you that we will not seek to amend our amended and restated memorandum and articles of association or governing instruments, in a manner that will make it easier for us to complete our initial business combination that some of our shareholders may not support.</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In order to effectuate an initial business combination, blank check companies have, in the recent past, amended various provisions of their charters and modified governing instruments. For example, blank check companies have amended the definition of business combination, increased redemption thresholds and extended the time to consummate an initial business combination. Amending our amended and restated certificate of incorporation will require at least a special resolution of our shareholders as a matter of Cayman Islands law. A resolution is deemed to be a special resolution as a matter of Cayman Islands law where it has been approved by either (1) at least two-thirds (or any higher threshold specified in a companys articles of association) of a companys shareholders at a general meeting for which notice specifying the intention to propose the resolution as a special resolution has been given or (2) if so authorized by a companys articles of association, by a unanimous written resolution of all of the companys shareholders. Our amended and restated memorandum and articles of association will provide that special resolutions must be approved either by at least two-thirds of our shareholders who attend and vote at a shareholders meeting (i.e., the lowest threshold permissible under Cayman Islands law) (other than amendments relating to the appointment or removal of directors prior to our initial business combination, which require the approval of at least 90% of our ordinary shares voting in a general meeting), or by a unanimous written resolution of all of our shareholders. We cannot assure you that we will not seek to amend our amended and restated memorandum and articles of association or governing instruments or extend the time to consummate an initial business combination in order to effectuate our initial business combination.</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49</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The provisions of our amended and restated memorandum and articles of association that relate to our pre-business combination activity (and corresponding provisions of the agreement governing the release of funds from our trust account) may be amended with the approval of holders of at least two-thirds of our ordinary shares who attend and vote at a general meeting, which is a lower amendment threshold than that of some other blank check companies. It may be easier for us, therefore, to amend our amended and restated memorandum and articles of association and the trust agreement to facilitate the completion of an initial business combination that some of our shareholders may not support.</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Some other blank check companies have a provision in their charter which prohibits the amendment of certain of its provisions, including those which relate to a companys pre-business combination activity, without approval by holders of a certain percentage of the companys shares. In those companies, amendment of these provisions typically requires approval by holders holding between 90% and 100% of the companys public shares. Our amended and restated memorandum and articles of association will provide that any of its provisions, including those related to pre-business combination activity (including the requirement to deposit proceeds of this offering and the private placement of warrants into the trust account and not release such amounts except in specified circumstances), may be amended if approved by holders of at least two-thirds of our ordinary shares who attend and vote in a general meeting, and corresponding provisions of the trust agreement governing the release of funds from our trust account may be amended if approved by holders of 65% of our ordinary shares (other than amendments relating to the appointment or removal of directors prior to our initial business combination, which require the approval of at least 90% of our ordinary shares voting in a general meeting). Our initial shareholders, who will collectively beneficially own 20% of our ordinary shares upon the closing of this offering (assuming they do not purchase any units in this offering), may participate in any vote to amend our amended and restated memorandum and articles of association and/or trust agreement and will have the discretion to vote in any manner they choose. As a result, we may be able to amend the provisions of our amended and restated memorandum and articles of association which govern our pre-business combination behavior more easily than some other blank check companies, and this may increase our ability to complete our initial business combination with which you do not agree. However, our amended and restated memorandum and articles of association prohibits any amendment of its provisions (A) to modify the substance or timing of our obligation to redeem 100% of our public shares if we do not complete our initial business combination within 18 months from the closing of this offering or (B) with respect to any other provision relating to shareholders rights or pre-initial business combination activity, unless we provide public shareholders with the opportunity to redeem their public shares. Furthermore, our sponsor, officers and directors have agreed, pursuant to a written agreement with us, that they will not propose such an amendment unless we provide our public shareholders with the opportunity to redeem their public shares. In certain circumstances, our shareholders may pursue remedies against us for any breach of our amended and restated memorandum and articles of association.</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We may amend the terms of the warrants in a manner that may be adverse to holders of public warrants with the approval by the holders of at least a majority of the then outstanding public warrants.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Our warrants will be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the holders of at least a majority of the then outstanding public warrants to make any change that adversely affects the interests of the registered holders of public warrants. Accordingly, we may amend the terms of the public warrants in a manner adverse to a holder if holders of at least a majority of the then outstanding public warrants approve of such amendment. Although our ability to amend the terms of the public warrants with the consent of at least a majority of the then outstanding public warrants is unlimited, examples of such amendments could be amendments to, among other things, increase the exercise price of the warrants, shorten the exercise period or decrease the number of Class A ordinary shares purchasable upon exercise of a warrant.</w:t>
      </w:r>
    </w:p>
    <w:p>
      <w:pPr>
        <w:pStyle w:val="TextBody"/>
        <w:spacing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Certain agreements related to this offering may be amended without shareholder approval.</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Each of the agreements related to this offering to which we are a party, other than the warrant agreement and the investment management trust agreement, may be amended without shareholder approval. These agreements contain various provisions that our public shareholders might deem to be material. For example, our letter agreement and the underwriting agreement contain certain lock-up provisions with respect to the founder shares, private placement warrants and other securities held by our initial shareholders, officers and directors. </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50</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Amendments to such agreements would require the consent of the applicable parties thereto and would need to be approved by our board of directors, which may do so for a variety of reasons, including to facilitate our initial business combination. While we do not expect our board of directors to approve any amendment to any of these agreements prior to our initial business combination, it may be possible that our board of directors, in exercising its business judgment and subject to its fiduciary duties, chooses to approve one or more amendments to any such agreement. Any material amendment entered into in connection with the completion of our initial business combination will be disclosed in our proxy solicitation or tender offer materials, as applicable, related to such initial business combination, and any other material amendment to any of our material agreements will be disclosed in a filing with the SEC. Any such amendments would not require approval from our shareholders, may result in the completion of our initial business combination that may not otherwise have been possible, and may have an adverse effect on the value of an investment in our securities. For example, amendments to the lock-up provision discussed above may result in our initial shareholders selling their securities earlier than they would otherwise be permitted, which may have an adverse effect on the price of our securities.</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 xml:space="preserve">We may be unable to obtain additional financing to complete our initial business combination or to fund the operations and growth of a target business, which could compel us to restructure or abandon a particular business combination. </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Although we believe that the net proceeds of this offering and the sale of the private placement warrants will be sufficient to allow us to complete our initial business combination, because we have not yet selected any target business we cannot ascertain the capital requirements for any particular transaction. If the net proceeds of this offering and the sale of the private placement warrants prove to be insufficient, either because of the size of our initial business combination, the depletion of the available net proceeds in search of a target business, the obligation to redeem for cash a significant number of shares from shareholders who elect redemption in connection with our initial business combination or the terms of negotiated transactions to purchase shares in connection with our initial business combination, we may be required to seek additional financing or to abandon the proposed business combination. We cannot assure you that such financing will be available on acceptable terms, if at all.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shareholders is required to provide any financing to us in connection with or after our initial business combination. If we are unable to complete our initial business combination, our public shareholders may receive only approximately $10.00 per share, or less in certain circumstances, on the liquidation of our trust account, and our warrants will expire worthless.</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Our initial shareholders will control the election of our board of directors until completion of our initial business combination and will hold a substantial interest in us. As a result, they will elect all of our directors prior to our initial business combination and may exert a substantial influence on actions requiring shareholder vote, potentially in a manner that you do not support.</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Upon the closing of this offering, our initial shareholders will own 20% of our issued and outstanding ordinary shares (assuming they do not purchase any units in this offering). In addition, prior to our initial business combination, only the founder shares, all of which are held by our initial shareholders, will have the right to vote on the election of directors, and holders of a majority of our founder shares may remove a member of the board of directors for any reason.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Neither our initial shareholders nor, to our knowledge, any of our officers or directors, have any current intention to purchase additional securities, other than as disclosed in this prospectus. Factors that would be considered in making such additional purchases would include consideration of the current trading price of our Class A ordinary shares. In addition, as a result of their substantial ownership in our company, our initial shareholders may exert a substantial influence on other actions requiring a shareholder vote, potentially in a manner that you do not support, including amendments to our amended and restated memorandum and articles of association and approval of major corporate transactions. If our initial shareholders purchase any Class A ordinary shares in this offering or in the aftermarket or in privately negotiated transactions, this would increase their influence over these actions. Accordingly, our initial shareholders will exert significant influence over actions requiring a shareholder vote at least until the completion of our initial business combination.</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51</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Our sponsor paid an aggregate of $25,000, or $0.004 per founder share (assuming the over-allotment option is not exercised and the forfeiture by our sponsor of 937,500 founder shares), and, accordingly, you will experience immediate and substantial dilution upon the purchase of our Class A ordinary shares.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The difference between the public offering price per share (allocating all of the unit purchase price to the Class A ordinary shares and none to the warrant included in the unit) and the pro forma net tangible book value per Class A ordinary share after this offering constitutes the dilution to you and the other investors in this offering. Our sponsor acquired the founder shares at a nominal price, significantly contributing to this dilution. Upon the closing of this offering, and assuming no value is ascribed to the warrants included in the units, you and the other public shareholders will incur an immediate and substantial dilution of approximately 93.4% (or $9.34 per share, assuming no exercise of the underwriters over-allotment option), the difference between the pro forma net tangible book value per share of $0.66 and the initial offering price of $10.00 per unit. This dilution would increase to the extent that the anti-dilution provisions of the founder shares result in the issuance of Class A ordinary shares on a greater than one-to-one basis upon conversion of the founder shares at the time of our initial business combination. In addition, because of the anti-dilution protection in the founder shares, any equity or equity-linked securities issued in connection with our initial business combination would be disproportionately dilutive to our Class A ordinary shares. </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A provision of our warrant agreement may make it more difficult for us to consummate an initial business combination.</w:t>
      </w:r>
    </w:p>
    <w:p>
      <w:pPr>
        <w:pStyle w:val="TextBody"/>
        <w:spacing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Unlike most blank check companies, if</w:t>
      </w:r>
    </w:p>
    <w:tbl>
      <w:tblPr>
        <w:tblW w:w="5000" w:type="pct"/>
        <w:jc w:val="left"/>
        <w:tblInd w:w="0" w:type="dxa"/>
        <w:tblCellMar>
          <w:top w:w="0" w:type="dxa"/>
          <w:left w:w="0" w:type="dxa"/>
          <w:bottom w:w="0" w:type="dxa"/>
          <w:right w:w="0" w:type="dxa"/>
        </w:tblCellMar>
      </w:tblPr>
      <w:tblGrid>
        <w:gridCol w:w="246"/>
        <w:gridCol w:w="276"/>
        <w:gridCol w:w="9683"/>
      </w:tblGrid>
      <w:tr>
        <w:trPr/>
        <w:tc>
          <w:tcPr>
            <w:tcW w:w="24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(i)</w:t>
            </w:r>
          </w:p>
        </w:tc>
        <w:tc>
          <w:tcPr>
            <w:tcW w:w="9683"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 xml:space="preserve">we issue additional Class A ordinary shares or equity-linked securities for capital raising purposes in connection with the closing of our initial business combination at a Newly Issued Price of less than $9.20 per Class A ordinary share; </w:t>
            </w:r>
          </w:p>
        </w:tc>
      </w:tr>
    </w:tbl>
    <w:tbl>
      <w:tblPr>
        <w:tblW w:w="5000" w:type="pct"/>
        <w:jc w:val="left"/>
        <w:tblInd w:w="0" w:type="dxa"/>
        <w:tblCellMar>
          <w:top w:w="0" w:type="dxa"/>
          <w:left w:w="0" w:type="dxa"/>
          <w:bottom w:w="0" w:type="dxa"/>
          <w:right w:w="0" w:type="dxa"/>
        </w:tblCellMar>
      </w:tblPr>
      <w:tblGrid>
        <w:gridCol w:w="212"/>
        <w:gridCol w:w="275"/>
        <w:gridCol w:w="9718"/>
      </w:tblGrid>
      <w:tr>
        <w:trPr/>
        <w:tc>
          <w:tcPr>
            <w:tcW w:w="212"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(ii)</w:t>
            </w:r>
          </w:p>
        </w:tc>
        <w:tc>
          <w:tcPr>
            <w:tcW w:w="9718"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the aggregate gross proceeds from such issuances represent more than 60% of the total equity proceeds, and interest thereon, available for the funding of our initial business combination on the date of the completion of our initial business combination (net of redemptions), and</w:t>
            </w:r>
          </w:p>
        </w:tc>
      </w:tr>
    </w:tbl>
    <w:tbl>
      <w:tblPr>
        <w:tblW w:w="5000" w:type="pct"/>
        <w:jc w:val="left"/>
        <w:tblInd w:w="0" w:type="dxa"/>
        <w:tblCellMar>
          <w:top w:w="0" w:type="dxa"/>
          <w:left w:w="0" w:type="dxa"/>
          <w:bottom w:w="0" w:type="dxa"/>
          <w:right w:w="0" w:type="dxa"/>
        </w:tblCellMar>
      </w:tblPr>
      <w:tblGrid>
        <w:gridCol w:w="1083"/>
        <w:gridCol w:w="1043"/>
        <w:gridCol w:w="8079"/>
      </w:tblGrid>
      <w:tr>
        <w:trPr/>
        <w:tc>
          <w:tcPr>
            <w:tcW w:w="1083" w:type="dxa"/>
            <w:tcBorders/>
            <w:shd w:fill="auto" w:val="clear"/>
            <w:vAlign w:val="center"/>
          </w:tcPr>
          <w:p>
            <w:pPr>
              <w:pStyle w:val="TableContents"/>
              <w:spacing w:before="0" w:after="283"/>
              <w:rPr>
                <w:sz w:val="4"/>
                <w:szCs w:val="4"/>
              </w:rPr>
            </w:pPr>
            <w:r>
              <w:rPr>
                <w:sz w:val="4"/>
                <w:szCs w:val="4"/>
              </w:rPr>
            </w:r>
          </w:p>
        </w:tc>
        <w:tc>
          <w:tcPr>
            <w:tcW w:w="1043"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(iii)</w:t>
            </w:r>
          </w:p>
        </w:tc>
        <w:tc>
          <w:tcPr>
            <w:tcW w:w="8079"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the Market Value is below $9.20 per share,</w:t>
            </w:r>
          </w:p>
        </w:tc>
      </w:tr>
    </w:tbl>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then the exercise price of the warrants will be adjusted to be equal to 115% of the higher of the Market Value and the Newly Issued Price, and the $18.00 per share redemption trigger price will be adjusted (to the nearest cent) to be equal to 180% of the higher of the Market Value and the Newly Issued Price. This may make it more difficult for us to consummate an initial business combination with a target business.</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We may redeem your unexpired warrants prior to their exercise at a time that is disadvantageous to you, thereby making your warrants worthless.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have the ability to redeem outstanding warrants at any time after they become exercisable and prior to their expiration, at a price of $0.01 per warrant; provided that the last reported sales price of our Class A ordinary shares equals or exceeds $18.00 per share (as adjusted for share splits, share dividends, rights issuances, subdivisions, reorganizations, recapitalizations and the like) for any 20 trading days within a 30 trading-day period ending on the third trading day prior to the date we send the notice of redemption to the warrant holders. If and when the warrants become redeemable by us, we may exercise our redemption right even if we are unable to register or qualify the underlying securities for sale under all applicable state securities laws. Redemption of the outstanding warrants could force you to: (1) exercise your warrants and pay the exercise price therefor at a time when it may be disadvantageous for you to do so; (2) sell your warrants at the then-current market price when you might otherwise wish to hold your warrants; or (3) accept the nominal redemption price which, at the time the outstanding warrants are called for redemption, is likely to be substantially less than the market value of your warrants. None of the private placement warrants will be redeemable by us so long as they are held by our sponsor or its permitted transferees.</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Our warrants and founder shares may have an adverse effect on the market price of our Class A ordinary shares and make it more difficult to effectuate our initial business combination.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We will be issuing warrants to purchase 12,500,000 Class A ordinary shares (or up to 14,375,000 Class A ordinary shares if the underwriters over-allotment option is exercised in full), at a price of $11.50 per whole share (subject to adjustment as provided herein), as part of the units offered by this prospectus and, </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52</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simultaneously with the closing of this offering, we will be issuing in a private placement an aggregate of 7,000,000 (or 7,750,000 if the underwriters over-allotment option is exercised in full) private placement warrants, each exercisable to purchase one Class A ordinary share at a price of $11.50 per share, subject to adjustment as provided herein. Our initial shareholders currently hold 7,187,500 founder shares (up to 937,500 of which are subject to forfeiture by our sponsor depending on the extent to which the underwriters over-allotment option is exercised). In addition, if our sponsor, an affiliate of our sponsor or certain of our officers and directors make any working capital loans, up to $1,500,000 of such loans may be converted into warrants, at the price of $1.00 per warrant at the option of the lender. Such warrants would be identical to the private placement warrants. To the extent we issue ordinary shares to effectuate a business transaction, the potential for the issuance of a substantial number of additional Class A ordinary shares upon exercise of these warrants or conversion rights could make us a less attractive acquisition vehicle to a target business. Any such issuance will increase the number of issued and outstanding Class A ordinary shares and reduce the value of the Class A ordinary shares issued to complete the business transaction. Therefore, our warrants and founder shares may make it more difficult to effectuate a business combination or increase the cost of acquiring the target business. </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private placement warrants are identical to the warrants sold as part of the units in this offering except that, so long as they are held by our sponsor or its permitted transferees: (1) they will not be redeemable by us; (2) they (including the ordinary shares issuable upon exercise of these warrants) may not, subject to certain limited exceptions, be transferred, assigned or sold by our sponsor until 30 days after the completion of our initial business combination; (3) they may be exercised by the holders on a cashless basis; and (4) they (including the ordinary shares issuable upon exercise of these warrants) are entitled to registration rights.</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Because each unit contains one-half of one warrant and only a whole warrant may be exercised, the units may be worth less than units of other blank check companies.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Each unit contains one-half of one warrant. Pursuant to the warrant agreement, no fractional warrants will be issued upon separation of the units, and only whole units will trade. This is different from other offerings similar to ours whose units include one ordinary share and one whole warrant to purchase one share. We have established the components of the units in this way in order to reduce the dilutive effect of the warrants upon completion of a business combination since the warrants will be exercisable in the aggregate for a half of the number of shares compared to units that each contain a whole warrant to purchase one share, which we believe will make us a more attractive business combination partner for target businesses. Nevertheless, this unit structure may cause our units to be worth less than if they included a warrant to purchase one whole share.</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The determination of the offering price of our units and the size of this offering is more arbitrary than the pricing of securities and size of an offering of an operating company in a particular industry. You may have less assurance, therefore, that the offering price of our units properly reflects the value of such units than you would have in a typical offering of an operating company.</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Prior to this offering there has been no public market for any of our securities. The public offering price of the units and the terms of the warrants were negotiated between us and the representative. In determining the size of this offering, management held customary organizational meetings with representatives of the underwriters, both prior to our inception and thereafter, with respect to the state of capital markets, generally, and the amount the underwriters believed they reasonably could raise on our behalf. Factors considered in determining the size of this offering, prices and terms of the units, including the Class A ordinary shares and warrants underlying the units, include: </w:t>
      </w:r>
    </w:p>
    <w:tbl>
      <w:tblPr>
        <w:tblW w:w="5000" w:type="pct"/>
        <w:jc w:val="left"/>
        <w:tblInd w:w="0" w:type="dxa"/>
        <w:tblCellMar>
          <w:top w:w="0" w:type="dxa"/>
          <w:left w:w="0" w:type="dxa"/>
          <w:bottom w:w="0" w:type="dxa"/>
          <w:right w:w="0" w:type="dxa"/>
        </w:tblCellMar>
      </w:tblPr>
      <w:tblGrid>
        <w:gridCol w:w="522"/>
        <w:gridCol w:w="503"/>
        <w:gridCol w:w="9180"/>
      </w:tblGrid>
      <w:tr>
        <w:trPr/>
        <w:tc>
          <w:tcPr>
            <w:tcW w:w="522"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jc w:val="left"/>
              <w:rPr>
                <w:color w:val="000000"/>
              </w:rPr>
            </w:pPr>
            <w:r>
              <w:rPr>
                <w:color w:val="000000"/>
              </w:rPr>
              <w:t>•</w:t>
            </w:r>
          </w:p>
        </w:tc>
        <w:tc>
          <w:tcPr>
            <w:tcW w:w="9180"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the history and prospects of companies whose principal business is the acquisition of other companies;</w:t>
            </w:r>
          </w:p>
        </w:tc>
      </w:tr>
    </w:tbl>
    <w:tbl>
      <w:tblPr>
        <w:tblW w:w="5000" w:type="pct"/>
        <w:jc w:val="left"/>
        <w:tblInd w:w="0" w:type="dxa"/>
        <w:tblCellMar>
          <w:top w:w="0" w:type="dxa"/>
          <w:left w:w="0" w:type="dxa"/>
          <w:bottom w:w="0" w:type="dxa"/>
          <w:right w:w="0" w:type="dxa"/>
        </w:tblCellMar>
      </w:tblPr>
      <w:tblGrid>
        <w:gridCol w:w="1261"/>
        <w:gridCol w:w="1216"/>
        <w:gridCol w:w="7728"/>
      </w:tblGrid>
      <w:tr>
        <w:trPr/>
        <w:tc>
          <w:tcPr>
            <w:tcW w:w="1261"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jc w:val="left"/>
              <w:rPr>
                <w:color w:val="000000"/>
              </w:rPr>
            </w:pPr>
            <w:r>
              <w:rPr>
                <w:color w:val="000000"/>
              </w:rPr>
              <w:t>•</w:t>
            </w:r>
          </w:p>
        </w:tc>
        <w:tc>
          <w:tcPr>
            <w:tcW w:w="7728"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prior offerings of those companies;</w:t>
            </w:r>
          </w:p>
        </w:tc>
      </w:tr>
    </w:tbl>
    <w:tbl>
      <w:tblPr>
        <w:tblW w:w="5000" w:type="pct"/>
        <w:jc w:val="left"/>
        <w:tblInd w:w="0" w:type="dxa"/>
        <w:tblCellMar>
          <w:top w:w="0" w:type="dxa"/>
          <w:left w:w="0" w:type="dxa"/>
          <w:bottom w:w="0" w:type="dxa"/>
          <w:right w:w="0" w:type="dxa"/>
        </w:tblCellMar>
      </w:tblPr>
      <w:tblGrid>
        <w:gridCol w:w="735"/>
        <w:gridCol w:w="709"/>
        <w:gridCol w:w="8761"/>
      </w:tblGrid>
      <w:tr>
        <w:trPr/>
        <w:tc>
          <w:tcPr>
            <w:tcW w:w="735"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jc w:val="left"/>
              <w:rPr>
                <w:color w:val="000000"/>
              </w:rPr>
            </w:pPr>
            <w:r>
              <w:rPr>
                <w:color w:val="000000"/>
              </w:rPr>
              <w:t>•</w:t>
            </w:r>
          </w:p>
        </w:tc>
        <w:tc>
          <w:tcPr>
            <w:tcW w:w="8761"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our prospects for acquiring an operating business at attractive values;</w:t>
            </w:r>
          </w:p>
        </w:tc>
      </w:tr>
    </w:tbl>
    <w:tbl>
      <w:tblPr>
        <w:tblW w:w="5000" w:type="pct"/>
        <w:jc w:val="left"/>
        <w:tblInd w:w="0" w:type="dxa"/>
        <w:tblCellMar>
          <w:top w:w="0" w:type="dxa"/>
          <w:left w:w="0" w:type="dxa"/>
          <w:bottom w:w="0" w:type="dxa"/>
          <w:right w:w="0" w:type="dxa"/>
        </w:tblCellMar>
      </w:tblPr>
      <w:tblGrid>
        <w:gridCol w:w="854"/>
        <w:gridCol w:w="823"/>
        <w:gridCol w:w="8528"/>
      </w:tblGrid>
      <w:tr>
        <w:trPr/>
        <w:tc>
          <w:tcPr>
            <w:tcW w:w="854" w:type="dxa"/>
            <w:tcBorders/>
            <w:shd w:fill="auto" w:val="clear"/>
            <w:vAlign w:val="center"/>
          </w:tcPr>
          <w:p>
            <w:pPr>
              <w:pStyle w:val="TableContents"/>
              <w:spacing w:before="0" w:after="283"/>
              <w:rPr>
                <w:sz w:val="4"/>
                <w:szCs w:val="4"/>
              </w:rPr>
            </w:pPr>
            <w:r>
              <w:rPr>
                <w:sz w:val="4"/>
                <w:szCs w:val="4"/>
              </w:rPr>
            </w:r>
          </w:p>
        </w:tc>
        <w:tc>
          <w:tcPr>
            <w:tcW w:w="823" w:type="dxa"/>
            <w:tcBorders/>
            <w:shd w:fill="auto" w:val="clear"/>
            <w:vAlign w:val="center"/>
          </w:tcPr>
          <w:p>
            <w:pPr>
              <w:pStyle w:val="TableContents"/>
              <w:spacing w:before="0" w:after="283"/>
              <w:jc w:val="left"/>
              <w:rPr>
                <w:color w:val="000000"/>
              </w:rPr>
            </w:pPr>
            <w:r>
              <w:rPr>
                <w:color w:val="000000"/>
              </w:rPr>
              <w:t>•</w:t>
            </w:r>
          </w:p>
        </w:tc>
        <w:tc>
          <w:tcPr>
            <w:tcW w:w="8528"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a review of debt to equity ratios in leveraged transactions;</w:t>
            </w:r>
          </w:p>
        </w:tc>
      </w:tr>
    </w:tbl>
    <w:tbl>
      <w:tblPr>
        <w:tblW w:w="5000" w:type="pct"/>
        <w:jc w:val="left"/>
        <w:tblInd w:w="0" w:type="dxa"/>
        <w:tblCellMar>
          <w:top w:w="0" w:type="dxa"/>
          <w:left w:w="0" w:type="dxa"/>
          <w:bottom w:w="0" w:type="dxa"/>
          <w:right w:w="0" w:type="dxa"/>
        </w:tblCellMar>
      </w:tblPr>
      <w:tblGrid>
        <w:gridCol w:w="1832"/>
        <w:gridCol w:w="1765"/>
        <w:gridCol w:w="6608"/>
      </w:tblGrid>
      <w:tr>
        <w:trPr/>
        <w:tc>
          <w:tcPr>
            <w:tcW w:w="1832" w:type="dxa"/>
            <w:tcBorders/>
            <w:shd w:fill="auto" w:val="clear"/>
            <w:vAlign w:val="center"/>
          </w:tcPr>
          <w:p>
            <w:pPr>
              <w:pStyle w:val="TableContents"/>
              <w:spacing w:before="0" w:after="283"/>
              <w:rPr>
                <w:sz w:val="4"/>
                <w:szCs w:val="4"/>
              </w:rPr>
            </w:pPr>
            <w:r>
              <w:rPr>
                <w:sz w:val="4"/>
                <w:szCs w:val="4"/>
              </w:rPr>
            </w:r>
          </w:p>
        </w:tc>
        <w:tc>
          <w:tcPr>
            <w:tcW w:w="1765" w:type="dxa"/>
            <w:tcBorders/>
            <w:shd w:fill="auto" w:val="clear"/>
            <w:vAlign w:val="center"/>
          </w:tcPr>
          <w:p>
            <w:pPr>
              <w:pStyle w:val="TableContents"/>
              <w:spacing w:before="0" w:after="283"/>
              <w:jc w:val="left"/>
              <w:rPr>
                <w:color w:val="000000"/>
              </w:rPr>
            </w:pPr>
            <w:r>
              <w:rPr>
                <w:color w:val="000000"/>
              </w:rPr>
              <w:t>•</w:t>
            </w:r>
          </w:p>
        </w:tc>
        <w:tc>
          <w:tcPr>
            <w:tcW w:w="6608"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our capital structure;</w:t>
            </w:r>
          </w:p>
        </w:tc>
      </w:tr>
    </w:tbl>
    <w:tbl>
      <w:tblPr>
        <w:tblW w:w="5000" w:type="pct"/>
        <w:jc w:val="left"/>
        <w:tblInd w:w="0" w:type="dxa"/>
        <w:tblCellMar>
          <w:top w:w="0" w:type="dxa"/>
          <w:left w:w="0" w:type="dxa"/>
          <w:bottom w:w="0" w:type="dxa"/>
          <w:right w:w="0" w:type="dxa"/>
        </w:tblCellMar>
      </w:tblPr>
      <w:tblGrid>
        <w:gridCol w:w="577"/>
        <w:gridCol w:w="555"/>
        <w:gridCol w:w="9073"/>
      </w:tblGrid>
      <w:tr>
        <w:trPr/>
        <w:tc>
          <w:tcPr>
            <w:tcW w:w="577" w:type="dxa"/>
            <w:tcBorders/>
            <w:shd w:fill="auto" w:val="clear"/>
            <w:vAlign w:val="center"/>
          </w:tcPr>
          <w:p>
            <w:pPr>
              <w:pStyle w:val="TableContents"/>
              <w:spacing w:before="0" w:after="283"/>
              <w:rPr>
                <w:sz w:val="4"/>
                <w:szCs w:val="4"/>
              </w:rPr>
            </w:pPr>
            <w:r>
              <w:rPr>
                <w:sz w:val="4"/>
                <w:szCs w:val="4"/>
              </w:rPr>
            </w:r>
          </w:p>
        </w:tc>
        <w:tc>
          <w:tcPr>
            <w:tcW w:w="555" w:type="dxa"/>
            <w:tcBorders/>
            <w:shd w:fill="auto" w:val="clear"/>
            <w:vAlign w:val="center"/>
          </w:tcPr>
          <w:p>
            <w:pPr>
              <w:pStyle w:val="TableContents"/>
              <w:spacing w:before="0" w:after="283"/>
              <w:jc w:val="left"/>
              <w:rPr>
                <w:color w:val="000000"/>
              </w:rPr>
            </w:pPr>
            <w:r>
              <w:rPr>
                <w:color w:val="000000"/>
              </w:rPr>
              <w:t>•</w:t>
            </w:r>
          </w:p>
        </w:tc>
        <w:tc>
          <w:tcPr>
            <w:tcW w:w="9073"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an assessment of our management and their experience in identifying operating companies;</w:t>
            </w:r>
          </w:p>
        </w:tc>
      </w:tr>
    </w:tbl>
    <w:tbl>
      <w:tblPr>
        <w:tblW w:w="5000" w:type="pct"/>
        <w:jc w:val="left"/>
        <w:tblInd w:w="0" w:type="dxa"/>
        <w:tblCellMar>
          <w:top w:w="0" w:type="dxa"/>
          <w:left w:w="0" w:type="dxa"/>
          <w:bottom w:w="0" w:type="dxa"/>
          <w:right w:w="0" w:type="dxa"/>
        </w:tblCellMar>
      </w:tblPr>
      <w:tblGrid>
        <w:gridCol w:w="686"/>
        <w:gridCol w:w="661"/>
        <w:gridCol w:w="8858"/>
      </w:tblGrid>
      <w:tr>
        <w:trPr/>
        <w:tc>
          <w:tcPr>
            <w:tcW w:w="68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jc w:val="left"/>
              <w:rPr>
                <w:color w:val="000000"/>
              </w:rPr>
            </w:pPr>
            <w:r>
              <w:rPr>
                <w:color w:val="000000"/>
              </w:rPr>
              <w:t>•</w:t>
            </w:r>
          </w:p>
        </w:tc>
        <w:tc>
          <w:tcPr>
            <w:tcW w:w="8858"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general conditions of the securities markets at the time of this offering; and</w:t>
            </w:r>
          </w:p>
        </w:tc>
      </w:tr>
    </w:tbl>
    <w:tbl>
      <w:tblPr>
        <w:tblW w:w="5000" w:type="pct"/>
        <w:jc w:val="left"/>
        <w:tblInd w:w="0" w:type="dxa"/>
        <w:tblCellMar>
          <w:top w:w="0" w:type="dxa"/>
          <w:left w:w="0" w:type="dxa"/>
          <w:bottom w:w="0" w:type="dxa"/>
          <w:right w:w="0" w:type="dxa"/>
        </w:tblCellMar>
      </w:tblPr>
      <w:tblGrid>
        <w:gridCol w:w="1185"/>
        <w:gridCol w:w="1142"/>
        <w:gridCol w:w="7878"/>
      </w:tblGrid>
      <w:tr>
        <w:trPr/>
        <w:tc>
          <w:tcPr>
            <w:tcW w:w="1185" w:type="dxa"/>
            <w:tcBorders/>
            <w:shd w:fill="auto" w:val="clear"/>
            <w:vAlign w:val="center"/>
          </w:tcPr>
          <w:p>
            <w:pPr>
              <w:pStyle w:val="TableContents"/>
              <w:spacing w:before="0" w:after="283"/>
              <w:rPr>
                <w:sz w:val="4"/>
                <w:szCs w:val="4"/>
              </w:rPr>
            </w:pPr>
            <w:r>
              <w:rPr>
                <w:sz w:val="4"/>
                <w:szCs w:val="4"/>
              </w:rPr>
            </w:r>
          </w:p>
        </w:tc>
        <w:tc>
          <w:tcPr>
            <w:tcW w:w="1142" w:type="dxa"/>
            <w:tcBorders/>
            <w:shd w:fill="auto" w:val="clear"/>
            <w:vAlign w:val="center"/>
          </w:tcPr>
          <w:p>
            <w:pPr>
              <w:pStyle w:val="TableContents"/>
              <w:spacing w:before="0" w:after="283"/>
              <w:jc w:val="left"/>
              <w:rPr>
                <w:color w:val="000000"/>
              </w:rPr>
            </w:pPr>
            <w:r>
              <w:rPr>
                <w:color w:val="000000"/>
              </w:rPr>
              <w:t>•</w:t>
            </w:r>
          </w:p>
        </w:tc>
        <w:tc>
          <w:tcPr>
            <w:tcW w:w="7878"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other factors as were deemed relevant.</w:t>
            </w:r>
          </w:p>
        </w:tc>
      </w:tr>
    </w:tbl>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53</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Although these factors were considered, the determination of our offering price is more arbitrary than the pricing of securities of an operating company in a particular industry since we have no historical operations or financial results.</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There is currently no market for our securities and a market for our securities may not develop, which would adversely affect the liquidity and price of our securities.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There is currently no market for our securities. Shareholders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Furthermore, an active trading market for our securities may never develop or, if developed, it may not be sustained. You may be unable to sell your securities unless a market can be established and sustained.</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Because we must furnish our shareholders with target business financial statements, we may lose the ability to complete an otherwise advantageous initial business combination with some prospective target businesses.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federal proxy rules require that a proxy statement with respect to a vote on a business combination meeting certain financial significance tests include historical and/or pro forma financial statement disclosure in periodic reports.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or U.S. GAAP, or international financing reporting standards as issued by the International Accounting Standards Board, or IFRS, depending on the circumstances and the historical financial statements may be required to be audited in accordance with the standards of the Public Company Accounting Oversight Board (United States), or PCAOB. These financial statement requirements may limit the pool of potential target businesses we may acquire because some targets may be unable to provide such financial statements in time for us to disclose such financial statements in accordance with federal proxy rules and complete our initial business combination within the prescribed time frame.</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ordinary shares held by non-affiliates exceeds $700 million as of the end of any second quarter of a fiscal year, in which case we would no longer be an emerging growth company as of the end of such fiscal year.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54</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Additionally, we are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exceeds $250 million as of the end of that years second fiscal quarter, or (2) our annual revenues exceeded $100 million during such completed fiscal year and the market value of our ordinary shares held by non-affiliates exceeds $700 million as of the end of that years second fiscal quarter. To the extent we take advantage of such reduced disclosure obligations, it may also make comparison of our financial statements with other public companies difficult or impossible.</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Compliance obligations under the Sarbanes-Oxley Act may make it more difficult for us to effectuate our initial business combination, require substantial financial and management resources, and increase the time and costs of completing an acquisition.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Section 404 of the Sarbanes-Oxley Act requires that we evaluate and report on our system of internal controls beginning with our Annual Report on Form 10-K for the year ending December 31, 2020. 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acquisition.</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Because we are incorporated under the laws of the Cayman Islands, you may face difficulties in protecting your interests, and your ability to protect your rights through the U.S. Federal courts may be limited.</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are an exempted company incorporated under the laws of the Cayman Islands. As a result, it may be difficult for investors to effect service of process within the United States upon our directors or officers, or enforce judgments obtained in the United States courts against our directors or officers.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Our corporate affairs will be governed by our amended and restated memorandum and articles of association, the Companies Law and the common law of the Cayman Islands.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our shareholders and the fiduciary responsibilities of our directors under Cayman Islands law are different from what they would be under statutes or judicial precedent in some jurisdictions in the United States. In particular, the Cayman Islands has a different body of securities laws as compared to the United States, and certain states, such as Delaware, may have more fully developed and judicially interpreted bodies of corporate law. In addition, Cayman Islands companies may not have standing to initiate a shareholders derivative action in a Federal court of the United States.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We have been advised by our Cayman Islands legal counsel that the courts of the Cayman Islands are unlikely (1) to recognize or enforce against us judgments of courts of the United States predicated upon the civil liability provisions of the federal securities laws of the United States or any state; and (2)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55</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As a result of all of the above, public shareholders may have more difficulty in protecting their interests in the face of actions taken by management, members of the board of directors or controlling shareholders than they would as public shareholders of a United States company.</w:t>
      </w:r>
    </w:p>
    <w:p>
      <w:pPr>
        <w:pStyle w:val="TextBody"/>
        <w:spacing w:lineRule="atLeast" w:line="225"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Provisions in our amended and restated memorandum and articles of association may inhibit a takeover of us, which could limit the price investors might be willing to pay in the future for our Class A ordinary shares and could entrench management.</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Our amended and restated memorandum and articles of association will contain provisions that may discourage unsolicited takeover proposals that shareholders may consider to be in their best interests. These provisions include two-year director terms and the ability of the board of directors to designate the terms of and issue new series of preferred shares, which may make more difficult the removal of management and may discourage transactions that otherwise could involve payment of a premium over prevailing market prices for our securities.</w:t>
      </w:r>
    </w:p>
    <w:p>
      <w:pPr>
        <w:pStyle w:val="TextBody"/>
        <w:spacing w:lineRule="atLeast" w:line="225"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After our initial business combination, it is possible that a majority of our directors and officers will live outside the United States and all or substantially all of our assets will be located outside the United States; therefore investors may not be able to enforce federal securities laws or their other legal rights.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It is possible that after our initial business combination, a majority of our directors and officers will reside outside of the United States and all or substantially all of our assets will be located outside of the United States. As a result, it may be difficult, or in some cases not possible, for investors in the United States to enforce their legal rights, to effect service of process upon all of our directors or officers or to enforce judgments of United States courts predicated upon civil liabilities and criminal penalties on our directors and officers under United States laws.</w:t>
      </w:r>
    </w:p>
    <w:p>
      <w:pPr>
        <w:pStyle w:val="TextBody"/>
        <w:spacing w:lineRule="atLeast" w:line="225"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If we effect a business combination with a company located outside of the United States, the laws applicable to such company will likely govern all of our material agreements and we may not be able to enforce our legal rights.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If we effect a business combination with a company located outside of the United States, the laws of the country in which such company operates will likely govern almost all of the material agreements relating to its operations. We cannot assure you that the target business will be able to enforce any of its material agreements or that remedies will be available in this new jurisdiction. The system of laws and the enforcement of existing laws in such jurisdiction may not be as certain in implementation and interpretation as in the United States. The inability to enforce or obtain a remedy under any of our future agreements could result in a significant loss of business, business opportunities or capital.</w:t>
      </w:r>
    </w:p>
    <w:p>
      <w:pPr>
        <w:pStyle w:val="TextBody"/>
        <w:spacing w:lineRule="atLeast" w:line="225"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If our management following our initial business combination is unfamiliar with U.S. securities laws, they may have to expend time and resources becoming familiar with such laws, which could lead to various regulatory issues.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Following our initial business combination, any or all of our management could resign from their positions as officers of the Company, and the management of the target business at the time of the business combination could remain in place. Management of the target business may not be familiar with U.S. securities laws. If new management is unfamiliar with U.S. securities laws, they may have to expend time and resources becoming familiar with such laws. This could be expensive and time-consuming and could lead to various regulatory issues which may adversely affect our operations.</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56</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After our initial business combination, substantially all of our assets may be located in a foreign country and substantially all of our revenue may be derived from our operations in such country. Accordingly, our results of operations and prospects will be subject, to a significant extent, to the economic, political, social and government policies, developments and conditions in the country in which we operate.</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economic, political and social conditions, as well as government policies, of the country in which our operations are located could affect our business. Economic growth could be uneven, both geographically and among various sectors of the economy and such growth may not be sustained in the future. If in the future such countrys economy experiences a downturn or grows at a slower rate than expected, there may be less demand for spending in certain industries. A decrease in demand for spending in certain industries could materially and adversely affect our ability to find an attractive target business with which to consummate our initial business combination and if we effect our initial business combination, the ability of that target business to become profitable.</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We will be subject to changing law and regulations regarding regulatory matters, corporate governance and public disclosure that have increased both our costs and the risk of non-compliance.</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will be subject to rules and regulations of various governing bodies, including, for example, the SEC, which are charged with the protection of investors and the oversight of companies whose securities are publicly traded, and to new and evolving regulatory measures under applicable law. Our efforts to comply with new and changing laws and regulations are likely to continue to result in increased general and administrative expenses and a diversion of management time and attention from our search for a business combination target to compliance activities.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pStyle w:val="TextBody"/>
        <w:spacing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We may be delayed in processing mail received at our registered office.</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Mail addressed to the Company and received at its registered office will be forwarded unopened to the forwarding address supplied by Company to be dealt with. None of the Company, its directors, officers, advisors or service providers (including the organisation which provides registered office services in the Cayman Islands) will bear any responsibility for any delay howsoever caused in mail reaching the forwarding address.</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57</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before="12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Risks Relating to the Cannabis Industry</w:t>
      </w:r>
    </w:p>
    <w:p>
      <w:pPr>
        <w:pStyle w:val="TextBody"/>
        <w:spacing w:lineRule="atLeast" w:line="240" w:before="120" w:after="0"/>
        <w:ind w:left="0" w:right="0" w:hanging="0"/>
        <w:jc w:val="left"/>
        <w:rPr>
          <w:rFonts w:ascii="Times New Roman;Times;Serif" w:hAnsi="Times New Roman;Times;Serif"/>
          <w:i/>
          <w:color w:val="000000"/>
          <w:sz w:val="17"/>
        </w:rPr>
      </w:pPr>
      <w:r>
        <w:rPr>
          <w:rFonts w:ascii="Times New Roman;Times;Serif" w:hAnsi="Times New Roman;Times;Serif"/>
          <w:i/>
          <w:color w:val="000000"/>
          <w:sz w:val="17"/>
        </w:rPr>
        <w:t>Business combinations with companies operating in the cannabis industry entail special considerations and risks. If we complete a business combination with a target business in the cannabis industry, we will be subject to, and possibly adversely affected by, the risks set forth below. However, our efforts in identifying prospective target businesses may not be limited to the cannabis industry. Accordingly, if we acquire a target business in another industry, these risks will likely not affect us and we will be subject to other risks attendant with the specific industry of the target business which we acquire, none of which can be presently ascertained.</w:t>
      </w:r>
    </w:p>
    <w:p>
      <w:pPr>
        <w:pStyle w:val="TextBody"/>
        <w:spacing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There are risks related to the cannabis industry to which we may become subject.</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If we are successful in completing a business combination with a target business with operations in the cannabis industry, we will be subject to, and possibly adversely affected by, the following risks:</w:t>
      </w:r>
    </w:p>
    <w:tbl>
      <w:tblPr>
        <w:tblW w:w="5000" w:type="pct"/>
        <w:jc w:val="left"/>
        <w:tblInd w:w="0" w:type="dxa"/>
        <w:tblCellMar>
          <w:top w:w="0" w:type="dxa"/>
          <w:left w:w="0" w:type="dxa"/>
          <w:bottom w:w="0" w:type="dxa"/>
          <w:right w:w="0" w:type="dxa"/>
        </w:tblCellMar>
      </w:tblPr>
      <w:tblGrid>
        <w:gridCol w:w="494"/>
        <w:gridCol w:w="476"/>
        <w:gridCol w:w="9235"/>
      </w:tblGrid>
      <w:tr>
        <w:trPr/>
        <w:tc>
          <w:tcPr>
            <w:tcW w:w="494"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jc w:val="left"/>
              <w:rPr>
                <w:color w:val="000000"/>
              </w:rPr>
            </w:pPr>
            <w:r>
              <w:rPr>
                <w:color w:val="000000"/>
              </w:rPr>
              <w:t>•</w:t>
            </w:r>
          </w:p>
        </w:tc>
        <w:tc>
          <w:tcPr>
            <w:tcW w:w="9235"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The cannabis industry is extremely speculative and its legality is uncertain, making it subject to inherent risk;</w:t>
            </w:r>
          </w:p>
        </w:tc>
      </w:tr>
    </w:tbl>
    <w:tbl>
      <w:tblPr>
        <w:tblW w:w="5000" w:type="pct"/>
        <w:jc w:val="left"/>
        <w:tblInd w:w="0" w:type="dxa"/>
        <w:tblCellMar>
          <w:top w:w="0" w:type="dxa"/>
          <w:left w:w="0" w:type="dxa"/>
          <w:bottom w:w="0" w:type="dxa"/>
          <w:right w:w="0" w:type="dxa"/>
        </w:tblCellMar>
      </w:tblPr>
      <w:tblGrid>
        <w:gridCol w:w="168"/>
        <w:gridCol w:w="210"/>
        <w:gridCol w:w="9827"/>
      </w:tblGrid>
      <w:tr>
        <w:trPr/>
        <w:tc>
          <w:tcPr>
            <w:tcW w:w="16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jc w:val="left"/>
              <w:rPr>
                <w:color w:val="000000"/>
              </w:rPr>
            </w:pPr>
            <w:r>
              <w:rPr>
                <w:color w:val="000000"/>
              </w:rPr>
              <w:t>•</w:t>
            </w:r>
          </w:p>
        </w:tc>
        <w:tc>
          <w:tcPr>
            <w:tcW w:w="9827"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Use of cannabis that is not in compliance with the U.S. Controlled Substances Act is illegal under U.S. federal law, and therefore, strict enforcement of U.S. federal laws regarding the use, cultivation, manufacturing, processing, transportation, distribution, storage and/or sale of cannabis would likely result in our inability to execute a business plan in the cannabis industry;</w:t>
            </w:r>
          </w:p>
        </w:tc>
      </w:tr>
    </w:tbl>
    <w:tbl>
      <w:tblPr>
        <w:tblW w:w="5000" w:type="pct"/>
        <w:jc w:val="left"/>
        <w:tblInd w:w="0" w:type="dxa"/>
        <w:tblCellMar>
          <w:top w:w="0" w:type="dxa"/>
          <w:left w:w="0" w:type="dxa"/>
          <w:bottom w:w="0" w:type="dxa"/>
          <w:right w:w="0" w:type="dxa"/>
        </w:tblCellMar>
      </w:tblPr>
      <w:tblGrid>
        <w:gridCol w:w="217"/>
        <w:gridCol w:w="247"/>
        <w:gridCol w:w="9741"/>
      </w:tblGrid>
      <w:tr>
        <w:trPr/>
        <w:tc>
          <w:tcPr>
            <w:tcW w:w="21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jc w:val="left"/>
              <w:rPr>
                <w:color w:val="000000"/>
              </w:rPr>
            </w:pPr>
            <w:r>
              <w:rPr>
                <w:color w:val="000000"/>
              </w:rPr>
              <w:t>•</w:t>
            </w:r>
          </w:p>
        </w:tc>
        <w:tc>
          <w:tcPr>
            <w:tcW w:w="9741"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Changes in the current policies of the Trump Administration and the U.S. Department of Justice resulting in heightened enforcement of U.S. federal cannabis laws may negatively impact our ability to pursue our prospective business operations and/or generate revenues;</w:t>
            </w:r>
          </w:p>
        </w:tc>
      </w:tr>
    </w:tbl>
    <w:tbl>
      <w:tblPr>
        <w:tblW w:w="5000" w:type="pct"/>
        <w:jc w:val="left"/>
        <w:tblInd w:w="0" w:type="dxa"/>
        <w:tblCellMar>
          <w:top w:w="0" w:type="dxa"/>
          <w:left w:w="0" w:type="dxa"/>
          <w:bottom w:w="0" w:type="dxa"/>
          <w:right w:w="0" w:type="dxa"/>
        </w:tblCellMar>
      </w:tblPr>
      <w:tblGrid>
        <w:gridCol w:w="237"/>
        <w:gridCol w:w="262"/>
        <w:gridCol w:w="9706"/>
      </w:tblGrid>
      <w:tr>
        <w:trPr/>
        <w:tc>
          <w:tcPr>
            <w:tcW w:w="237"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jc w:val="left"/>
              <w:rPr>
                <w:color w:val="000000"/>
              </w:rPr>
            </w:pPr>
            <w:r>
              <w:rPr>
                <w:color w:val="000000"/>
              </w:rPr>
              <w:t>•</w:t>
            </w:r>
          </w:p>
        </w:tc>
        <w:tc>
          <w:tcPr>
            <w:tcW w:w="9706"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 xml:space="preserve">U.S. federal courts may refuse to recognize the enforceability of contracts pertaining to any business operations that are deemed illegal under U.S. federal law and, as a result, cannabis-related contracts could prove unenforceable in such courts; </w:t>
            </w:r>
          </w:p>
        </w:tc>
      </w:tr>
    </w:tbl>
    <w:tbl>
      <w:tblPr>
        <w:tblW w:w="5000" w:type="pct"/>
        <w:jc w:val="left"/>
        <w:tblInd w:w="0" w:type="dxa"/>
        <w:tblCellMar>
          <w:top w:w="0" w:type="dxa"/>
          <w:left w:w="0" w:type="dxa"/>
          <w:bottom w:w="0" w:type="dxa"/>
          <w:right w:w="0" w:type="dxa"/>
        </w:tblCellMar>
      </w:tblPr>
      <w:tblGrid>
        <w:gridCol w:w="180"/>
        <w:gridCol w:w="219"/>
        <w:gridCol w:w="9806"/>
      </w:tblGrid>
      <w:tr>
        <w:trPr/>
        <w:tc>
          <w:tcPr>
            <w:tcW w:w="180"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jc w:val="left"/>
              <w:rPr>
                <w:color w:val="000000"/>
              </w:rPr>
            </w:pPr>
            <w:r>
              <w:rPr>
                <w:color w:val="000000"/>
              </w:rPr>
              <w:t>•</w:t>
            </w:r>
          </w:p>
        </w:tc>
        <w:tc>
          <w:tcPr>
            <w:tcW w:w="9806"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Consumer complaints and negative publicity regarding cannabis related products and services could lead to political pressure on states to implement new laws and regulations that are adverse to the cannabis industry, to not modify existing, restrictive laws and regulations or to reverse current favorable laws and regulations relating to cannabis;</w:t>
            </w:r>
          </w:p>
        </w:tc>
      </w:tr>
    </w:tbl>
    <w:tbl>
      <w:tblPr>
        <w:tblW w:w="5000" w:type="pct"/>
        <w:jc w:val="left"/>
        <w:tblInd w:w="0" w:type="dxa"/>
        <w:tblCellMar>
          <w:top w:w="0" w:type="dxa"/>
          <w:left w:w="0" w:type="dxa"/>
          <w:bottom w:w="0" w:type="dxa"/>
          <w:right w:w="0" w:type="dxa"/>
        </w:tblCellMar>
      </w:tblPr>
      <w:tblGrid>
        <w:gridCol w:w="344"/>
        <w:gridCol w:w="344"/>
        <w:gridCol w:w="9517"/>
      </w:tblGrid>
      <w:tr>
        <w:trPr/>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jc w:val="left"/>
              <w:rPr>
                <w:color w:val="000000"/>
              </w:rPr>
            </w:pPr>
            <w:r>
              <w:rPr>
                <w:color w:val="000000"/>
              </w:rPr>
              <w:t>•</w:t>
            </w:r>
          </w:p>
        </w:tc>
        <w:tc>
          <w:tcPr>
            <w:tcW w:w="9517"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Assets leased to cannabis businesses may be forfeited to the U.S. federal government in connection with government enforcement actions under U.S. federal law;</w:t>
            </w:r>
          </w:p>
        </w:tc>
      </w:tr>
    </w:tbl>
    <w:tbl>
      <w:tblPr>
        <w:tblW w:w="5000" w:type="pct"/>
        <w:jc w:val="left"/>
        <w:tblInd w:w="0" w:type="dxa"/>
        <w:tblCellMar>
          <w:top w:w="0" w:type="dxa"/>
          <w:left w:w="0" w:type="dxa"/>
          <w:bottom w:w="0" w:type="dxa"/>
          <w:right w:w="0" w:type="dxa"/>
        </w:tblCellMar>
      </w:tblPr>
      <w:tblGrid>
        <w:gridCol w:w="256"/>
        <w:gridCol w:w="277"/>
        <w:gridCol w:w="9672"/>
      </w:tblGrid>
      <w:tr>
        <w:trPr/>
        <w:tc>
          <w:tcPr>
            <w:tcW w:w="256"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jc w:val="left"/>
              <w:rPr>
                <w:color w:val="000000"/>
              </w:rPr>
            </w:pPr>
            <w:r>
              <w:rPr>
                <w:color w:val="000000"/>
              </w:rPr>
              <w:t>•</w:t>
            </w:r>
          </w:p>
        </w:tc>
        <w:tc>
          <w:tcPr>
            <w:tcW w:w="9672"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U.S. Food and Drug Administration regulation of cannabis and the possible registration of facilities where cannabis is grown could negatively affect the cannabis industry, which could directly affect our financial condition;</w:t>
            </w:r>
          </w:p>
        </w:tc>
      </w:tr>
    </w:tbl>
    <w:tbl>
      <w:tblPr>
        <w:tblW w:w="5000" w:type="pct"/>
        <w:jc w:val="left"/>
        <w:tblInd w:w="0" w:type="dxa"/>
        <w:tblCellMar>
          <w:top w:w="0" w:type="dxa"/>
          <w:left w:w="0" w:type="dxa"/>
          <w:bottom w:w="0" w:type="dxa"/>
          <w:right w:w="0" w:type="dxa"/>
        </w:tblCellMar>
      </w:tblPr>
      <w:tblGrid>
        <w:gridCol w:w="239"/>
        <w:gridCol w:w="264"/>
        <w:gridCol w:w="9702"/>
      </w:tblGrid>
      <w:tr>
        <w:trPr/>
        <w:tc>
          <w:tcPr>
            <w:tcW w:w="23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jc w:val="left"/>
              <w:rPr>
                <w:color w:val="000000"/>
              </w:rPr>
            </w:pPr>
            <w:r>
              <w:rPr>
                <w:color w:val="000000"/>
              </w:rPr>
              <w:t>•</w:t>
            </w:r>
          </w:p>
        </w:tc>
        <w:tc>
          <w:tcPr>
            <w:tcW w:w="9702"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Due to our proposed involvement in the regulated cannabis industry, we may have a difficult time obtaining the various insurance policies that are needed to operate our business, which may expose us to additional risks and financial liabilities;</w:t>
            </w:r>
          </w:p>
        </w:tc>
      </w:tr>
    </w:tbl>
    <w:tbl>
      <w:tblPr>
        <w:tblW w:w="5000" w:type="pct"/>
        <w:jc w:val="left"/>
        <w:tblInd w:w="0" w:type="dxa"/>
        <w:tblCellMar>
          <w:top w:w="0" w:type="dxa"/>
          <w:left w:w="0" w:type="dxa"/>
          <w:bottom w:w="0" w:type="dxa"/>
          <w:right w:w="0" w:type="dxa"/>
        </w:tblCellMar>
      </w:tblPr>
      <w:tblGrid>
        <w:gridCol w:w="188"/>
        <w:gridCol w:w="225"/>
        <w:gridCol w:w="9792"/>
      </w:tblGrid>
      <w:tr>
        <w:trPr/>
        <w:tc>
          <w:tcPr>
            <w:tcW w:w="188"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jc w:val="left"/>
              <w:rPr>
                <w:color w:val="000000"/>
              </w:rPr>
            </w:pPr>
            <w:r>
              <w:rPr>
                <w:color w:val="000000"/>
              </w:rPr>
              <w:t>•</w:t>
            </w:r>
          </w:p>
        </w:tc>
        <w:tc>
          <w:tcPr>
            <w:tcW w:w="9792"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The cannabis industry may face significant opposition from other industries that perceive cannabis products and services as competitive with their own, including but not limited to the pharmaceutical industry, adult beverage industry and tobacco industry, all of which are have powerful lobbying and financial resources;</w:t>
            </w:r>
          </w:p>
        </w:tc>
      </w:tr>
    </w:tbl>
    <w:tbl>
      <w:tblPr>
        <w:tblW w:w="5000" w:type="pct"/>
        <w:jc w:val="left"/>
        <w:tblInd w:w="0" w:type="dxa"/>
        <w:tblCellMar>
          <w:top w:w="0" w:type="dxa"/>
          <w:left w:w="0" w:type="dxa"/>
          <w:bottom w:w="0" w:type="dxa"/>
          <w:right w:w="0" w:type="dxa"/>
        </w:tblCellMar>
      </w:tblPr>
      <w:tblGrid>
        <w:gridCol w:w="188"/>
        <w:gridCol w:w="225"/>
        <w:gridCol w:w="9792"/>
      </w:tblGrid>
      <w:tr>
        <w:trPr/>
        <w:tc>
          <w:tcPr>
            <w:tcW w:w="188"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jc w:val="left"/>
              <w:rPr>
                <w:color w:val="000000"/>
              </w:rPr>
            </w:pPr>
            <w:r>
              <w:rPr>
                <w:color w:val="000000"/>
              </w:rPr>
              <w:t>•</w:t>
            </w:r>
          </w:p>
        </w:tc>
        <w:tc>
          <w:tcPr>
            <w:tcW w:w="9792"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Many national and regional banks have been resistant to doing business with cannabis companies because of the uncertainties presented by federal law and, as a result, we may have difficulty accessing the service of banks, which may inhibit our ability to open bank accounts or otherwise utilize traditional banking services;</w:t>
            </w:r>
          </w:p>
        </w:tc>
      </w:tr>
    </w:tbl>
    <w:tbl>
      <w:tblPr>
        <w:tblW w:w="5000" w:type="pct"/>
        <w:jc w:val="left"/>
        <w:tblInd w:w="0" w:type="dxa"/>
        <w:tblCellMar>
          <w:top w:w="0" w:type="dxa"/>
          <w:left w:w="0" w:type="dxa"/>
          <w:bottom w:w="0" w:type="dxa"/>
          <w:right w:w="0" w:type="dxa"/>
        </w:tblCellMar>
      </w:tblPr>
      <w:tblGrid>
        <w:gridCol w:w="305"/>
        <w:gridCol w:w="314"/>
        <w:gridCol w:w="9586"/>
      </w:tblGrid>
      <w:tr>
        <w:trPr/>
        <w:tc>
          <w:tcPr>
            <w:tcW w:w="305"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jc w:val="left"/>
              <w:rPr>
                <w:color w:val="000000"/>
              </w:rPr>
            </w:pPr>
            <w:r>
              <w:rPr>
                <w:color w:val="000000"/>
              </w:rPr>
              <w:t>•</w:t>
            </w:r>
          </w:p>
        </w:tc>
        <w:tc>
          <w:tcPr>
            <w:tcW w:w="9586"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Due to our proposed involvement in the regulated cannabis industry, we may have a difficult time obtaining financing in connection with our initial business combination or thereafter;</w:t>
            </w:r>
          </w:p>
        </w:tc>
      </w:tr>
    </w:tbl>
    <w:tbl>
      <w:tblPr>
        <w:tblW w:w="5000" w:type="pct"/>
        <w:jc w:val="left"/>
        <w:tblInd w:w="0" w:type="dxa"/>
        <w:tblCellMar>
          <w:top w:w="0" w:type="dxa"/>
          <w:left w:w="0" w:type="dxa"/>
          <w:bottom w:w="0" w:type="dxa"/>
          <w:right w:w="0" w:type="dxa"/>
        </w:tblCellMar>
      </w:tblPr>
      <w:tblGrid>
        <w:gridCol w:w="205"/>
        <w:gridCol w:w="238"/>
        <w:gridCol w:w="9762"/>
      </w:tblGrid>
      <w:tr>
        <w:trPr/>
        <w:tc>
          <w:tcPr>
            <w:tcW w:w="205"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jc w:val="left"/>
              <w:rPr>
                <w:color w:val="000000"/>
              </w:rPr>
            </w:pPr>
            <w:r>
              <w:rPr>
                <w:color w:val="000000"/>
              </w:rPr>
              <w:t>•</w:t>
            </w:r>
          </w:p>
        </w:tc>
        <w:tc>
          <w:tcPr>
            <w:tcW w:w="9762"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Laws and regulations affecting the regulated cannabis industry are varied, broad in scope and subject to evolving interpretations, and may restrict the use of the properties we acquire or require certain additional regulatory approvals, which could materially adversely affect our operations;</w:t>
            </w:r>
          </w:p>
        </w:tc>
      </w:tr>
    </w:tbl>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58</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tbl>
      <w:tblPr>
        <w:tblW w:w="5000" w:type="pct"/>
        <w:jc w:val="left"/>
        <w:tblInd w:w="0" w:type="dxa"/>
        <w:tblCellMar>
          <w:top w:w="0" w:type="dxa"/>
          <w:left w:w="0" w:type="dxa"/>
          <w:bottom w:w="0" w:type="dxa"/>
          <w:right w:w="0" w:type="dxa"/>
        </w:tblCellMar>
      </w:tblPr>
      <w:tblGrid>
        <w:gridCol w:w="602"/>
        <w:gridCol w:w="580"/>
        <w:gridCol w:w="9023"/>
      </w:tblGrid>
      <w:tr>
        <w:trPr/>
        <w:tc>
          <w:tcPr>
            <w:tcW w:w="602"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center"/>
          </w:tcPr>
          <w:p>
            <w:pPr>
              <w:pStyle w:val="TableContents"/>
              <w:spacing w:before="0" w:after="283"/>
              <w:jc w:val="left"/>
              <w:rPr>
                <w:color w:val="000000"/>
              </w:rPr>
            </w:pPr>
            <w:r>
              <w:rPr>
                <w:color w:val="000000"/>
              </w:rPr>
              <w:t>•</w:t>
            </w:r>
          </w:p>
        </w:tc>
        <w:tc>
          <w:tcPr>
            <w:tcW w:w="9023"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National securities exchanges may not list companies engaged in the cannabis industry;</w:t>
            </w:r>
          </w:p>
        </w:tc>
      </w:tr>
    </w:tbl>
    <w:tbl>
      <w:tblPr>
        <w:tblW w:w="5000" w:type="pct"/>
        <w:jc w:val="left"/>
        <w:tblInd w:w="0" w:type="dxa"/>
        <w:tblCellMar>
          <w:top w:w="0" w:type="dxa"/>
          <w:left w:w="0" w:type="dxa"/>
          <w:bottom w:w="0" w:type="dxa"/>
          <w:right w:w="0" w:type="dxa"/>
        </w:tblCellMar>
      </w:tblPr>
      <w:tblGrid>
        <w:gridCol w:w="169"/>
        <w:gridCol w:w="211"/>
        <w:gridCol w:w="9825"/>
      </w:tblGrid>
      <w:tr>
        <w:trPr/>
        <w:tc>
          <w:tcPr>
            <w:tcW w:w="16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jc w:val="left"/>
              <w:rPr>
                <w:color w:val="000000"/>
              </w:rPr>
            </w:pPr>
            <w:r>
              <w:rPr>
                <w:color w:val="000000"/>
              </w:rPr>
              <w:t>•</w:t>
            </w:r>
          </w:p>
        </w:tc>
        <w:tc>
          <w:tcPr>
            <w:tcW w:w="9825"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Section 280E of the Internal Revenue Code of 1986, as amended, which disallows a tax deduction for any amount paid or incurred in carrying on any trade or business that consists of trafficking in controlled substances prohibited by federal or state law, may prevent us from deducting certain business expenditures, which would increase our net taxable income; and</w:t>
            </w:r>
          </w:p>
        </w:tc>
      </w:tr>
    </w:tbl>
    <w:tbl>
      <w:tblPr>
        <w:tblW w:w="5000" w:type="pct"/>
        <w:jc w:val="left"/>
        <w:tblInd w:w="0" w:type="dxa"/>
        <w:tblCellMar>
          <w:top w:w="0" w:type="dxa"/>
          <w:left w:w="0" w:type="dxa"/>
          <w:bottom w:w="0" w:type="dxa"/>
          <w:right w:w="0" w:type="dxa"/>
        </w:tblCellMar>
      </w:tblPr>
      <w:tblGrid>
        <w:gridCol w:w="385"/>
        <w:gridCol w:w="375"/>
        <w:gridCol w:w="9445"/>
      </w:tblGrid>
      <w:tr>
        <w:trPr/>
        <w:tc>
          <w:tcPr>
            <w:tcW w:w="385"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jc w:val="left"/>
              <w:rPr>
                <w:color w:val="000000"/>
              </w:rPr>
            </w:pPr>
            <w:r>
              <w:rPr>
                <w:color w:val="000000"/>
              </w:rPr>
              <w:t>•</w:t>
            </w:r>
          </w:p>
        </w:tc>
        <w:tc>
          <w:tcPr>
            <w:tcW w:w="9445"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Risks similar to those discussed above based on regulations of other jurisdictions in which a prospective target may operate or be organized in.</w:t>
            </w:r>
          </w:p>
        </w:tc>
      </w:tr>
    </w:tbl>
    <w:p>
      <w:pPr>
        <w:pStyle w:val="TextBody"/>
        <w:spacing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Any of the foregoing could have an adverse impact on our operations following a business combination.</w:t>
      </w:r>
    </w:p>
    <w:p>
      <w:pPr>
        <w:pStyle w:val="TextBody"/>
        <w:spacing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Cannabis is currently illegal under U.S. federal law and in other jurisdictions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If we complete a business combination with a target in the cannabis industry, our ability to achieve our business objectives will be contingent, in part, upon the legality of the cannabis industry, our compliance with regulatory requirements enacted by various governmental authorities, and our obtaining all regulatory approvals, where necessary. The laws and regulations governing cannabis are still developing, including in ways that we may not foresee. Although the Agriculture Improvement Act of 2018 has taken hemp and hemp derived cannabinoids out of the most restrictive class of controlled substances under U.S. federal law, marijuana is a schedule-1 controlled substance in the United States and is currently illegal under U.S. federal law. Even in those U.S. states in which the recreational use of marijuana has been legalized, its use remains a violation of U.S. federal law. Additionally, in 2018, a series of memoranda and guidance from 2009 to 2014 that generally directed U.S. Attorneys not to enforce federal marijuana laws against actors who were in compliance with state guidance were formally rescinded. Since U.S. federal laws criminalizing the use of marijuana preempt state laws that legalize its use, continuation of U.S. federal law in its current state regarding marijuana could limit our ability to do business in the United States. Similar issues of illegality apply in other countries. Any amendment to or replacement of existing laws to make them more onerous, or delays in amending or replacing existing laws to liberalize the legal possession and use of cannabis, or delays in obtaining, or the failure to obtain, any necessary regulatory approvals may significantly delay or impact negatively our ability to consummate an initial business combination, the markets in which we operate, products and sales initiatives and could have a material adverse effect on our business, liquidity, financial condition and/or results of operations.</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Change in the laws, regulations and guidelines that impact the cannabis industry may cause adverse effects on our ability to successfully complete our initial business combination.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We only intend to target companies that are compliant with all applicable laws and regulations within the jurisdictions in which they are located or operate and, in particular, we will not invest in, or consummate a business combination with, a target business that we determine has been operating, or whose business plan is to operate, in violation of U.S. federal laws, including the U.S. Controlled Substances Act. Changes to such laws, regulations and guidelines may cause adverse effects on our ability to identify and acquire a target company that meets these legal and regulatory requirements at the time of acquisition. </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The nascent status of the medical and recreational cannabis industry involves unique circumstances and there can be no assurance that the industry will continue to exist or grow as currently anticipated.</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Cannabis industry businesses operate under a relatively new medical and adult-use recreational market. In addition to being subject to general business risks, a business involving an agricultural product and a regulated consumer product needs to continue to build brand, product awareness and operations through significant investments in strategy, production capacity, quality assurance and compliance with regulations.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Competitive conditions, consumer tastes, patient requirements and spending patterns in this new industry and market are relatively unknown and may have unique circumstances that differ from existing industries and markets.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There can be no assurance that this industry and market will continue to exist or grow as currently estimated or anticipated, or function and evolve in a manner consistent with management's expectations and assumptions. Any event or circumstance that affects the medical or recreational cannabis industry and market could have a material adverse effect on our business, financial condition and results of operations.</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59</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Any potential growth in the cannabis industry continues to be subject to new and changing state and local laws and regulations.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Continued development of the cannabis industry is dependent upon continued legislative legalization of cannabis at the state level, and a number of factors could slow or halt progress in this area, even where there is public support for legislative action. Any delay or halt in the passing or implementation of legislation legalizing cannabis use, or its cultivation, manufacturing, processing, transportation, distribution, storage and/or sale, or the re-criminalization or restriction of cannabis at the state level could negatively impact our business. Additionally, changes in applicable state and local laws or regulations, including zoning restrictions, permitting requirements and fees, could restrict the products and services we may offer or impose additional compliance costs on us or our customers. Violations of applicable laws, or allegations of such violations, could disrupt our business and result in a material adverse effect on our operations. We cannot predict the nature of any future laws, regulations, interpretations or applications, and it is possible that regulations may be enacted in the future that will be materially adverse to our business.</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 xml:space="preserve">Change in the laws, regulations and guidelines that impact our business may cause adverse effects on our operations. </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A cannabis products business will be subject to a variety of laws, regulations and guidelines relating to the marketing, acquisition, manufacture, management, transportation, storage, sale, labeling and disposal of cannabis as well as laws and regulations relating to health and safety, the conduct of operations and the protection of the environment. Changes to such laws, regulations and guidelines may cause adverse effects on the operations of our target company post-acquisition. </w:t>
      </w:r>
    </w:p>
    <w:p>
      <w:pPr>
        <w:pStyle w:val="TextBody"/>
        <w:spacing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Operating in a highly regulated business will require significant resources.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In the event we acquire a business involved in the production, distribution or sale of cannabis products, we will be operating in a highly regulated business. In such a case, we would expect a significant amount of managements time and external resources to be used to comply with the laws, regulations and guidelines that impact our business, and changes thereto, and such compliance may place a significant burden on our management and other resources. </w:t>
      </w:r>
    </w:p>
    <w:p>
      <w:pPr>
        <w:pStyle w:val="TextBody"/>
        <w:spacing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Differing regulatory environments may cause adverse effects on our operations.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A cannabis products business will be subject to a variety of laws, regulations and guidelines in each of the jurisdictions in which it operates. Complying with multiple regulatory regimes will require additional resources and may limit our ability to expand into certain jurisdictions, even where cannabis may be legal. For example, even if cannabis were to become legal under U.S. federal law, companies operating in the cannabis industry would have to comply with applicable state and local laws, which may vary greatly between jurisdictions, increasing costs for companies that operate in multiple jurisdictions. </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 xml:space="preserve">We may operate a highly regulated business and any failure or significant delay in obtaining regulatory approvals could adversely affect our ability to conduct our business. </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In the event we acquire a business involved in the production, distribution or sale of cannabis products, achievement of our business objectives will be contingent, in part, upon compliance with the regulatory requirements enacted by applicable government authorities and obtaining all regulatory approvals, where necessary, for the sale of our products. We cannot predict the time required to secure all appropriate regulatory approvals for our products, additional restrictions that may be placed on our business or the extent of testing and documentation that may be required by government authorities. Any delays in obtaining, or failure to obtain regulatory approvals would significantly delay the development of markets and products and could have a material adverse effect on our business, results of operation and financial condition. </w:t>
      </w:r>
    </w:p>
    <w:p>
      <w:pPr>
        <w:pStyle w:val="TextBody"/>
        <w:spacing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U.S. regulations relating to hemp-derived CBD products are unclear and rapidly evolving.</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We may acquire a business involved in the production, distribution or sale of hemp-derived CBD products. Participation in the market for hemp-derived CBD products in the United States and elsewhere may require us to employ novel approaches to existing regulatory pathways. Although the passage of the Farm Bill in December 2018 legalized the cultivation of hemp in the United States to produce products containing CBD and </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60</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other non-THC cannabinoids, it is unclear how the U.S. Food and Drug Administration (FDA) will respond to the approach taken by a target business we acquire, or whether the FDA will propose or implement new or additional regulations. In addition, such products may be subject to regulation at the state or local levels. Unforeseen regulatory obstacles may hinder our ability to successfully compete in the market for such products.</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Marketing constraints under regulatory frameworks may limit a potential target cannabis companys ability to compete for market share in a manner similar to that of companies in other industries.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The development of a potential target cannabis companys business and operating results may be hindered by applicable restrictions on sales and marketing activities imposed by regulations applicable to the cannabis industry. For example, the regulatory environment in Canada would limit a target cannabis companys ability to compete for market share in a manner similar to that of companies in other industries. Additionally, Canadian regulations impose further packaging, labeling and advertising restrictions on producers in the adult-use recreational cannabis market. If a target cannabis company is unable to effectively market its products and compete for market share, or if the costs of compliance with government legislation and regulation cannot be absorbed through increased selling prices for its products, its sales and operating results could be adversely affected. </w:t>
      </w:r>
    </w:p>
    <w:p>
      <w:pPr>
        <w:pStyle w:val="TextBody"/>
        <w:spacing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We may become involved in regulatory or agency proceedings, investigations and audits.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Businesses in the cannabis industry, and the business of the suppliers from which we may acquire the products we may sell, require compliance with many laws and regulations. Failure to comply with these laws and regulations could subject us or such suppliers to regulatory or agency proceedings or investigations and could also lead to damage awards, fines and penalties. We or such suppliers may become involved in a number of government or agency proceedings, investigations and audits. The outcome of any regulatory or agency proceedings, investigations, audits, and other contingencies could harm our reputation or the reputations of the brands that we may sell, require us to take, or refrain from taking, actions that could harm our operations or require us to pay substantial amounts of money, harming our financial condition. There can be no assurance that any pending or future regulatory or agency proceedings, investigations and audits will not result in substantial costs or a diversion of managements attention and resources or have a material adverse impact on our business, financial condition and results of operations.</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Research in the United States, Canada and internationally regarding the medical benefits, viability, safety, efficacy and dosing of cannabis or isolated cannabinoids remains in relatively early stages. There have been few clinical trials on the benefits of cannabis or isolated cannabinoids conducted by us or by others.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Research in the United States, Canada and internationally regarding the medical benefits, viability, safety, efficacy and dosing of cannabis or isolated cannabinoids (such as CBD and THC) remains in relatively early stages. Historically stringent regulations related to cannabis have made conducting medical and academic studies challenging, and there have been relatively few clinical trials on the benefits of cannabis or isolated cannabinoids to date. Many statements concerning the potential medical benefits of cannabinoids are based on published articles and reports, and as a result, such statements are subject to the experimental parameters, qualifications and limitations in the studies that have been completed. In the event we acquire a target business involving medical cannabis, future research and clinical trials may draw different or negative conclusions regarding the medical benefits, viability, safety, efficacy, dosing or other facts and perceptions related to medical cannabis, which could adversely affect social acceptance of cannabis and the demand for our products. We may be subject to liability for risks against which we cannot insure or against which we may elect not to insure due to the high cost of insurance premiums or other factors. The payment of any such liabilities would reduce the funds available for our normal business activities. Payment of liabilities for which we do not carry insurance may have a material adverse effect on our financial position and operations. </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With respect to target businesses operating in the medical and adult-use cannabis markets, the illicit supply of cannabis and cannabis-based products may reduce our sales and impede our ability to succeed in such markets.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In the event we acquire a target business operating in the medical and adult-use cannabis markets, we may face competition from unlicensed and unregulated market participants, including illegal dispensaries and black market suppliers selling cannabis and cannabis-based products.</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61</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Even with the legalization of medical and adult-use cannabis in certain jurisdictions, black market operations remain abundant and are a substantial competitor to cannabis-related businesses. In addition, illegal dispensaries and black market participants may be able to (i) offer products with higher concentrations of active ingredients that are either expressly prohibited or impracticable to produce under applicable regulations, (ii) use delivery methods, including edibles, concentrates and extract vaporizers, that we may be prohibited from offering to individuals in such jurisdictions, (iii) brand products more explicitly, and (iv) describe/discuss intended effects of products. As these illicit market participants do not comply with the regulations governing the medical and adult-use cannabis industry in such jurisdictions, their operations may also have significantly lower costs.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As a result of the competition presented by the black market for cannabis, any unwillingness by consumers currently utilizing these unlicensed distribution channels to begin purchasing from legal producers for any reason or any inability or unwillingness of law enforcement authorities to enforce laws prohibiting the unlicensed cultivation and sale of cannabis and cannabis-based products could (i) result in the perpetuation of the black market for cannabis, (ii) adversely affect our market share and (iii) adversely impact the public perception of cannabis use and licensed cannabis producers and dealers, all of which would have a materially adverse effect on our business, operations and financial condition.</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If recreational or medical-use consumers elect to produce cannabis for their own purposes, it could reduce the addressable market for a potential target cannabis companys products.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Cannabis regulations may permit the end user to produce cannabis for their own purposes. For example, under cannabis regulations in Canada, three options are available for an individual to obtain cannabis for medical purposes: (i) registering with a holder of a license to sell for medical purposes and purchasing products from that entity; (ii) register with Health Canada to produce a limited amount of cannabis for their own medical purposes; or (iii) designate someone else to produce cannabis for them. It is possible that the ability of an end user to produce cannabis for their own purposes, such as under (ii) and (iii) above, could significantly reduce the addressable market for a potential target cannabis companys products and could materially and adversely affect the business, financial condition and results of operations of a potential target cannabis company. </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The cannabis industry faces significant opposition, and any negative trends may adversely affect our business operations.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If we complete a business combination with a target in the cannabis industry, we will be substantially dependent on the continued market acceptance, and the proliferation of consumers, of cannabis. We believe that with further legalization, cannabis will become more accepted, resulting in growth in consumer demand. However, we cannot predict the future growth rate or future market potential, and any negative outlook on the cannabis industry may adversely affect our business operations.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Large, well-funded industries that perceive cannabis products and services as competitive with their own, including but not limited to the pharmaceutical industry, adult beverage industry and tobacco industry, all of which are have powerful lobbying and financial resources, may have strong economic reasons to oppose the development of the cannabis industry. For example, should cannabis displace other drugs or products, the medical cannabis industry could face a material threat from the pharmaceutical industry, which is well-funded and possesses a strong and experienced lobby. Any inroads the pharmaceutical, or any other potentially displaced, industry or sector could make in halting or impeding the cannabis industry could have a detrimental impact on our business.</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Competition from synthetic products may adversely affect the business, financial condition or results of operations of a potential target cannabis company.</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The pharmaceutical industry may attempt to dominate the cannabis industry, and in particular, legal cannabis, through the development and distribution of synthetic products which emulate the effects of cannabis. If they are successful, the widespread popularity of such synthetic products could change the demand, volume and profitability of the cannabis industry. This could adversely affect the ability of a potential target cannabis company to secure long-term profitability and success through the sustainable and profitable operation of the anticipated businesses and investment targets, and could have a material adverse effect on a potential target cannabis companys business, financial condition or results of operations. </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62</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An initial surge in demand for cannabis may result in supply shortages in the short term, while in the longer term, supply of cannabis could exceed demand, which may cause a fluctuation in revenue.</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Changes in the legal status of cannabis may result in an initial surge in demand. As a result of such initial surge, cannabis companies operating under such changed legal regime may not be able to produce enough cannabis to meet demand of the adult-use recreational and medical markets, as applicable. This may result in lower than expected sales and revenues and increased competition for sales and sources of supply. </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However, in the future, cannabis producers may produce more cannabis than is needed to satisfy the collective demand of the adult-use recreational and medical markets, as applicable, and they may be unable to export that oversupply into other markets where cannabis use is fully legal under all applicable jurisdictional laws. As a result, the available supply of cannabis could exceed demand, resulting in a significant decline in the market price for cannabis. If such supply or price fluctuations were to occur, companies operating in the cannabis industry may see revenue and profitability fluctuate materially and their business, financial condition, results of operations and prospects may be adversely affected. </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Consumer preferences may change, and the potential target business may be unsuccessful in acquiring or retaining consumers and keeping pace with changing market developments.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As a result of changing consumer preferences, many consumer products attain financial success for a limited period of time. Even if a potential targets products find success at retail, there can be no assurance that such products will continue to be profitable. A potential targets success will be significantly dependent upon its ability to develop new and improved product lines and adapt to consumer preferences. Even if a potential target business is successful in introducing new products or developing its current products, a failure to gain consumer acceptance or to update products could cause a decline in the products popularity and impair the brands. In addition, a potential target business may be required to invest significant capital in the creation of new product lines, strains, brands, marketing campaigns, packaging and other product features-none of which are guaranteed to be successful. Failure to introduce new features and product lines and to achieve and sustain market acceptance could result in the potential target business being unable to satisfy consumer preferences and generate revenue. </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A potential targets success depends on its ability to attract and retain consumers. There are many factors which could impact its ability to attract and retain consumers, including its ability to continually produce desirable and effective products, the successful implementation of its consumer acquisition plan and the continued growth in the aggregate number of potential consumers. A potential target business may not be successful in developing effective and safe new products, anticipating shifts in social trends and consumer demands, bringing such products to market in time to be effectively commercialized, or obtaining any required regulatory approvals, which, together with any capital expenditures made in the course of such product development and regulatory approval processes. A potential targets failure to acquire and retain consumers could have a material adverse effect on the potential target business. </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In addition, the patterns of cannabis consumption may shift over time due to a variety of factors, including changes in demographics, social trends, public health polices and other leisure or consumption behaviors. If consumer preferences for a potential target's products or cannabis products in general do not develop, or if once developed, they were to move away from its products or cannabis products in general, or if a potential target business is unable to anticipate and respond effectively to shifts in consumer behaviors, it may be adversely affected. </w:t>
      </w:r>
    </w:p>
    <w:p>
      <w:pPr>
        <w:pStyle w:val="TextBody"/>
        <w:spacing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The cannabis industry is highly competitive and evolving.</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The market for businesses in the cannabis industry is highly competitive and evolving. There may be no material aspect of our business that is protected by patents, copyrights, trademarks or trade names, and we may face strong competition from larger companies, including in our search for an initial business combination and those that may offer similar products and services to ours following our initial business combination. Our potential competitors may have longer operating histories, significantly greater financial, marketing or other resources and larger client bases than we will, and there can be no assurance that we will be able to successfully compete against these or other competitors. Additionally, because the cannabis industry is at an early stage, a potential target cannabis company may face additional competition from new entrants, including as a result of an increased number of licenses granted under any applicable regulatory regime. </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63</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If the number of users of medical cannabis increases, and/or if the national demand for recreational cannabis increases, the demand for products will increase and we expect that competition will become more intense, as current and future competitors begin to offer an increasing number of diversified products. To remain competitive, a target business may require a continued high level of investment in research and development, marketing, sales and client support. However, a potential target business may not have sufficient resources to maintain research and development, marketing, sales and client support efforts on a competitive basis, which could materially and adversely affect the business, financial condition and results of operations of the Company. Additionally, as new technologies related to the cultivation, processing, manufacturing and research and development of cannabis are being explored, there is potential for third party competitors to be in possession of superior technology that would reduce any relative competitiveness a potential business target may have. </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As the legal landscape for cannabis continues to evolve, it is possible that the cannabis industry will undergo consolidation, creating larger companies with greater financial resources, manufacturing and marketing capabilities and product offerings. </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Given the rapid changes affecting the global, national, and regional economies generally and the cannabis industry, in particular, we may not be able to create and maintain a competitive advantage in the marketplace. </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Our success will depend on our ability to keep pace with any changes in our markets, particularly, legal and regulatory changes. For example, it is likely that we, and our competitors, will seek to introduce new products in the future. Our success will also depend on our ability to respond to, among other things, changes in the economy, market conditions, and competitive pressures. Any failure by us to anticipate or respond adequately to such changes could have a material adverse effect on our financial condition and results of operations. </w:t>
      </w:r>
    </w:p>
    <w:p>
      <w:pPr>
        <w:pStyle w:val="TextBody"/>
        <w:spacing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The technologies, process and formulations a target company uses may face competition or become obsolete.</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Many businesses in the cannabis industry face rapidly changing markets, technology, emerging industry standards and frequent introduction of new products. The introduction of new products embodying new technologies, including new manufacturing processes or formulations, and the emergence of new industry standards may render a potential business targets products obsolete, less competitive or less marketable. The process of developing their products is complex and requires significant continuing costs, development efforts and third party commitments, including licensees, researchers, collaborators and lenders. A target company's failure to develop new technologies and products and the obsolescence of existing technologies or processes could adversely affect its business, financial condition and results of operations. A target company may be unable to anticipate changes in its potential customer requirements that could make its existing technology, processes or formulations obsolete. Its success will depend in part on its ability to continue to enhance its existing technologies, develop new technology that addresses the increasing sophistication and varied news of the market, and respond to technological advances and emerging industry standards and practices on a timely and cost-effective basis. The development of its proprietary technology, processes and formulations may entail significant technical and business risks. A potential target company may not be successful in using its new technologies or exploiting its niche markets effectively or adapting its business to evolving customer or medical requirements or preferences or emerging industry standards. </w:t>
      </w:r>
    </w:p>
    <w:p>
      <w:pPr>
        <w:pStyle w:val="TextBody"/>
        <w:spacing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There is uncertainty in pricing and demand for cannabis-based products.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The anticipated pricing of cannabis products may differ substantially from current levels given changes in the competitive and regulatory landscape. The potential target companys business model may be susceptible to erosion of profitability should cannabis and cannabis-related products experience secular pricing changes. Potential sources of pricing changes include over-production, regulatory action, increased competition or the emergence of new competitors. Additionally, even if pricing of the broader cannabis and cannabis-related product market is sustained, there is no guarantee that a potential target cannabis company will be successful in creating and maintaining consumer demand and estimated pricing levels. To do this, the potential target company may be dependent upon, among other things, continually producing desirable and effective cannabis and cannabis-related products and the continued growth in the aggregate number of cannabis consumers. Campaigns designed to enhance the potential target companys brand and attract consumers, subject to restrictions imposed by law, can be expensive and may not result in increased sales. If the potential target company is unable to attract new consumers, it may not be able to increase its sales. </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64</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A potential target company may have difficulty in forecasting sales and other business metrics.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A potential target cannabis business may rely largely on its own market research to forecast sales as detailed forecasts are not generally obtainable from other sources at this early stage of the cannabis industry. If the potential target business underestimates the demand for its products, it may not be able to produce products that meet its stringent requirements, and this could result in delays in the shipment of products and failure to satisfy demand, as well as damage to reputation and partner relationships. If the potential target business overestimates the demand for its products, it could face inventory levels in excess of demand, which could result in inventory write-downs or write-offs and the sale of excess inventory at discounted prices, which would harm the potential targets gross margins and brand management efforts. </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Due to the nascent nature of the market, it could be difficult for the potential target to forecast demand. In particular, it could be difficult to forecast the rate of the illicit cannabis market crossing over to the legal market. If the market does not develop as the potential target business expects, it could have a material adverse effect on its business, results of operations and financial condition. In addition to inherent risks and difficulties forecasting sales, anticipated costs and yields are also challenging to predict with certainty as the cannabis industry is in its relative infancy and rapidly evolving. If we make capital investments based on flawed sales, costs and yields forecasts, the potential target business may not achieve its expected, or any, return on invested capital. Failure to realize forecasted sales, costs and yields could have a material adverse effect on the potential target's business, results of operations and financial condition. </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We and our customers may have difficulty accessing the service of banks, which may make it difficult to sell products and services.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Financial transactions involving proceeds generated by cannabis-related conduct can form the basis for prosecution under the federal money laundering statutes, unlicensed money transmitter statute and the U.S. Bank Secrecy Act. Guidance issued by the Financial Crimes Enforcement Network (FinCen), a division of the U.S. Department of the Treasury (the FinCen Memo), clarifies how financial institutions can provide services to cannabis-related businesses consistent with their obligations under the Bank Secrecy Act. Despite the rescission of memoranda that had de-prioritized the enforcement of federal law against marijuana users and businesses that comply with state marijuana laws, FinCen has not rescinded the FinCen Memo. While this memo appears to be a standalone document and is presumptively still in effect, FinCen could elect to rescind the FinCen Memo at any time. Banks remain hesitant to offer banking services to cannabis-related businesses. Consequently, those businesses involved in the cannabis industry continue to encounter difficulty establishing banking relationships. Our inability to maintain bank accounts would make it difficult for us to operate our business, increase our operating costs, and pose additional operational, logistical and security challenges and could result in our inability to implement our business plan.</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The development and operation of businesses in the cannabis industry may require additional financing, which may not be available on favorable terms, if at all.</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Due to the growth in the cannabis industry, the continued development and operation of businesses in the cannabis industry may require additional financing. The failure to raise such capital could result in the delay or indefinite postponement of current business objectives or the cessation of business. There can be no assurance that additional capital or other types of financing will be available if needed or that, if available, the terms of such financing will be favorable.</w:t>
      </w:r>
    </w:p>
    <w:p>
      <w:pPr>
        <w:pStyle w:val="TextBody"/>
        <w:spacing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We may be subject to product liability claims.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If we acquire a target business operating as a manufacturer and distributor of products utilizing cannabis for human consumption, we will face an inherent risk of exposure to product liability claims, regulatory action and litigation if our products are alleged to have caused significant loss or injury. In addition, the manufacture and sale of cannabis products involve the risk of injury to consumers due to tampering by unauthorized third parties or product contamination. Previously unknown adverse reactions resulting from human consumption of cannabis products alone or in combination with other medications or substances could occur. We may be subject to various product liability claims, including, among others, that the products we produced caused injury or illness, include inadequate instructions for use or include inadequate warnings concerning possible side effects or interactions with other substances.</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65</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A product liability claim or regulatory action against us could result in increased costs, could adversely affect our reputation with our clients and consumers generally, and could have a material adverse effect on our results of operations and financial condition. There can be no assurances that we will be able to obtain or maintain product liability insurance on acceptable terms or with adequate coverage against potential liabilities. Such insurance is expensive and may not be available in the future on acceptable terms, or at all. The inability to obtain sufficient insurance coverage on reasonable terms or to otherwise protect against potential product liability claims could prevent or inhibit the commercialization of products.</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We may not be able to obtain adequate insurance coverage in respect of the risks our business faces, the premiums for such insurance may not continue to be commercially justifiable or there may be coverage limitations and other exclusions which may result in such insurance not being sufficient to cover potential liabilities that we face.</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Although we expect to have insurance coverage with respect to the assets and operations of our target business, such insurance coverage will be subject to coverage limits and exclusions and may not be available for the risks and hazards to which we are exposed. In addition, no assurance can be given that such insurance will be adequate to cover our liabilities, including potential product liability claims, or will be generally available in the future or, if available, that premiums will be commercially justifiable. If we were to incur substantial liability and such damages were not covered by insurance or were in excess of policy limits, we may be exposed to material uninsured liabilities that could impede our liquidity, profitability or solvency.</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We, or the cannabis industry more generally, may receive unfavorable publicity or become subject to negative consumer or investor perception.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believe that the cannabis industry is highly dependent upon positive consumer and investor perception regarding the benefits, safety, efficacy and quality of the cannabis distributed to consumers. The perception of the cannabis industry and cannabis products, currently and in the future, may be significantly influenced by scientific research or findings, regulatory investigations, litigation, political statements, media attention and other publicity (whether or not accurate or with merit) both in the United States and in other countries, including Canada, relating to the consumption of cannabis products, including unexpected safety or efficacy concerns arising with respect to cannabis products or the activities of industry participants. There can be no assurance that future scientific research, findings, regulatory proceedings, litigation, media attention or other research findings or publicity will be favorable to the cannabis market or any particular cannabis product or will be consistent with earlier publicity. Adverse future scientific research reports, findings and regulatory proceedings that are, or litigation, media attention or other publicity that is, perceived as less favorable than, or that questions, earlier research reports, findings or publicity (whether or not accurate or with merit) could result in a significant reduction in the demand for the cannabis products of a target business we acquire. Further, adverse publicity reports or other media attention regarding the safety, efficacy and quality of cannabis, or the products of a target business we acquire specifically, or associating the consumption of cannabis with illness or other negative effects or events, could adversely affect us. This adverse publicity could arise even if the adverse effects associated with cannabis products resulted from consumers failure to use such products legally, appropriately or as directed.</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Third parties with whom we do business may perceive themselves as being exposed to reputational risk by virtue of their relationship with us and may ultimately elect not to do business with us.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If we acquire a target business in the cannabis industry, the parties with which we do business may perceive that they are exposed to reputational risk as a result of our cannabis business activities. Failure to establish or maintain business relationships could have a material adverse effect on us.</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Our reputation and ability to do business may be negatively impacted by the improper conduct of our business partners, employees or agents.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cannot provide assurance that our internal controls and compliance systems will always protect us from acts committed by our employees, agents or business partners in violation of applicable laws and regulations in the jurisdictions in which we conduct operations, including those applicable to businesses in the cannabis industry. Any improper acts or allegations could damage our reputation and subject us to civil or criminal investigations and related shareholder lawsuits, could lead to substantial civil and criminal monetary and non-monetary penalties, and could cause us to incur significant legal and investigatory fees.</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66</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We may be subject to regulatory, legal or reputational risk associated with potential misuse of our products by our customers.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We cannot provide assurance that our customers will always use our products in the manner in which we intend. Any misuse of our products by our customers could lead to substantial civil and criminal monetary and non-monetary penalties, and could cause us to incur significant legal and investigatory fees. </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A potential target company may not succeed in promoting and sustaining its brands, which could have an adverse effect on its future growth and business.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A critical component of a potential target companys future growth is its ability to promote and sustain its brands, often achieved by providing a high-quality user experience. An important element of a target companys brand promotion strategy is establishing a relationship of trust with its consumers. In order to provide a high-quality user experience, a potential target company may need to have invested and continue to invest substantial resources in the development of products, infrastructure, fulfilment and customer service operations. Campaigns designed to enhance a potential target companys brand and attract consumers, subject to restrictions imposed by law, can be expensive and may not result in increased sales. If a potential target company is unable to attract new customers or its consumers are dissatisfied with the quality of the products sold to them or the customer service they receive and their overall customer experience, it could see a decrease in sales, which could have a material adverse effect on the potential target companys business, financial condition and results of operations.</w:t>
      </w:r>
    </w:p>
    <w:p>
      <w:pPr>
        <w:pStyle w:val="TextBody"/>
        <w:spacing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Certain events or developments in the cannabis industry more generally may impact our reputation.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Damage to our reputation can result from the actual or perceived occurrence of any number of events, including any negative publicity, whether true or not. If we acquire a target business in the cannabis industry, because cannabis has been commonly associated with various other narcotics, violence and criminal activities, there is a risk that our business might attract negative publicity. There is also a risk that the actions of other companies, service providers and customers in the cannabis industry may negatively affect the reputation of the industry as a whole and thereby negatively impact our reputation. The increased usage of social media and other web-based tools used to generate, publish and discuss user-generated content and to connect with other users has made it increasingly easier for individuals and groups to communicate and share negative opinions and views in regards to our activities and the cannabis industry in general, whether true or not. </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do not ultimately have direct control over how we or the cannabis industry is perceived by others. Reputational issues may result in decreased investor confidence, increased challenges in developing and maintaining community relations and present an impediment to our overall ability to advance our business strategy and realize on our growth prospects.</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The cannabis industry is subject to the risks inherent in an agricultural business, including the risk of crop failure.</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The growing of cannabis is an agricultural process. As such, a target business with operations in the cannabis industry is subject to the risks inherent in the agricultural business, including risks of crop failure presented by weather, insects, plant diseases and similar agricultural risks. Although some cannabis production is conducted indoors under climate controlled conditions, cannabis continues to be grown outdoors and there can be no assurance that artificial or natural elements, such as insects and plant diseases, will not entirely interrupt production activities or have an adverse effect on the production of cannabis and, accordingly, the operations of a potential target business. </w:t>
      </w:r>
    </w:p>
    <w:p>
      <w:pPr>
        <w:pStyle w:val="TextBody"/>
        <w:spacing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The cannabis industry is subject to transportation disruptions, including those related to an agricultural product.</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As a business revolving mainly around the growth of an agricultural product, the ability to obtain speedy, cost-effective and efficient transport services will be essential to the prolonged operations of a potential target cannabis companys business. Should such transportation become unavailable for prolonged periods of time, it could have a material adverse effect on the potential target companys business, financial condition and results of operations. </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Due to the nature of a potential target cannabis companys products, security of the product during transportation to and from its facilities may be important. A breach of security during transport or delivery could have a </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67</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material adverse effect on a potential target companys business, financial condition and results of operations. Any breach of the security measures during transport or delivery, including any failure to comply with recommendations or requirements of regulatory authorities, could also have an impact on the potential target companys ability to continue operating under its license or the prospect of renewing its licenses. </w:t>
      </w:r>
    </w:p>
    <w:p>
      <w:pPr>
        <w:pStyle w:val="TextBody"/>
        <w:spacing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Many cannabis businesses are subject to significant environmental regulations and risks.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Participants in the cannabis industry are subject to various environmental regulations in the jurisdictions in which they operate. These regulations may mandate, among other things, the maintenance of air and water quality standards and land reclamation. These regulations may also set forth limitations on the generation, transportation, storage and disposal of solid and hazardous waste. Environmental legislation is evolving in a manner which will require stricter standards and enforcement, increased fines and penalties for non-compliance, more stringent environmental assessments of proposed projects and a heightened degree of responsibility for companies and their officers, directors and employees. There is no assurance that future changes in environmental regulation, if any, will not adversely affect a potential target business. </w:t>
      </w:r>
    </w:p>
    <w:p>
      <w:pPr>
        <w:pStyle w:val="TextBody"/>
        <w:spacing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Many cannabis businesses are dependent on key personnel with sufficient experience in the cannabis industry.</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success of businesses in the cannabis industry is largely dependent on the performance of their respective management teams and key employees and their continuing ability to attract, develop, motivate and retain highly qualified and skilled employees. Qualified individuals are in high demand, and significant costs may be incurred to attract and retain them. The loss of the services of any key personnel, or an inability to attract other suitably qualified persons when needed, could prevent a business from executing on its business plan and strategy, and the business may be unable to find adequate replacements on a timely basis, or at all.</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There are a limited number of management teams in the cannabis industry that are familiar with U.S. securities laws.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There are a limited number of management teams in the cannabis industry that have U.S. public company experience. As a result, management of a target cannabis business, including any key personnel that it hires in the future, may not be familiar with U.S. securities laws. If such management team is unfamiliar with U.S. securities laws, they may have to expend time and resources becoming familiar with such laws. This could be expensive and time-consuming and could lead to various regulatory issues which may adversely affect our operations. </w:t>
      </w:r>
    </w:p>
    <w:p>
      <w:pPr>
        <w:pStyle w:val="TextBody"/>
        <w:spacing w:lineRule="atLeast" w:line="210"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It may be difficult to continuously maintain and retain a competitive talent pool with public company standards.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As a target company grows, it may need to hire additional human resources to continue to develop its businesses. However, experienced talent, including senior management, with public company background in the areas of cannabis research and development, growing cannabis and extraction are difficult to source, and there can be no assurance that the appropriate individuals will be available or affordable. </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Without adequate personnel and expertise, the growth of the business may suffer. There can be no assurance that a target company will be able to identify, attract, hire and retain qualified personnel and expertise in the future, and any failure to do so could have a material adverse effect on the business, financial condition or results of operations. </w:t>
      </w:r>
    </w:p>
    <w:p>
      <w:pPr>
        <w:pStyle w:val="TextBody"/>
        <w:spacing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A potential target company may be dependent on skilled labor and suppliers.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The ability of a potential target business to compete and grow will be dependent on it having access, at a reasonable cost and in a timely manner, to skilled labor, equipment, parts and components. No assurances can be given that the potential target business will be successful in maintaining its required supply of skilled labor, equipment, parts and components. Qualified individuals are in high demand, and the potential target business may incur significant costs to attract and retain them. It is also possible that the final costs of the major equipment and materials, including packaging materials, contemplated by the potential target's capital expenditure program may be significantly greater than anticipated by the potential target's management, and may </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68</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be greater than funds available to the potential target business, in which circumstance the potential target business may curtail, or extend the timeframes for completing, its capital expenditure plans. This could have a material adverse effect on the potential target's business, financial condition and results of operations. </w:t>
      </w:r>
    </w:p>
    <w:p>
      <w:pPr>
        <w:pStyle w:val="TextBody"/>
        <w:spacing w:lineRule="atLeast" w:line="225"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Fraudulent or illegal activity by employees, contractors and consultants may adversely affect our business, financial condition or results of operations.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A potential target business may be exposed to the risk that any of its employees, independent contractors or consultants may engage in fraudulent or other illegal activity. Misconduct by these parties could include intentional, reckless and/or negligent conduct or disclosure of unauthorized activities that violate (i) government regulations, (ii) manufacturing standards, (iii) federal, state and provincial healthcare fraud and abuse laws and regulations, or (iv) laws that require the true, complete and accurate reporting of financial information or data. It may not always be possible for the potential target business to identify and deter misconduct by its employees and other third parties, and the precautions taken by the potential target business to detect and prevent this activity may not be effective in controlling unknown or unmanaged risks or losses or in protecting the potential target business from governmental investigations or other actions or lawsuits stemming from a failure to be in compliance with such laws or regulations. If any such actions are instituted against the potential target business, and it is not successful in defending itself or asserting its rights, those actions could have a significant impact on the business of the potential target business, including the imposition of civil, criminal and administrative penalties, damages, monetary fines, contractual damages, reputational harm, diminished profits and future earnings, and curtailment of the operations of the potential target business, any of which could have a material adverse effect on the potential target's business, financial condition and results of operations. </w:t>
      </w:r>
    </w:p>
    <w:p>
      <w:pPr>
        <w:pStyle w:val="TextBody"/>
        <w:spacing w:lineRule="atLeast" w:line="225"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A potential target cannabis company may be reliant on key inputs and may not be able to realize its cannabis production or capacity targets. The price of production of cannabis will also vary based on a number of factors outside of our control.</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A potential target cannabis companys ability to produce and process cannabis, and the price of production, may be affected by a number of factors, including available space, raw materials, plant design errors, non-performance by third party contractors, increases in materials or labor costs, construction performance falling below expected levels of output or efficiency, environmental pollution, contractor or operator errors, breakdowns, processing bottlenecks, aging or failure of equipment or processes, labor disputes, as well as factors specifically related to indoor agricultural practices, such as reliance on provision of energy and utilities to the facility, and potential impacts of major incidents or catastrophic events on the facility, such as fires, explosions, earthquakes or storms. Any significant interruption or negative change in the availability or economics of the supply chain for key inputs could materially impact the business, financial condition and operating results of a potential target company. Some of these inputs may only be available from a single supplier or a limited group of suppliers, including access to the electricity grid. If a sole source supplier was to go out of business, the target company might be unable to find a replacement for such source in a timely manner or at all. If a sole source supplier were to be acquired by a competitor, that competitor may elect not to sell to the potential target company in the future. Any inability to secure required supplies and services or to do so on appropriate terms could have a materially adverse impact on the business, financial condition, results of operations and prospects of such businesses. </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In addition, the price of production, sale and distribution of cannabis will fluctuate widely due to, among other factors, how young the cannabis industry is and the impact of numerous factors beyond the control of such businesses, including international, economic and political trends, expectations of inflation, currency exchange fluctuations, interest rates, global or regional consumptive patterns, speculative activities and increased production due to new production and distribution developments and improved production and distribution methods. </w:t>
      </w:r>
    </w:p>
    <w:p>
      <w:pPr>
        <w:pStyle w:val="TextBody"/>
        <w:spacing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A potential target company may be vulnerable to rising energy costs.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Cannabis growing operations consume considerable energy, which makes a potential target cannabis company vulnerable to rising energy costs and/or the availability of stable energy sources. Accordingly, rising or volatile energy costs or the inability to access stable energy sources may have a material adverse effect on the potential target companys business, financial condition and results of operations. </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69</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25"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To the extent we acquire cannabis businesses or assets, there may be a lack of access to U.S. bankruptcy protections.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Because cannabis is illegal under U.S. federal law, many courts have denied cannabis businesses bankruptcy protections, thus making it very difficult for lenders to recoup their investments in the cannabis industry in the event of a bankruptcy. If a company we acquire as part of a qualifying transaction were to experience a bankruptcy, there is no guarantee that U.S. federal bankruptcy protections would be available, which could have a material adverse effect on the financial condition and prospects of such business and on the rights of its lenders and security holders. </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70</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before="240" w:after="0"/>
        <w:ind w:left="0" w:right="0" w:hanging="0"/>
        <w:jc w:val="center"/>
        <w:rPr>
          <w:rFonts w:ascii="Times New Roman;Times;Serif" w:hAnsi="Times New Roman;Times;Serif"/>
          <w:b/>
          <w:color w:val="000000"/>
          <w:sz w:val="17"/>
        </w:rPr>
      </w:pPr>
      <w:bookmarkStart w:id="7" w:name="tCNR"/>
      <w:bookmarkEnd w:id="7"/>
      <w:r>
        <w:rPr>
          <w:rFonts w:ascii="Times New Roman;Times;Serif" w:hAnsi="Times New Roman;Times;Serif"/>
          <w:b/>
          <w:color w:val="000000"/>
          <w:sz w:val="17"/>
        </w:rPr>
        <w:t>CAUTIONARY NOTE REGARDING FORWARD-LOOKING STATEMENTS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Some statements contained in this prospectus are forward-looking in nature.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Forward-looking statements in this prospectus may include, for example, statements about:</w:t>
      </w:r>
    </w:p>
    <w:tbl>
      <w:tblPr>
        <w:tblW w:w="5000" w:type="pct"/>
        <w:jc w:val="left"/>
        <w:tblInd w:w="0" w:type="dxa"/>
        <w:tblCellMar>
          <w:top w:w="0" w:type="dxa"/>
          <w:left w:w="0" w:type="dxa"/>
          <w:bottom w:w="0" w:type="dxa"/>
          <w:right w:w="0" w:type="dxa"/>
        </w:tblCellMar>
      </w:tblPr>
      <w:tblGrid>
        <w:gridCol w:w="788"/>
        <w:gridCol w:w="760"/>
        <w:gridCol w:w="8657"/>
      </w:tblGrid>
      <w:tr>
        <w:trPr/>
        <w:tc>
          <w:tcPr>
            <w:tcW w:w="788"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jc w:val="left"/>
              <w:rPr>
                <w:color w:val="000000"/>
              </w:rPr>
            </w:pPr>
            <w:r>
              <w:rPr>
                <w:color w:val="000000"/>
              </w:rPr>
              <w:t>•</w:t>
            </w:r>
          </w:p>
        </w:tc>
        <w:tc>
          <w:tcPr>
            <w:tcW w:w="8657"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our ability to select an appropriate target business or businesses;</w:t>
            </w:r>
          </w:p>
        </w:tc>
      </w:tr>
    </w:tbl>
    <w:tbl>
      <w:tblPr>
        <w:tblW w:w="5000" w:type="pct"/>
        <w:jc w:val="left"/>
        <w:tblInd w:w="0" w:type="dxa"/>
        <w:tblCellMar>
          <w:top w:w="0" w:type="dxa"/>
          <w:left w:w="0" w:type="dxa"/>
          <w:bottom w:w="0" w:type="dxa"/>
          <w:right w:w="0" w:type="dxa"/>
        </w:tblCellMar>
      </w:tblPr>
      <w:tblGrid>
        <w:gridCol w:w="879"/>
        <w:gridCol w:w="847"/>
        <w:gridCol w:w="8479"/>
      </w:tblGrid>
      <w:tr>
        <w:trPr/>
        <w:tc>
          <w:tcPr>
            <w:tcW w:w="879"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jc w:val="left"/>
              <w:rPr>
                <w:color w:val="000000"/>
              </w:rPr>
            </w:pPr>
            <w:r>
              <w:rPr>
                <w:color w:val="000000"/>
              </w:rPr>
              <w:t>•</w:t>
            </w:r>
          </w:p>
        </w:tc>
        <w:tc>
          <w:tcPr>
            <w:tcW w:w="8479"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our ability to complete our initial business combination;</w:t>
            </w:r>
          </w:p>
        </w:tc>
      </w:tr>
    </w:tbl>
    <w:tbl>
      <w:tblPr>
        <w:tblW w:w="5000" w:type="pct"/>
        <w:jc w:val="left"/>
        <w:tblInd w:w="0" w:type="dxa"/>
        <w:tblCellMar>
          <w:top w:w="0" w:type="dxa"/>
          <w:left w:w="0" w:type="dxa"/>
          <w:bottom w:w="0" w:type="dxa"/>
          <w:right w:w="0" w:type="dxa"/>
        </w:tblCellMar>
      </w:tblPr>
      <w:tblGrid>
        <w:gridCol w:w="599"/>
        <w:gridCol w:w="578"/>
        <w:gridCol w:w="9028"/>
      </w:tblGrid>
      <w:tr>
        <w:trPr/>
        <w:tc>
          <w:tcPr>
            <w:tcW w:w="599"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jc w:val="left"/>
              <w:rPr>
                <w:color w:val="000000"/>
              </w:rPr>
            </w:pPr>
            <w:r>
              <w:rPr>
                <w:color w:val="000000"/>
              </w:rPr>
              <w:t>•</w:t>
            </w:r>
          </w:p>
        </w:tc>
        <w:tc>
          <w:tcPr>
            <w:tcW w:w="9028"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our expectations around the performance of a prospective target business or businesses;</w:t>
            </w:r>
          </w:p>
        </w:tc>
      </w:tr>
    </w:tbl>
    <w:tbl>
      <w:tblPr>
        <w:tblW w:w="5000" w:type="pct"/>
        <w:jc w:val="left"/>
        <w:tblInd w:w="0" w:type="dxa"/>
        <w:tblCellMar>
          <w:top w:w="0" w:type="dxa"/>
          <w:left w:w="0" w:type="dxa"/>
          <w:bottom w:w="0" w:type="dxa"/>
          <w:right w:w="0" w:type="dxa"/>
        </w:tblCellMar>
      </w:tblPr>
      <w:tblGrid>
        <w:gridCol w:w="378"/>
        <w:gridCol w:w="370"/>
        <w:gridCol w:w="9457"/>
      </w:tblGrid>
      <w:tr>
        <w:trPr/>
        <w:tc>
          <w:tcPr>
            <w:tcW w:w="378"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jc w:val="left"/>
              <w:rPr>
                <w:color w:val="000000"/>
              </w:rPr>
            </w:pPr>
            <w:r>
              <w:rPr>
                <w:color w:val="000000"/>
              </w:rPr>
              <w:t>•</w:t>
            </w:r>
          </w:p>
        </w:tc>
        <w:tc>
          <w:tcPr>
            <w:tcW w:w="9457"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our success in retaining or recruiting, or changes required in, our officers, key employees or directors following our initial business combination;</w:t>
            </w:r>
          </w:p>
        </w:tc>
      </w:tr>
    </w:tbl>
    <w:tbl>
      <w:tblPr>
        <w:tblW w:w="5000" w:type="pct"/>
        <w:jc w:val="left"/>
        <w:tblInd w:w="0" w:type="dxa"/>
        <w:tblCellMar>
          <w:top w:w="0" w:type="dxa"/>
          <w:left w:w="0" w:type="dxa"/>
          <w:bottom w:w="0" w:type="dxa"/>
          <w:right w:w="0" w:type="dxa"/>
        </w:tblCellMar>
      </w:tblPr>
      <w:tblGrid>
        <w:gridCol w:w="318"/>
        <w:gridCol w:w="324"/>
        <w:gridCol w:w="9563"/>
      </w:tblGrid>
      <w:tr>
        <w:trPr/>
        <w:tc>
          <w:tcPr>
            <w:tcW w:w="318"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jc w:val="left"/>
              <w:rPr>
                <w:color w:val="000000"/>
              </w:rPr>
            </w:pPr>
            <w:r>
              <w:rPr>
                <w:color w:val="000000"/>
              </w:rPr>
              <w:t>•</w:t>
            </w:r>
          </w:p>
        </w:tc>
        <w:tc>
          <w:tcPr>
            <w:tcW w:w="9563"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our officers and directors allocating their time to other businesses and potentially having conflicts of interest with our business or in approving our initial business combination;</w:t>
            </w:r>
          </w:p>
        </w:tc>
      </w:tr>
    </w:tbl>
    <w:tbl>
      <w:tblPr>
        <w:tblW w:w="5000" w:type="pct"/>
        <w:jc w:val="left"/>
        <w:tblInd w:w="0" w:type="dxa"/>
        <w:tblCellMar>
          <w:top w:w="0" w:type="dxa"/>
          <w:left w:w="0" w:type="dxa"/>
          <w:bottom w:w="0" w:type="dxa"/>
          <w:right w:w="0" w:type="dxa"/>
        </w:tblCellMar>
      </w:tblPr>
      <w:tblGrid>
        <w:gridCol w:w="555"/>
        <w:gridCol w:w="534"/>
        <w:gridCol w:w="9116"/>
      </w:tblGrid>
      <w:tr>
        <w:trPr/>
        <w:tc>
          <w:tcPr>
            <w:tcW w:w="555"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jc w:val="left"/>
              <w:rPr>
                <w:color w:val="000000"/>
              </w:rPr>
            </w:pPr>
            <w:r>
              <w:rPr>
                <w:color w:val="000000"/>
              </w:rPr>
              <w:t>•</w:t>
            </w:r>
          </w:p>
        </w:tc>
        <w:tc>
          <w:tcPr>
            <w:tcW w:w="9116"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our potential ability to obtain additional financing to complete our initial business combination;</w:t>
            </w:r>
          </w:p>
        </w:tc>
      </w:tr>
    </w:tbl>
    <w:tbl>
      <w:tblPr>
        <w:tblW w:w="5000" w:type="pct"/>
        <w:jc w:val="left"/>
        <w:tblInd w:w="0" w:type="dxa"/>
        <w:tblCellMar>
          <w:top w:w="0" w:type="dxa"/>
          <w:left w:w="0" w:type="dxa"/>
          <w:bottom w:w="0" w:type="dxa"/>
          <w:right w:w="0" w:type="dxa"/>
        </w:tblCellMar>
      </w:tblPr>
      <w:tblGrid>
        <w:gridCol w:w="1118"/>
        <w:gridCol w:w="1077"/>
        <w:gridCol w:w="8010"/>
      </w:tblGrid>
      <w:tr>
        <w:trPr/>
        <w:tc>
          <w:tcPr>
            <w:tcW w:w="1118" w:type="dxa"/>
            <w:tcBorders/>
            <w:shd w:fill="auto" w:val="clear"/>
            <w:vAlign w:val="center"/>
          </w:tcPr>
          <w:p>
            <w:pPr>
              <w:pStyle w:val="TableContents"/>
              <w:spacing w:before="0" w:after="283"/>
              <w:rPr>
                <w:sz w:val="4"/>
                <w:szCs w:val="4"/>
              </w:rPr>
            </w:pPr>
            <w:r>
              <w:rPr>
                <w:sz w:val="4"/>
                <w:szCs w:val="4"/>
              </w:rPr>
            </w:r>
          </w:p>
        </w:tc>
        <w:tc>
          <w:tcPr>
            <w:tcW w:w="1077" w:type="dxa"/>
            <w:tcBorders/>
            <w:shd w:fill="auto" w:val="clear"/>
            <w:vAlign w:val="center"/>
          </w:tcPr>
          <w:p>
            <w:pPr>
              <w:pStyle w:val="TableContents"/>
              <w:spacing w:before="0" w:after="283"/>
              <w:jc w:val="left"/>
              <w:rPr>
                <w:color w:val="000000"/>
              </w:rPr>
            </w:pPr>
            <w:r>
              <w:rPr>
                <w:color w:val="000000"/>
              </w:rPr>
              <w:t>•</w:t>
            </w:r>
          </w:p>
        </w:tc>
        <w:tc>
          <w:tcPr>
            <w:tcW w:w="8010"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our pool of prospective target businesses;</w:t>
            </w:r>
          </w:p>
        </w:tc>
      </w:tr>
    </w:tbl>
    <w:tbl>
      <w:tblPr>
        <w:tblW w:w="5000" w:type="pct"/>
        <w:jc w:val="left"/>
        <w:tblInd w:w="0" w:type="dxa"/>
        <w:tblCellMar>
          <w:top w:w="0" w:type="dxa"/>
          <w:left w:w="0" w:type="dxa"/>
          <w:bottom w:w="0" w:type="dxa"/>
          <w:right w:w="0" w:type="dxa"/>
        </w:tblCellMar>
      </w:tblPr>
      <w:tblGrid>
        <w:gridCol w:w="1042"/>
        <w:gridCol w:w="1004"/>
        <w:gridCol w:w="8159"/>
      </w:tblGrid>
      <w:tr>
        <w:trPr/>
        <w:tc>
          <w:tcPr>
            <w:tcW w:w="1042" w:type="dxa"/>
            <w:tcBorders/>
            <w:shd w:fill="auto" w:val="clear"/>
            <w:vAlign w:val="center"/>
          </w:tcPr>
          <w:p>
            <w:pPr>
              <w:pStyle w:val="TableContents"/>
              <w:spacing w:before="0" w:after="283"/>
              <w:rPr>
                <w:sz w:val="4"/>
                <w:szCs w:val="4"/>
              </w:rPr>
            </w:pPr>
            <w:r>
              <w:rPr>
                <w:sz w:val="4"/>
                <w:szCs w:val="4"/>
              </w:rPr>
            </w:r>
          </w:p>
        </w:tc>
        <w:tc>
          <w:tcPr>
            <w:tcW w:w="1004" w:type="dxa"/>
            <w:tcBorders/>
            <w:shd w:fill="auto" w:val="clear"/>
            <w:vAlign w:val="center"/>
          </w:tcPr>
          <w:p>
            <w:pPr>
              <w:pStyle w:val="TableContents"/>
              <w:spacing w:before="0" w:after="283"/>
              <w:jc w:val="left"/>
              <w:rPr>
                <w:color w:val="000000"/>
              </w:rPr>
            </w:pPr>
            <w:r>
              <w:rPr>
                <w:color w:val="000000"/>
              </w:rPr>
              <w:t>•</w:t>
            </w:r>
          </w:p>
        </w:tc>
        <w:tc>
          <w:tcPr>
            <w:tcW w:w="8159"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operating a business in the cannabis industry;</w:t>
            </w:r>
          </w:p>
        </w:tc>
      </w:tr>
    </w:tbl>
    <w:tbl>
      <w:tblPr>
        <w:tblW w:w="5000" w:type="pct"/>
        <w:jc w:val="left"/>
        <w:tblInd w:w="0" w:type="dxa"/>
        <w:tblCellMar>
          <w:top w:w="0" w:type="dxa"/>
          <w:left w:w="0" w:type="dxa"/>
          <w:bottom w:w="0" w:type="dxa"/>
          <w:right w:w="0" w:type="dxa"/>
        </w:tblCellMar>
      </w:tblPr>
      <w:tblGrid>
        <w:gridCol w:w="491"/>
        <w:gridCol w:w="474"/>
        <w:gridCol w:w="9240"/>
      </w:tblGrid>
      <w:tr>
        <w:trPr/>
        <w:tc>
          <w:tcPr>
            <w:tcW w:w="491"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jc w:val="left"/>
              <w:rPr>
                <w:color w:val="000000"/>
              </w:rPr>
            </w:pPr>
            <w:r>
              <w:rPr>
                <w:color w:val="000000"/>
              </w:rPr>
              <w:t>•</w:t>
            </w:r>
          </w:p>
        </w:tc>
        <w:tc>
          <w:tcPr>
            <w:tcW w:w="9240"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the ability of our officers and directors to generate a number of potential business combination opportunities;</w:t>
            </w:r>
          </w:p>
        </w:tc>
      </w:tr>
    </w:tbl>
    <w:tbl>
      <w:tblPr>
        <w:tblW w:w="5000" w:type="pct"/>
        <w:jc w:val="left"/>
        <w:tblInd w:w="0" w:type="dxa"/>
        <w:tblCellMar>
          <w:top w:w="0" w:type="dxa"/>
          <w:left w:w="0" w:type="dxa"/>
          <w:bottom w:w="0" w:type="dxa"/>
          <w:right w:w="0" w:type="dxa"/>
        </w:tblCellMar>
      </w:tblPr>
      <w:tblGrid>
        <w:gridCol w:w="929"/>
        <w:gridCol w:w="896"/>
        <w:gridCol w:w="8380"/>
      </w:tblGrid>
      <w:tr>
        <w:trPr/>
        <w:tc>
          <w:tcPr>
            <w:tcW w:w="929"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jc w:val="left"/>
              <w:rPr>
                <w:color w:val="000000"/>
              </w:rPr>
            </w:pPr>
            <w:r>
              <w:rPr>
                <w:color w:val="000000"/>
              </w:rPr>
              <w:t>•</w:t>
            </w:r>
          </w:p>
        </w:tc>
        <w:tc>
          <w:tcPr>
            <w:tcW w:w="8380"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our public securities’ potential liquidity and trading;</w:t>
            </w:r>
          </w:p>
        </w:tc>
      </w:tr>
    </w:tbl>
    <w:tbl>
      <w:tblPr>
        <w:tblW w:w="5000" w:type="pct"/>
        <w:jc w:val="left"/>
        <w:tblInd w:w="0" w:type="dxa"/>
        <w:tblCellMar>
          <w:top w:w="0" w:type="dxa"/>
          <w:left w:w="0" w:type="dxa"/>
          <w:bottom w:w="0" w:type="dxa"/>
          <w:right w:w="0" w:type="dxa"/>
        </w:tblCellMar>
      </w:tblPr>
      <w:tblGrid>
        <w:gridCol w:w="1190"/>
        <w:gridCol w:w="1147"/>
        <w:gridCol w:w="7868"/>
      </w:tblGrid>
      <w:tr>
        <w:trPr/>
        <w:tc>
          <w:tcPr>
            <w:tcW w:w="1190" w:type="dxa"/>
            <w:tcBorders/>
            <w:shd w:fill="auto" w:val="clear"/>
            <w:vAlign w:val="center"/>
          </w:tcPr>
          <w:p>
            <w:pPr>
              <w:pStyle w:val="TableContents"/>
              <w:spacing w:before="0" w:after="283"/>
              <w:rPr>
                <w:sz w:val="4"/>
                <w:szCs w:val="4"/>
              </w:rPr>
            </w:pPr>
            <w:r>
              <w:rPr>
                <w:sz w:val="4"/>
                <w:szCs w:val="4"/>
              </w:rPr>
            </w:r>
          </w:p>
        </w:tc>
        <w:tc>
          <w:tcPr>
            <w:tcW w:w="1147" w:type="dxa"/>
            <w:tcBorders/>
            <w:shd w:fill="auto" w:val="clear"/>
            <w:vAlign w:val="center"/>
          </w:tcPr>
          <w:p>
            <w:pPr>
              <w:pStyle w:val="TableContents"/>
              <w:spacing w:before="0" w:after="283"/>
              <w:jc w:val="left"/>
              <w:rPr>
                <w:color w:val="000000"/>
              </w:rPr>
            </w:pPr>
            <w:r>
              <w:rPr>
                <w:color w:val="000000"/>
              </w:rPr>
              <w:t>•</w:t>
            </w:r>
          </w:p>
        </w:tc>
        <w:tc>
          <w:tcPr>
            <w:tcW w:w="7868"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the lack of a market for our securities;</w:t>
            </w:r>
          </w:p>
        </w:tc>
      </w:tr>
    </w:tbl>
    <w:tbl>
      <w:tblPr>
        <w:tblW w:w="5000" w:type="pct"/>
        <w:jc w:val="left"/>
        <w:tblInd w:w="0" w:type="dxa"/>
        <w:tblCellMar>
          <w:top w:w="0" w:type="dxa"/>
          <w:left w:w="0" w:type="dxa"/>
          <w:bottom w:w="0" w:type="dxa"/>
          <w:right w:w="0" w:type="dxa"/>
        </w:tblCellMar>
      </w:tblPr>
      <w:tblGrid>
        <w:gridCol w:w="465"/>
        <w:gridCol w:w="447"/>
        <w:gridCol w:w="9293"/>
      </w:tblGrid>
      <w:tr>
        <w:trPr/>
        <w:tc>
          <w:tcPr>
            <w:tcW w:w="465"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jc w:val="left"/>
              <w:rPr>
                <w:color w:val="000000"/>
              </w:rPr>
            </w:pPr>
            <w:r>
              <w:rPr>
                <w:color w:val="000000"/>
              </w:rPr>
              <w:t>•</w:t>
            </w:r>
          </w:p>
        </w:tc>
        <w:tc>
          <w:tcPr>
            <w:tcW w:w="9293"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the use of proceeds not held in the trust account or available to us from interest income on the trust account balance;</w:t>
            </w:r>
          </w:p>
        </w:tc>
      </w:tr>
    </w:tbl>
    <w:tbl>
      <w:tblPr>
        <w:tblW w:w="5000" w:type="pct"/>
        <w:jc w:val="left"/>
        <w:tblInd w:w="0" w:type="dxa"/>
        <w:tblCellMar>
          <w:top w:w="0" w:type="dxa"/>
          <w:left w:w="0" w:type="dxa"/>
          <w:bottom w:w="0" w:type="dxa"/>
          <w:right w:w="0" w:type="dxa"/>
        </w:tblCellMar>
      </w:tblPr>
      <w:tblGrid>
        <w:gridCol w:w="800"/>
        <w:gridCol w:w="770"/>
        <w:gridCol w:w="8635"/>
      </w:tblGrid>
      <w:tr>
        <w:trPr/>
        <w:tc>
          <w:tcPr>
            <w:tcW w:w="800"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jc w:val="left"/>
              <w:rPr>
                <w:color w:val="000000"/>
              </w:rPr>
            </w:pPr>
            <w:r>
              <w:rPr>
                <w:color w:val="000000"/>
              </w:rPr>
              <w:t>•</w:t>
            </w:r>
          </w:p>
        </w:tc>
        <w:tc>
          <w:tcPr>
            <w:tcW w:w="8635"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the trust account not being subject to claims of third parties; or</w:t>
            </w:r>
          </w:p>
        </w:tc>
      </w:tr>
    </w:tbl>
    <w:tbl>
      <w:tblPr>
        <w:tblW w:w="5000" w:type="pct"/>
        <w:jc w:val="left"/>
        <w:tblInd w:w="0" w:type="dxa"/>
        <w:tblCellMar>
          <w:top w:w="0" w:type="dxa"/>
          <w:left w:w="0" w:type="dxa"/>
          <w:bottom w:w="0" w:type="dxa"/>
          <w:right w:w="0" w:type="dxa"/>
        </w:tblCellMar>
      </w:tblPr>
      <w:tblGrid>
        <w:gridCol w:w="958"/>
        <w:gridCol w:w="924"/>
        <w:gridCol w:w="8323"/>
      </w:tblGrid>
      <w:tr>
        <w:trPr/>
        <w:tc>
          <w:tcPr>
            <w:tcW w:w="958"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jc w:val="left"/>
              <w:rPr>
                <w:color w:val="000000"/>
              </w:rPr>
            </w:pPr>
            <w:r>
              <w:rPr>
                <w:color w:val="000000"/>
              </w:rPr>
              <w:t>•</w:t>
            </w:r>
          </w:p>
        </w:tc>
        <w:tc>
          <w:tcPr>
            <w:tcW w:w="8323"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our financial performance following this offering.</w:t>
            </w:r>
          </w:p>
        </w:tc>
      </w:tr>
    </w:tbl>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71</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before="240" w:after="0"/>
        <w:ind w:left="0" w:right="0" w:hanging="0"/>
        <w:jc w:val="center"/>
        <w:rPr>
          <w:rFonts w:ascii="Times New Roman;Times;Serif" w:hAnsi="Times New Roman;Times;Serif"/>
          <w:b/>
          <w:color w:val="000000"/>
          <w:sz w:val="17"/>
        </w:rPr>
      </w:pPr>
      <w:bookmarkStart w:id="8" w:name="tUOP"/>
      <w:bookmarkEnd w:id="8"/>
      <w:r>
        <w:rPr>
          <w:rFonts w:ascii="Times New Roman;Times;Serif" w:hAnsi="Times New Roman;Times;Serif"/>
          <w:b/>
          <w:color w:val="000000"/>
          <w:sz w:val="17"/>
        </w:rPr>
        <w:t>USE OF PROCEEDS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are offering 25,000,000 units at an offering price of $10.00 per unit. We estimate that the net proceeds of this offering together with the funds we will receive from the sale of the private placement warrants will be used as set forth in the following table.</w:t>
      </w:r>
    </w:p>
    <w:tbl>
      <w:tblPr>
        <w:tblW w:w="5000" w:type="pct"/>
        <w:jc w:val="center"/>
        <w:tblInd w:w="0" w:type="dxa"/>
        <w:tblCellMar>
          <w:top w:w="0" w:type="dxa"/>
          <w:left w:w="0" w:type="dxa"/>
          <w:bottom w:w="0" w:type="dxa"/>
          <w:right w:w="0" w:type="dxa"/>
        </w:tblCellMar>
      </w:tblPr>
      <w:tblGrid>
        <w:gridCol w:w="5565"/>
        <w:gridCol w:w="295"/>
        <w:gridCol w:w="1699"/>
        <w:gridCol w:w="328"/>
        <w:gridCol w:w="295"/>
        <w:gridCol w:w="1632"/>
        <w:gridCol w:w="391"/>
      </w:tblGrid>
      <w:tr>
        <w:trPr/>
        <w:tc>
          <w:tcPr>
            <w:tcW w:w="5565" w:type="dxa"/>
            <w:tcBorders/>
            <w:shd w:fill="auto" w:val="clear"/>
            <w:vAlign w:val="bottom"/>
          </w:tcPr>
          <w:p>
            <w:pPr>
              <w:pStyle w:val="TableContents"/>
              <w:spacing w:before="0" w:after="0"/>
              <w:ind w:left="0" w:right="0" w:firstLine="90"/>
              <w:jc w:val="left"/>
              <w:rPr>
                <w:color w:val="000000"/>
              </w:rPr>
            </w:pPr>
            <w:r>
              <w:rPr>
                <w:color w:val="000000"/>
              </w:rPr>
              <w:t> </w:t>
            </w:r>
          </w:p>
        </w:tc>
        <w:tc>
          <w:tcPr>
            <w:tcW w:w="2322" w:type="dxa"/>
            <w:gridSpan w:val="3"/>
            <w:tcBorders/>
            <w:shd w:fill="auto" w:val="clear"/>
            <w:vAlign w:val="bottom"/>
          </w:tcPr>
          <w:p>
            <w:pPr>
              <w:pStyle w:val="TableContents"/>
              <w:spacing w:before="0" w:after="0"/>
              <w:ind w:left="0" w:right="0" w:firstLine="9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Without Over-</w:t>
              <w:br/>
              <w:t xml:space="preserve">Allotment Option </w:t>
            </w:r>
          </w:p>
        </w:tc>
        <w:tc>
          <w:tcPr>
            <w:tcW w:w="2318" w:type="dxa"/>
            <w:gridSpan w:val="3"/>
            <w:tcBorders/>
            <w:shd w:fill="auto" w:val="clear"/>
            <w:vAlign w:val="bottom"/>
          </w:tcPr>
          <w:p>
            <w:pPr>
              <w:pStyle w:val="TableContents"/>
              <w:spacing w:before="0" w:after="0"/>
              <w:ind w:left="0" w:right="0" w:hanging="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Over-Allotment</w:t>
              <w:br/>
              <w:t>Option Exercised</w:t>
            </w:r>
          </w:p>
        </w:tc>
      </w:tr>
      <w:tr>
        <w:trPr/>
        <w:tc>
          <w:tcPr>
            <w:tcW w:w="5565" w:type="dxa"/>
            <w:tcBorders/>
            <w:shd w:fill="CCEEFF" w:val="clear"/>
            <w:vAlign w:val="bottom"/>
          </w:tcPr>
          <w:p>
            <w:pPr>
              <w:pStyle w:val="TableContents"/>
              <w:spacing w:before="0" w:after="0"/>
              <w:ind w:left="0" w:right="0" w:firstLine="75"/>
              <w:jc w:val="left"/>
              <w:rPr>
                <w:rFonts w:ascii="Times New Roman;Times;Serif" w:hAnsi="Times New Roman;Times;Serif"/>
                <w:i/>
                <w:color w:val="000000"/>
                <w:sz w:val="17"/>
              </w:rPr>
            </w:pPr>
            <w:r>
              <w:rPr>
                <w:rFonts w:ascii="Times New Roman;Times;Serif" w:hAnsi="Times New Roman;Times;Serif"/>
                <w:i/>
                <w:color w:val="000000"/>
                <w:sz w:val="17"/>
              </w:rPr>
              <w:t>Gross proceeds</w:t>
            </w:r>
          </w:p>
        </w:tc>
        <w:tc>
          <w:tcPr>
            <w:tcW w:w="295" w:type="dxa"/>
            <w:tcBorders/>
            <w:shd w:fill="CCEEFF" w:val="clear"/>
            <w:vAlign w:val="bottom"/>
          </w:tcPr>
          <w:p>
            <w:pPr>
              <w:pStyle w:val="TableContents"/>
              <w:spacing w:before="0" w:after="0"/>
              <w:ind w:left="0" w:right="0" w:hanging="0"/>
              <w:jc w:val="right"/>
              <w:rPr>
                <w:color w:val="000000"/>
              </w:rPr>
            </w:pPr>
            <w:r>
              <w:rPr>
                <w:color w:val="000000"/>
              </w:rPr>
              <w:t> </w:t>
            </w:r>
          </w:p>
        </w:tc>
        <w:tc>
          <w:tcPr>
            <w:tcW w:w="1699" w:type="dxa"/>
            <w:tcBorders/>
            <w:shd w:fill="CCEEFF" w:val="clear"/>
            <w:vAlign w:val="bottom"/>
          </w:tcPr>
          <w:p>
            <w:pPr>
              <w:pStyle w:val="TableContents"/>
              <w:spacing w:before="0" w:after="0"/>
              <w:ind w:left="0" w:right="0" w:hanging="0"/>
              <w:jc w:val="right"/>
              <w:rPr>
                <w:color w:val="000000"/>
              </w:rPr>
            </w:pPr>
            <w:r>
              <w:rPr>
                <w:color w:val="000000"/>
              </w:rPr>
              <w:t> </w:t>
            </w:r>
          </w:p>
        </w:tc>
        <w:tc>
          <w:tcPr>
            <w:tcW w:w="328" w:type="dxa"/>
            <w:tcBorders/>
            <w:shd w:fill="CCEEFF" w:val="clear"/>
            <w:vAlign w:val="bottom"/>
          </w:tcPr>
          <w:p>
            <w:pPr>
              <w:pStyle w:val="TableContents"/>
              <w:spacing w:before="0" w:after="0"/>
              <w:ind w:left="0" w:right="0" w:firstLine="75"/>
              <w:jc w:val="left"/>
              <w:rPr>
                <w:color w:val="000000"/>
              </w:rPr>
            </w:pPr>
            <w:r>
              <w:rPr>
                <w:color w:val="000000"/>
              </w:rPr>
              <w:t> </w:t>
            </w:r>
          </w:p>
        </w:tc>
        <w:tc>
          <w:tcPr>
            <w:tcW w:w="295" w:type="dxa"/>
            <w:tcBorders/>
            <w:shd w:fill="CCEEFF" w:val="clear"/>
            <w:vAlign w:val="bottom"/>
          </w:tcPr>
          <w:p>
            <w:pPr>
              <w:pStyle w:val="TableContents"/>
              <w:spacing w:before="0" w:after="0"/>
              <w:ind w:left="0" w:right="0" w:hanging="0"/>
              <w:jc w:val="right"/>
              <w:rPr>
                <w:color w:val="000000"/>
              </w:rPr>
            </w:pPr>
            <w:r>
              <w:rPr>
                <w:color w:val="000000"/>
              </w:rPr>
              <w:t> </w:t>
            </w:r>
          </w:p>
        </w:tc>
        <w:tc>
          <w:tcPr>
            <w:tcW w:w="1632" w:type="dxa"/>
            <w:tcBorders/>
            <w:shd w:fill="CCEEFF" w:val="clear"/>
            <w:vAlign w:val="bottom"/>
          </w:tcPr>
          <w:p>
            <w:pPr>
              <w:pStyle w:val="TableContents"/>
              <w:spacing w:before="0" w:after="0"/>
              <w:ind w:left="0" w:right="0" w:hanging="0"/>
              <w:jc w:val="right"/>
              <w:rPr>
                <w:color w:val="000000"/>
              </w:rPr>
            </w:pPr>
            <w:r>
              <w:rPr>
                <w:color w:val="000000"/>
              </w:rPr>
              <w:t> </w:t>
            </w:r>
          </w:p>
        </w:tc>
        <w:tc>
          <w:tcPr>
            <w:tcW w:w="391" w:type="dxa"/>
            <w:tcBorders/>
            <w:shd w:fill="CCEEFF" w:val="clear"/>
            <w:vAlign w:val="bottom"/>
          </w:tcPr>
          <w:p>
            <w:pPr>
              <w:pStyle w:val="TableContents"/>
              <w:spacing w:before="0" w:after="0"/>
              <w:ind w:left="0" w:right="0" w:hanging="0"/>
              <w:jc w:val="left"/>
              <w:rPr>
                <w:color w:val="000000"/>
              </w:rPr>
            </w:pPr>
            <w:r>
              <w:rPr>
                <w:color w:val="000000"/>
              </w:rPr>
              <w:t> </w:t>
            </w:r>
          </w:p>
        </w:tc>
      </w:tr>
      <w:tr>
        <w:trPr/>
        <w:tc>
          <w:tcPr>
            <w:tcW w:w="5565" w:type="dxa"/>
            <w:tcBorders/>
            <w:shd w:fill="auto" w:val="clear"/>
            <w:vAlign w:val="bottom"/>
          </w:tcPr>
          <w:p>
            <w:pPr>
              <w:pStyle w:val="TableContents"/>
              <w:spacing w:lineRule="auto" w:line="240"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Gross proceeds from units offered to public(1)</w:t>
            </w:r>
          </w:p>
        </w:tc>
        <w:tc>
          <w:tcPr>
            <w:tcW w:w="295"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w:t>
            </w:r>
          </w:p>
        </w:tc>
        <w:tc>
          <w:tcPr>
            <w:tcW w:w="1699"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250,000,000</w:t>
            </w:r>
          </w:p>
        </w:tc>
        <w:tc>
          <w:tcPr>
            <w:tcW w:w="328" w:type="dxa"/>
            <w:tcBorders/>
            <w:shd w:fill="auto" w:val="clear"/>
            <w:vAlign w:val="bottom"/>
          </w:tcPr>
          <w:p>
            <w:pPr>
              <w:pStyle w:val="TableContents"/>
              <w:spacing w:before="0" w:after="0"/>
              <w:ind w:left="0" w:right="0" w:firstLine="75"/>
              <w:jc w:val="left"/>
              <w:rPr>
                <w:color w:val="000000"/>
              </w:rPr>
            </w:pPr>
            <w:r>
              <w:rPr>
                <w:color w:val="000000"/>
              </w:rPr>
              <w:t> </w:t>
            </w:r>
          </w:p>
        </w:tc>
        <w:tc>
          <w:tcPr>
            <w:tcW w:w="295"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w:t>
            </w:r>
          </w:p>
        </w:tc>
        <w:tc>
          <w:tcPr>
            <w:tcW w:w="1632"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287,500,000</w:t>
            </w:r>
          </w:p>
        </w:tc>
        <w:tc>
          <w:tcPr>
            <w:tcW w:w="391" w:type="dxa"/>
            <w:tcBorders/>
            <w:shd w:fill="auto" w:val="clear"/>
            <w:vAlign w:val="bottom"/>
          </w:tcPr>
          <w:p>
            <w:pPr>
              <w:pStyle w:val="TableContents"/>
              <w:spacing w:before="0" w:after="0"/>
              <w:ind w:left="0" w:right="0" w:firstLine="195"/>
              <w:jc w:val="left"/>
              <w:rPr>
                <w:color w:val="000000"/>
              </w:rPr>
            </w:pPr>
            <w:r>
              <w:rPr>
                <w:color w:val="000000"/>
              </w:rPr>
              <w:t> </w:t>
            </w:r>
          </w:p>
        </w:tc>
      </w:tr>
      <w:tr>
        <w:trPr/>
        <w:tc>
          <w:tcPr>
            <w:tcW w:w="5565" w:type="dxa"/>
            <w:tcBorders/>
            <w:shd w:fill="CCEEFF"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Gross proceeds from private placement warrants offered in the private placement</w:t>
            </w:r>
          </w:p>
        </w:tc>
        <w:tc>
          <w:tcPr>
            <w:tcW w:w="295" w:type="dxa"/>
            <w:tcBorders/>
            <w:shd w:fill="CCEEFF" w:val="clear"/>
            <w:vAlign w:val="bottom"/>
          </w:tcPr>
          <w:p>
            <w:pPr>
              <w:pStyle w:val="TableContents"/>
              <w:spacing w:before="0" w:after="0"/>
              <w:ind w:left="0" w:right="0" w:hanging="0"/>
              <w:jc w:val="right"/>
              <w:rPr>
                <w:color w:val="000000"/>
                <w:bdr w:val="single" w:sz="8" w:space="1" w:color="000000"/>
              </w:rPr>
            </w:pPr>
            <w:r>
              <w:rPr>
                <w:color w:val="000000"/>
                <w:bdr w:val="single" w:sz="8" w:space="1" w:color="000000"/>
              </w:rPr>
              <w:t> </w:t>
            </w:r>
          </w:p>
        </w:tc>
        <w:tc>
          <w:tcPr>
            <w:tcW w:w="1699"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7,000,000</w:t>
            </w:r>
          </w:p>
        </w:tc>
        <w:tc>
          <w:tcPr>
            <w:tcW w:w="328" w:type="dxa"/>
            <w:tcBorders/>
            <w:shd w:fill="CCEEFF" w:val="clear"/>
            <w:vAlign w:val="bottom"/>
          </w:tcPr>
          <w:p>
            <w:pPr>
              <w:pStyle w:val="TableContents"/>
              <w:spacing w:before="0" w:after="0"/>
              <w:ind w:left="0" w:right="0" w:firstLine="75"/>
              <w:jc w:val="left"/>
              <w:rPr>
                <w:color w:val="000000"/>
              </w:rPr>
            </w:pPr>
            <w:r>
              <w:rPr>
                <w:color w:val="000000"/>
              </w:rPr>
              <w:t> </w:t>
            </w:r>
          </w:p>
        </w:tc>
        <w:tc>
          <w:tcPr>
            <w:tcW w:w="295" w:type="dxa"/>
            <w:tcBorders/>
            <w:shd w:fill="CCEEFF" w:val="clear"/>
            <w:vAlign w:val="bottom"/>
          </w:tcPr>
          <w:p>
            <w:pPr>
              <w:pStyle w:val="TableContents"/>
              <w:spacing w:before="0" w:after="0"/>
              <w:ind w:left="0" w:right="0" w:hanging="0"/>
              <w:jc w:val="right"/>
              <w:rPr>
                <w:color w:val="000000"/>
                <w:bdr w:val="single" w:sz="8" w:space="1" w:color="000000"/>
              </w:rPr>
            </w:pPr>
            <w:r>
              <w:rPr>
                <w:color w:val="000000"/>
                <w:bdr w:val="single" w:sz="8" w:space="1" w:color="000000"/>
              </w:rPr>
              <w:t> </w:t>
            </w:r>
          </w:p>
        </w:tc>
        <w:tc>
          <w:tcPr>
            <w:tcW w:w="1632"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7,750,000</w:t>
            </w:r>
          </w:p>
        </w:tc>
        <w:tc>
          <w:tcPr>
            <w:tcW w:w="391" w:type="dxa"/>
            <w:tcBorders/>
            <w:shd w:fill="CCEEFF" w:val="clear"/>
            <w:vAlign w:val="bottom"/>
          </w:tcPr>
          <w:p>
            <w:pPr>
              <w:pStyle w:val="TableContents"/>
              <w:spacing w:before="0" w:after="0"/>
              <w:ind w:left="0" w:right="0" w:hanging="0"/>
              <w:jc w:val="left"/>
              <w:rPr>
                <w:color w:val="000000"/>
              </w:rPr>
            </w:pPr>
            <w:r>
              <w:rPr>
                <w:color w:val="000000"/>
              </w:rPr>
              <w:t> </w:t>
            </w:r>
          </w:p>
        </w:tc>
      </w:tr>
      <w:tr>
        <w:trPr/>
        <w:tc>
          <w:tcPr>
            <w:tcW w:w="5565" w:type="dxa"/>
            <w:tcBorders/>
            <w:shd w:fill="auto"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Total gross proceeds</w:t>
            </w:r>
          </w:p>
        </w:tc>
        <w:tc>
          <w:tcPr>
            <w:tcW w:w="295"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w:t>
            </w:r>
          </w:p>
        </w:tc>
        <w:tc>
          <w:tcPr>
            <w:tcW w:w="1699"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257,000,000</w:t>
            </w:r>
          </w:p>
        </w:tc>
        <w:tc>
          <w:tcPr>
            <w:tcW w:w="328" w:type="dxa"/>
            <w:tcBorders/>
            <w:shd w:fill="auto" w:val="clear"/>
            <w:vAlign w:val="bottom"/>
          </w:tcPr>
          <w:p>
            <w:pPr>
              <w:pStyle w:val="TableContents"/>
              <w:spacing w:before="0" w:after="0"/>
              <w:ind w:left="0" w:right="0" w:firstLine="75"/>
              <w:jc w:val="left"/>
              <w:rPr>
                <w:color w:val="000000"/>
              </w:rPr>
            </w:pPr>
            <w:r>
              <w:rPr>
                <w:color w:val="000000"/>
              </w:rPr>
              <w:t> </w:t>
            </w:r>
          </w:p>
        </w:tc>
        <w:tc>
          <w:tcPr>
            <w:tcW w:w="295"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w:t>
            </w:r>
          </w:p>
        </w:tc>
        <w:tc>
          <w:tcPr>
            <w:tcW w:w="1632"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295,250,000</w:t>
            </w:r>
          </w:p>
        </w:tc>
        <w:tc>
          <w:tcPr>
            <w:tcW w:w="391" w:type="dxa"/>
            <w:tcBorders/>
            <w:shd w:fill="auto" w:val="clear"/>
            <w:vAlign w:val="bottom"/>
          </w:tcPr>
          <w:p>
            <w:pPr>
              <w:pStyle w:val="TableContents"/>
              <w:spacing w:before="0" w:after="0"/>
              <w:ind w:left="0" w:right="0" w:hanging="0"/>
              <w:jc w:val="left"/>
              <w:rPr>
                <w:color w:val="000000"/>
              </w:rPr>
            </w:pPr>
            <w:r>
              <w:rPr>
                <w:color w:val="000000"/>
              </w:rPr>
              <w:t> </w:t>
            </w:r>
          </w:p>
        </w:tc>
      </w:tr>
      <w:tr>
        <w:trPr/>
        <w:tc>
          <w:tcPr>
            <w:tcW w:w="5565" w:type="dxa"/>
            <w:tcBorders/>
            <w:shd w:fill="CCEEFF" w:val="clear"/>
            <w:vAlign w:val="bottom"/>
          </w:tcPr>
          <w:p>
            <w:pPr>
              <w:pStyle w:val="TableContents"/>
              <w:spacing w:lineRule="auto" w:line="240" w:before="0" w:after="0"/>
              <w:ind w:left="0" w:right="0" w:firstLine="75"/>
              <w:jc w:val="left"/>
              <w:rPr>
                <w:rFonts w:ascii="Times New Roman;Times;Serif" w:hAnsi="Times New Roman;Times;Serif"/>
                <w:i/>
                <w:color w:val="000000"/>
                <w:sz w:val="17"/>
              </w:rPr>
            </w:pPr>
            <w:r>
              <w:rPr>
                <w:rFonts w:ascii="Times New Roman;Times;Serif" w:hAnsi="Times New Roman;Times;Serif"/>
                <w:i/>
                <w:color w:val="000000"/>
                <w:sz w:val="17"/>
              </w:rPr>
              <w:t>Estimated offering expenses(2)</w:t>
            </w:r>
          </w:p>
        </w:tc>
        <w:tc>
          <w:tcPr>
            <w:tcW w:w="295" w:type="dxa"/>
            <w:tcBorders/>
            <w:shd w:fill="CCEEFF" w:val="clear"/>
            <w:vAlign w:val="bottom"/>
          </w:tcPr>
          <w:p>
            <w:pPr>
              <w:pStyle w:val="TableContents"/>
              <w:spacing w:before="0" w:after="0"/>
              <w:ind w:left="0" w:right="0" w:hanging="0"/>
              <w:jc w:val="right"/>
              <w:rPr>
                <w:color w:val="000000"/>
              </w:rPr>
            </w:pPr>
            <w:r>
              <w:rPr>
                <w:color w:val="000000"/>
              </w:rPr>
              <w:t> </w:t>
            </w:r>
          </w:p>
        </w:tc>
        <w:tc>
          <w:tcPr>
            <w:tcW w:w="1699" w:type="dxa"/>
            <w:tcBorders/>
            <w:shd w:fill="CCEEFF" w:val="clear"/>
            <w:vAlign w:val="bottom"/>
          </w:tcPr>
          <w:p>
            <w:pPr>
              <w:pStyle w:val="TableContents"/>
              <w:spacing w:before="0" w:after="0"/>
              <w:ind w:left="0" w:right="0" w:hanging="0"/>
              <w:jc w:val="right"/>
              <w:rPr>
                <w:color w:val="000000"/>
              </w:rPr>
            </w:pPr>
            <w:r>
              <w:rPr>
                <w:color w:val="000000"/>
              </w:rPr>
              <w:t> </w:t>
            </w:r>
          </w:p>
        </w:tc>
        <w:tc>
          <w:tcPr>
            <w:tcW w:w="328" w:type="dxa"/>
            <w:tcBorders/>
            <w:shd w:fill="CCEEFF" w:val="clear"/>
            <w:vAlign w:val="bottom"/>
          </w:tcPr>
          <w:p>
            <w:pPr>
              <w:pStyle w:val="TableContents"/>
              <w:spacing w:before="0" w:after="0"/>
              <w:ind w:left="0" w:right="0" w:firstLine="75"/>
              <w:jc w:val="left"/>
              <w:rPr>
                <w:color w:val="000000"/>
              </w:rPr>
            </w:pPr>
            <w:r>
              <w:rPr>
                <w:color w:val="000000"/>
              </w:rPr>
              <w:t> </w:t>
            </w:r>
          </w:p>
        </w:tc>
        <w:tc>
          <w:tcPr>
            <w:tcW w:w="295" w:type="dxa"/>
            <w:tcBorders/>
            <w:shd w:fill="CCEEFF" w:val="clear"/>
            <w:vAlign w:val="bottom"/>
          </w:tcPr>
          <w:p>
            <w:pPr>
              <w:pStyle w:val="TableContents"/>
              <w:spacing w:before="0" w:after="0"/>
              <w:ind w:left="0" w:right="0" w:hanging="0"/>
              <w:jc w:val="right"/>
              <w:rPr>
                <w:color w:val="000000"/>
              </w:rPr>
            </w:pPr>
            <w:r>
              <w:rPr>
                <w:color w:val="000000"/>
              </w:rPr>
              <w:t> </w:t>
            </w:r>
          </w:p>
        </w:tc>
        <w:tc>
          <w:tcPr>
            <w:tcW w:w="1632" w:type="dxa"/>
            <w:tcBorders/>
            <w:shd w:fill="CCEEFF" w:val="clear"/>
            <w:vAlign w:val="bottom"/>
          </w:tcPr>
          <w:p>
            <w:pPr>
              <w:pStyle w:val="TableContents"/>
              <w:spacing w:before="0" w:after="0"/>
              <w:ind w:left="0" w:right="0" w:hanging="0"/>
              <w:jc w:val="right"/>
              <w:rPr>
                <w:color w:val="000000"/>
              </w:rPr>
            </w:pPr>
            <w:r>
              <w:rPr>
                <w:color w:val="000000"/>
              </w:rPr>
              <w:t> </w:t>
            </w:r>
          </w:p>
        </w:tc>
        <w:tc>
          <w:tcPr>
            <w:tcW w:w="391" w:type="dxa"/>
            <w:tcBorders/>
            <w:shd w:fill="CCEEFF" w:val="clear"/>
            <w:vAlign w:val="bottom"/>
          </w:tcPr>
          <w:p>
            <w:pPr>
              <w:pStyle w:val="TableContents"/>
              <w:spacing w:before="0" w:after="0"/>
              <w:ind w:left="0" w:right="0" w:firstLine="195"/>
              <w:jc w:val="left"/>
              <w:rPr>
                <w:color w:val="000000"/>
              </w:rPr>
            </w:pPr>
            <w:r>
              <w:rPr>
                <w:color w:val="000000"/>
              </w:rPr>
              <w:t> </w:t>
            </w:r>
          </w:p>
        </w:tc>
      </w:tr>
      <w:tr>
        <w:trPr/>
        <w:tc>
          <w:tcPr>
            <w:tcW w:w="5565" w:type="dxa"/>
            <w:tcBorders/>
            <w:shd w:fill="auto" w:val="clear"/>
            <w:vAlign w:val="bottom"/>
          </w:tcPr>
          <w:p>
            <w:pPr>
              <w:pStyle w:val="TableContents"/>
              <w:spacing w:lineRule="auto" w:line="240"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Underwriting commissions (2.0% of gross proceeds from units offered to public, excluding deferred portion)(3)</w:t>
            </w:r>
          </w:p>
        </w:tc>
        <w:tc>
          <w:tcPr>
            <w:tcW w:w="295"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w:t>
            </w:r>
          </w:p>
        </w:tc>
        <w:tc>
          <w:tcPr>
            <w:tcW w:w="1699"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5,000,000</w:t>
            </w:r>
          </w:p>
        </w:tc>
        <w:tc>
          <w:tcPr>
            <w:tcW w:w="328" w:type="dxa"/>
            <w:tcBorders/>
            <w:shd w:fill="auto" w:val="clear"/>
            <w:vAlign w:val="bottom"/>
          </w:tcPr>
          <w:p>
            <w:pPr>
              <w:pStyle w:val="TableContents"/>
              <w:spacing w:before="0" w:after="0"/>
              <w:ind w:left="0" w:right="0" w:firstLine="75"/>
              <w:jc w:val="left"/>
              <w:rPr>
                <w:color w:val="000000"/>
              </w:rPr>
            </w:pPr>
            <w:r>
              <w:rPr>
                <w:color w:val="000000"/>
              </w:rPr>
              <w:t> </w:t>
            </w:r>
          </w:p>
        </w:tc>
        <w:tc>
          <w:tcPr>
            <w:tcW w:w="295"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w:t>
            </w:r>
          </w:p>
        </w:tc>
        <w:tc>
          <w:tcPr>
            <w:tcW w:w="1632"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5,750,000</w:t>
            </w:r>
          </w:p>
        </w:tc>
        <w:tc>
          <w:tcPr>
            <w:tcW w:w="391" w:type="dxa"/>
            <w:tcBorders/>
            <w:shd w:fill="auto" w:val="clear"/>
            <w:vAlign w:val="bottom"/>
          </w:tcPr>
          <w:p>
            <w:pPr>
              <w:pStyle w:val="TableContents"/>
              <w:spacing w:before="0" w:after="0"/>
              <w:ind w:left="0" w:right="0" w:hanging="0"/>
              <w:jc w:val="left"/>
              <w:rPr>
                <w:color w:val="000000"/>
              </w:rPr>
            </w:pPr>
            <w:r>
              <w:rPr>
                <w:color w:val="000000"/>
              </w:rPr>
              <w:t> </w:t>
            </w:r>
          </w:p>
        </w:tc>
      </w:tr>
      <w:tr>
        <w:trPr/>
        <w:tc>
          <w:tcPr>
            <w:tcW w:w="5565" w:type="dxa"/>
            <w:tcBorders/>
            <w:shd w:fill="CCEEFF"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Legal fees and expenses</w:t>
            </w:r>
          </w:p>
        </w:tc>
        <w:tc>
          <w:tcPr>
            <w:tcW w:w="295" w:type="dxa"/>
            <w:tcBorders/>
            <w:shd w:fill="CCEEFF" w:val="clear"/>
            <w:vAlign w:val="bottom"/>
          </w:tcPr>
          <w:p>
            <w:pPr>
              <w:pStyle w:val="TableContents"/>
              <w:spacing w:before="0" w:after="0"/>
              <w:ind w:left="0" w:right="0" w:hanging="0"/>
              <w:jc w:val="right"/>
              <w:rPr>
                <w:color w:val="000000"/>
              </w:rPr>
            </w:pPr>
            <w:r>
              <w:rPr>
                <w:color w:val="000000"/>
              </w:rPr>
              <w:t> </w:t>
            </w:r>
          </w:p>
        </w:tc>
        <w:tc>
          <w:tcPr>
            <w:tcW w:w="1699"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400,000</w:t>
            </w:r>
          </w:p>
        </w:tc>
        <w:tc>
          <w:tcPr>
            <w:tcW w:w="328" w:type="dxa"/>
            <w:tcBorders/>
            <w:shd w:fill="CCEEFF" w:val="clear"/>
            <w:vAlign w:val="bottom"/>
          </w:tcPr>
          <w:p>
            <w:pPr>
              <w:pStyle w:val="TableContents"/>
              <w:spacing w:before="0" w:after="0"/>
              <w:ind w:left="0" w:right="0" w:firstLine="75"/>
              <w:jc w:val="left"/>
              <w:rPr>
                <w:color w:val="000000"/>
              </w:rPr>
            </w:pPr>
            <w:r>
              <w:rPr>
                <w:color w:val="000000"/>
              </w:rPr>
              <w:t> </w:t>
            </w:r>
          </w:p>
        </w:tc>
        <w:tc>
          <w:tcPr>
            <w:tcW w:w="295" w:type="dxa"/>
            <w:tcBorders/>
            <w:shd w:fill="CCEEFF" w:val="clear"/>
            <w:vAlign w:val="bottom"/>
          </w:tcPr>
          <w:p>
            <w:pPr>
              <w:pStyle w:val="TableContents"/>
              <w:spacing w:before="0" w:after="0"/>
              <w:ind w:left="0" w:right="0" w:hanging="0"/>
              <w:jc w:val="right"/>
              <w:rPr>
                <w:color w:val="000000"/>
              </w:rPr>
            </w:pPr>
            <w:r>
              <w:rPr>
                <w:color w:val="000000"/>
              </w:rPr>
              <w:t> </w:t>
            </w:r>
          </w:p>
        </w:tc>
        <w:tc>
          <w:tcPr>
            <w:tcW w:w="1632"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400,000</w:t>
            </w:r>
          </w:p>
        </w:tc>
        <w:tc>
          <w:tcPr>
            <w:tcW w:w="391" w:type="dxa"/>
            <w:tcBorders/>
            <w:shd w:fill="CCEEFF" w:val="clear"/>
            <w:vAlign w:val="bottom"/>
          </w:tcPr>
          <w:p>
            <w:pPr>
              <w:pStyle w:val="TableContents"/>
              <w:spacing w:before="0" w:after="0"/>
              <w:ind w:left="0" w:right="0" w:hanging="0"/>
              <w:jc w:val="left"/>
              <w:rPr>
                <w:color w:val="000000"/>
              </w:rPr>
            </w:pPr>
            <w:r>
              <w:rPr>
                <w:color w:val="000000"/>
              </w:rPr>
              <w:t> </w:t>
            </w:r>
          </w:p>
        </w:tc>
      </w:tr>
      <w:tr>
        <w:trPr/>
        <w:tc>
          <w:tcPr>
            <w:tcW w:w="5565" w:type="dxa"/>
            <w:tcBorders/>
            <w:shd w:fill="auto"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Accounting fees and expenses</w:t>
            </w:r>
          </w:p>
        </w:tc>
        <w:tc>
          <w:tcPr>
            <w:tcW w:w="295" w:type="dxa"/>
            <w:tcBorders/>
            <w:shd w:fill="auto" w:val="clear"/>
            <w:vAlign w:val="bottom"/>
          </w:tcPr>
          <w:p>
            <w:pPr>
              <w:pStyle w:val="TableContents"/>
              <w:spacing w:before="0" w:after="0"/>
              <w:ind w:left="0" w:right="0" w:hanging="0"/>
              <w:jc w:val="right"/>
              <w:rPr>
                <w:color w:val="000000"/>
              </w:rPr>
            </w:pPr>
            <w:r>
              <w:rPr>
                <w:color w:val="000000"/>
              </w:rPr>
              <w:t> </w:t>
            </w:r>
          </w:p>
        </w:tc>
        <w:tc>
          <w:tcPr>
            <w:tcW w:w="1699"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42,500</w:t>
            </w:r>
          </w:p>
        </w:tc>
        <w:tc>
          <w:tcPr>
            <w:tcW w:w="328" w:type="dxa"/>
            <w:tcBorders/>
            <w:shd w:fill="auto" w:val="clear"/>
            <w:vAlign w:val="bottom"/>
          </w:tcPr>
          <w:p>
            <w:pPr>
              <w:pStyle w:val="TableContents"/>
              <w:spacing w:before="0" w:after="0"/>
              <w:ind w:left="0" w:right="0" w:firstLine="75"/>
              <w:jc w:val="left"/>
              <w:rPr>
                <w:color w:val="000000"/>
              </w:rPr>
            </w:pPr>
            <w:r>
              <w:rPr>
                <w:color w:val="000000"/>
              </w:rPr>
              <w:t> </w:t>
            </w:r>
          </w:p>
        </w:tc>
        <w:tc>
          <w:tcPr>
            <w:tcW w:w="295" w:type="dxa"/>
            <w:tcBorders/>
            <w:shd w:fill="auto" w:val="clear"/>
            <w:vAlign w:val="bottom"/>
          </w:tcPr>
          <w:p>
            <w:pPr>
              <w:pStyle w:val="TableContents"/>
              <w:spacing w:before="0" w:after="0"/>
              <w:ind w:left="0" w:right="0" w:hanging="0"/>
              <w:jc w:val="right"/>
              <w:rPr>
                <w:color w:val="000000"/>
              </w:rPr>
            </w:pPr>
            <w:r>
              <w:rPr>
                <w:color w:val="000000"/>
              </w:rPr>
              <w:t> </w:t>
            </w:r>
          </w:p>
        </w:tc>
        <w:tc>
          <w:tcPr>
            <w:tcW w:w="1632"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42,500</w:t>
            </w:r>
          </w:p>
        </w:tc>
        <w:tc>
          <w:tcPr>
            <w:tcW w:w="391" w:type="dxa"/>
            <w:tcBorders/>
            <w:shd w:fill="auto" w:val="clear"/>
            <w:vAlign w:val="bottom"/>
          </w:tcPr>
          <w:p>
            <w:pPr>
              <w:pStyle w:val="TableContents"/>
              <w:spacing w:before="0" w:after="0"/>
              <w:ind w:left="0" w:right="0" w:hanging="0"/>
              <w:jc w:val="left"/>
              <w:rPr>
                <w:color w:val="000000"/>
              </w:rPr>
            </w:pPr>
            <w:r>
              <w:rPr>
                <w:color w:val="000000"/>
              </w:rPr>
              <w:t> </w:t>
            </w:r>
          </w:p>
        </w:tc>
      </w:tr>
      <w:tr>
        <w:trPr/>
        <w:tc>
          <w:tcPr>
            <w:tcW w:w="5565" w:type="dxa"/>
            <w:tcBorders/>
            <w:shd w:fill="CCEEFF"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Printing and engraving expenses</w:t>
            </w:r>
          </w:p>
        </w:tc>
        <w:tc>
          <w:tcPr>
            <w:tcW w:w="295" w:type="dxa"/>
            <w:tcBorders/>
            <w:shd w:fill="CCEEFF" w:val="clear"/>
            <w:vAlign w:val="bottom"/>
          </w:tcPr>
          <w:p>
            <w:pPr>
              <w:pStyle w:val="TableContents"/>
              <w:spacing w:before="0" w:after="0"/>
              <w:ind w:left="0" w:right="0" w:hanging="0"/>
              <w:jc w:val="right"/>
              <w:rPr>
                <w:color w:val="000000"/>
              </w:rPr>
            </w:pPr>
            <w:r>
              <w:rPr>
                <w:color w:val="000000"/>
              </w:rPr>
              <w:t> </w:t>
            </w:r>
          </w:p>
        </w:tc>
        <w:tc>
          <w:tcPr>
            <w:tcW w:w="1699"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20,000</w:t>
            </w:r>
          </w:p>
        </w:tc>
        <w:tc>
          <w:tcPr>
            <w:tcW w:w="328" w:type="dxa"/>
            <w:tcBorders/>
            <w:shd w:fill="CCEEFF" w:val="clear"/>
            <w:vAlign w:val="bottom"/>
          </w:tcPr>
          <w:p>
            <w:pPr>
              <w:pStyle w:val="TableContents"/>
              <w:spacing w:before="0" w:after="0"/>
              <w:ind w:left="0" w:right="0" w:firstLine="75"/>
              <w:jc w:val="left"/>
              <w:rPr>
                <w:color w:val="000000"/>
              </w:rPr>
            </w:pPr>
            <w:r>
              <w:rPr>
                <w:color w:val="000000"/>
              </w:rPr>
              <w:t> </w:t>
            </w:r>
          </w:p>
        </w:tc>
        <w:tc>
          <w:tcPr>
            <w:tcW w:w="295" w:type="dxa"/>
            <w:tcBorders/>
            <w:shd w:fill="CCEEFF" w:val="clear"/>
            <w:vAlign w:val="bottom"/>
          </w:tcPr>
          <w:p>
            <w:pPr>
              <w:pStyle w:val="TableContents"/>
              <w:spacing w:before="0" w:after="0"/>
              <w:ind w:left="0" w:right="0" w:hanging="0"/>
              <w:jc w:val="right"/>
              <w:rPr>
                <w:color w:val="000000"/>
              </w:rPr>
            </w:pPr>
            <w:r>
              <w:rPr>
                <w:color w:val="000000"/>
              </w:rPr>
              <w:t> </w:t>
            </w:r>
          </w:p>
        </w:tc>
        <w:tc>
          <w:tcPr>
            <w:tcW w:w="1632"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20,000</w:t>
            </w:r>
          </w:p>
        </w:tc>
        <w:tc>
          <w:tcPr>
            <w:tcW w:w="391" w:type="dxa"/>
            <w:tcBorders/>
            <w:shd w:fill="CCEEFF" w:val="clear"/>
            <w:vAlign w:val="bottom"/>
          </w:tcPr>
          <w:p>
            <w:pPr>
              <w:pStyle w:val="TableContents"/>
              <w:spacing w:before="0" w:after="0"/>
              <w:ind w:left="0" w:right="0" w:hanging="0"/>
              <w:jc w:val="left"/>
              <w:rPr>
                <w:color w:val="000000"/>
              </w:rPr>
            </w:pPr>
            <w:r>
              <w:rPr>
                <w:color w:val="000000"/>
              </w:rPr>
              <w:t> </w:t>
            </w:r>
          </w:p>
        </w:tc>
      </w:tr>
      <w:tr>
        <w:trPr/>
        <w:tc>
          <w:tcPr>
            <w:tcW w:w="5565" w:type="dxa"/>
            <w:tcBorders/>
            <w:shd w:fill="auto"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SEC expenses</w:t>
            </w:r>
          </w:p>
        </w:tc>
        <w:tc>
          <w:tcPr>
            <w:tcW w:w="295" w:type="dxa"/>
            <w:tcBorders/>
            <w:shd w:fill="auto" w:val="clear"/>
            <w:vAlign w:val="bottom"/>
          </w:tcPr>
          <w:p>
            <w:pPr>
              <w:pStyle w:val="TableContents"/>
              <w:spacing w:before="0" w:after="0"/>
              <w:ind w:left="0" w:right="0" w:hanging="0"/>
              <w:jc w:val="right"/>
              <w:rPr>
                <w:color w:val="000000"/>
              </w:rPr>
            </w:pPr>
            <w:r>
              <w:rPr>
                <w:color w:val="000000"/>
              </w:rPr>
              <w:t> </w:t>
            </w:r>
          </w:p>
        </w:tc>
        <w:tc>
          <w:tcPr>
            <w:tcW w:w="1699"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34,845</w:t>
            </w:r>
          </w:p>
        </w:tc>
        <w:tc>
          <w:tcPr>
            <w:tcW w:w="328" w:type="dxa"/>
            <w:tcBorders/>
            <w:shd w:fill="auto" w:val="clear"/>
            <w:vAlign w:val="bottom"/>
          </w:tcPr>
          <w:p>
            <w:pPr>
              <w:pStyle w:val="TableContents"/>
              <w:spacing w:before="0" w:after="0"/>
              <w:ind w:left="0" w:right="0" w:firstLine="75"/>
              <w:jc w:val="left"/>
              <w:rPr>
                <w:color w:val="000000"/>
              </w:rPr>
            </w:pPr>
            <w:r>
              <w:rPr>
                <w:color w:val="000000"/>
              </w:rPr>
              <w:t> </w:t>
            </w:r>
          </w:p>
        </w:tc>
        <w:tc>
          <w:tcPr>
            <w:tcW w:w="295" w:type="dxa"/>
            <w:tcBorders/>
            <w:shd w:fill="auto" w:val="clear"/>
            <w:vAlign w:val="bottom"/>
          </w:tcPr>
          <w:p>
            <w:pPr>
              <w:pStyle w:val="TableContents"/>
              <w:spacing w:before="0" w:after="0"/>
              <w:ind w:left="0" w:right="0" w:hanging="0"/>
              <w:jc w:val="right"/>
              <w:rPr>
                <w:color w:val="000000"/>
              </w:rPr>
            </w:pPr>
            <w:r>
              <w:rPr>
                <w:color w:val="000000"/>
              </w:rPr>
              <w:t> </w:t>
            </w:r>
          </w:p>
        </w:tc>
        <w:tc>
          <w:tcPr>
            <w:tcW w:w="1632"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34,845</w:t>
            </w:r>
          </w:p>
        </w:tc>
        <w:tc>
          <w:tcPr>
            <w:tcW w:w="391" w:type="dxa"/>
            <w:tcBorders/>
            <w:shd w:fill="auto" w:val="clear"/>
            <w:vAlign w:val="bottom"/>
          </w:tcPr>
          <w:p>
            <w:pPr>
              <w:pStyle w:val="TableContents"/>
              <w:spacing w:before="0" w:after="0"/>
              <w:ind w:left="0" w:right="0" w:hanging="0"/>
              <w:jc w:val="left"/>
              <w:rPr>
                <w:color w:val="000000"/>
              </w:rPr>
            </w:pPr>
            <w:r>
              <w:rPr>
                <w:color w:val="000000"/>
              </w:rPr>
              <w:t> </w:t>
            </w:r>
          </w:p>
        </w:tc>
      </w:tr>
      <w:tr>
        <w:trPr/>
        <w:tc>
          <w:tcPr>
            <w:tcW w:w="5565" w:type="dxa"/>
            <w:tcBorders/>
            <w:shd w:fill="CCEEFF"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FINRA expenses</w:t>
            </w:r>
          </w:p>
        </w:tc>
        <w:tc>
          <w:tcPr>
            <w:tcW w:w="295" w:type="dxa"/>
            <w:tcBorders/>
            <w:shd w:fill="CCEEFF" w:val="clear"/>
            <w:vAlign w:val="bottom"/>
          </w:tcPr>
          <w:p>
            <w:pPr>
              <w:pStyle w:val="TableContents"/>
              <w:spacing w:before="0" w:after="0"/>
              <w:ind w:left="0" w:right="0" w:hanging="0"/>
              <w:jc w:val="right"/>
              <w:rPr>
                <w:color w:val="000000"/>
              </w:rPr>
            </w:pPr>
            <w:r>
              <w:rPr>
                <w:color w:val="000000"/>
              </w:rPr>
              <w:t> </w:t>
            </w:r>
          </w:p>
        </w:tc>
        <w:tc>
          <w:tcPr>
            <w:tcW w:w="1699"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43,625</w:t>
            </w:r>
          </w:p>
        </w:tc>
        <w:tc>
          <w:tcPr>
            <w:tcW w:w="328" w:type="dxa"/>
            <w:tcBorders/>
            <w:shd w:fill="CCEEFF" w:val="clear"/>
            <w:vAlign w:val="bottom"/>
          </w:tcPr>
          <w:p>
            <w:pPr>
              <w:pStyle w:val="TableContents"/>
              <w:spacing w:before="0" w:after="0"/>
              <w:ind w:left="0" w:right="0" w:firstLine="75"/>
              <w:jc w:val="left"/>
              <w:rPr>
                <w:color w:val="000000"/>
              </w:rPr>
            </w:pPr>
            <w:r>
              <w:rPr>
                <w:color w:val="000000"/>
              </w:rPr>
              <w:t> </w:t>
            </w:r>
          </w:p>
        </w:tc>
        <w:tc>
          <w:tcPr>
            <w:tcW w:w="295" w:type="dxa"/>
            <w:tcBorders/>
            <w:shd w:fill="CCEEFF" w:val="clear"/>
            <w:vAlign w:val="bottom"/>
          </w:tcPr>
          <w:p>
            <w:pPr>
              <w:pStyle w:val="TableContents"/>
              <w:spacing w:before="0" w:after="0"/>
              <w:ind w:left="0" w:right="0" w:hanging="0"/>
              <w:jc w:val="right"/>
              <w:rPr>
                <w:color w:val="000000"/>
              </w:rPr>
            </w:pPr>
            <w:r>
              <w:rPr>
                <w:color w:val="000000"/>
              </w:rPr>
              <w:t> </w:t>
            </w:r>
          </w:p>
        </w:tc>
        <w:tc>
          <w:tcPr>
            <w:tcW w:w="1632"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43,625</w:t>
            </w:r>
          </w:p>
        </w:tc>
        <w:tc>
          <w:tcPr>
            <w:tcW w:w="391" w:type="dxa"/>
            <w:tcBorders/>
            <w:shd w:fill="CCEEFF" w:val="clear"/>
            <w:vAlign w:val="bottom"/>
          </w:tcPr>
          <w:p>
            <w:pPr>
              <w:pStyle w:val="TableContents"/>
              <w:spacing w:before="0" w:after="0"/>
              <w:ind w:left="0" w:right="0" w:hanging="0"/>
              <w:jc w:val="left"/>
              <w:rPr>
                <w:color w:val="000000"/>
              </w:rPr>
            </w:pPr>
            <w:r>
              <w:rPr>
                <w:color w:val="000000"/>
              </w:rPr>
              <w:t> </w:t>
            </w:r>
          </w:p>
        </w:tc>
      </w:tr>
      <w:tr>
        <w:trPr/>
        <w:tc>
          <w:tcPr>
            <w:tcW w:w="5565" w:type="dxa"/>
            <w:tcBorders/>
            <w:shd w:fill="auto"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Travel and road show</w:t>
            </w:r>
          </w:p>
        </w:tc>
        <w:tc>
          <w:tcPr>
            <w:tcW w:w="295" w:type="dxa"/>
            <w:tcBorders/>
            <w:shd w:fill="auto" w:val="clear"/>
            <w:vAlign w:val="bottom"/>
          </w:tcPr>
          <w:p>
            <w:pPr>
              <w:pStyle w:val="TableContents"/>
              <w:spacing w:before="0" w:after="0"/>
              <w:ind w:left="0" w:right="0" w:hanging="0"/>
              <w:jc w:val="right"/>
              <w:rPr>
                <w:color w:val="000000"/>
              </w:rPr>
            </w:pPr>
            <w:r>
              <w:rPr>
                <w:color w:val="000000"/>
              </w:rPr>
              <w:t> </w:t>
            </w:r>
          </w:p>
        </w:tc>
        <w:tc>
          <w:tcPr>
            <w:tcW w:w="1699"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40,000</w:t>
            </w:r>
          </w:p>
        </w:tc>
        <w:tc>
          <w:tcPr>
            <w:tcW w:w="328" w:type="dxa"/>
            <w:tcBorders/>
            <w:shd w:fill="auto" w:val="clear"/>
            <w:vAlign w:val="bottom"/>
          </w:tcPr>
          <w:p>
            <w:pPr>
              <w:pStyle w:val="TableContents"/>
              <w:spacing w:before="0" w:after="0"/>
              <w:ind w:left="0" w:right="0" w:firstLine="75"/>
              <w:jc w:val="left"/>
              <w:rPr>
                <w:color w:val="000000"/>
              </w:rPr>
            </w:pPr>
            <w:r>
              <w:rPr>
                <w:color w:val="000000"/>
              </w:rPr>
              <w:t> </w:t>
            </w:r>
          </w:p>
        </w:tc>
        <w:tc>
          <w:tcPr>
            <w:tcW w:w="295" w:type="dxa"/>
            <w:tcBorders/>
            <w:shd w:fill="auto" w:val="clear"/>
            <w:vAlign w:val="bottom"/>
          </w:tcPr>
          <w:p>
            <w:pPr>
              <w:pStyle w:val="TableContents"/>
              <w:spacing w:before="0" w:after="0"/>
              <w:ind w:left="0" w:right="0" w:hanging="0"/>
              <w:jc w:val="right"/>
              <w:rPr>
                <w:color w:val="000000"/>
              </w:rPr>
            </w:pPr>
            <w:r>
              <w:rPr>
                <w:color w:val="000000"/>
              </w:rPr>
              <w:t> </w:t>
            </w:r>
          </w:p>
        </w:tc>
        <w:tc>
          <w:tcPr>
            <w:tcW w:w="1632"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40,000</w:t>
            </w:r>
          </w:p>
        </w:tc>
        <w:tc>
          <w:tcPr>
            <w:tcW w:w="391" w:type="dxa"/>
            <w:tcBorders/>
            <w:shd w:fill="auto" w:val="clear"/>
            <w:vAlign w:val="bottom"/>
          </w:tcPr>
          <w:p>
            <w:pPr>
              <w:pStyle w:val="TableContents"/>
              <w:spacing w:before="0" w:after="0"/>
              <w:ind w:left="0" w:right="0" w:hanging="0"/>
              <w:jc w:val="left"/>
              <w:rPr>
                <w:color w:val="000000"/>
              </w:rPr>
            </w:pPr>
            <w:r>
              <w:rPr>
                <w:color w:val="000000"/>
              </w:rPr>
              <w:t> </w:t>
            </w:r>
          </w:p>
        </w:tc>
      </w:tr>
      <w:tr>
        <w:trPr/>
        <w:tc>
          <w:tcPr>
            <w:tcW w:w="5565" w:type="dxa"/>
            <w:tcBorders/>
            <w:shd w:fill="CCEEFF"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Directors and officers insurance premiums</w:t>
            </w:r>
          </w:p>
        </w:tc>
        <w:tc>
          <w:tcPr>
            <w:tcW w:w="295" w:type="dxa"/>
            <w:tcBorders/>
            <w:shd w:fill="CCEEFF" w:val="clear"/>
            <w:vAlign w:val="bottom"/>
          </w:tcPr>
          <w:p>
            <w:pPr>
              <w:pStyle w:val="TableContents"/>
              <w:spacing w:before="0" w:after="0"/>
              <w:ind w:left="0" w:right="0" w:hanging="0"/>
              <w:jc w:val="right"/>
              <w:rPr>
                <w:color w:val="000000"/>
              </w:rPr>
            </w:pPr>
            <w:r>
              <w:rPr>
                <w:color w:val="000000"/>
              </w:rPr>
              <w:t> </w:t>
            </w:r>
          </w:p>
        </w:tc>
        <w:tc>
          <w:tcPr>
            <w:tcW w:w="1699"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100,000</w:t>
            </w:r>
          </w:p>
        </w:tc>
        <w:tc>
          <w:tcPr>
            <w:tcW w:w="328" w:type="dxa"/>
            <w:tcBorders/>
            <w:shd w:fill="CCEEFF" w:val="clear"/>
            <w:vAlign w:val="bottom"/>
          </w:tcPr>
          <w:p>
            <w:pPr>
              <w:pStyle w:val="TableContents"/>
              <w:spacing w:before="0" w:after="0"/>
              <w:ind w:left="0" w:right="0" w:firstLine="75"/>
              <w:jc w:val="left"/>
              <w:rPr>
                <w:color w:val="000000"/>
              </w:rPr>
            </w:pPr>
            <w:r>
              <w:rPr>
                <w:color w:val="000000"/>
              </w:rPr>
              <w:t> </w:t>
            </w:r>
          </w:p>
        </w:tc>
        <w:tc>
          <w:tcPr>
            <w:tcW w:w="295" w:type="dxa"/>
            <w:tcBorders/>
            <w:shd w:fill="CCEEFF" w:val="clear"/>
            <w:vAlign w:val="bottom"/>
          </w:tcPr>
          <w:p>
            <w:pPr>
              <w:pStyle w:val="TableContents"/>
              <w:spacing w:before="0" w:after="0"/>
              <w:ind w:left="0" w:right="0" w:hanging="0"/>
              <w:jc w:val="right"/>
              <w:rPr>
                <w:color w:val="000000"/>
              </w:rPr>
            </w:pPr>
            <w:r>
              <w:rPr>
                <w:color w:val="000000"/>
              </w:rPr>
              <w:t> </w:t>
            </w:r>
          </w:p>
        </w:tc>
        <w:tc>
          <w:tcPr>
            <w:tcW w:w="1632"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100,000</w:t>
            </w:r>
          </w:p>
        </w:tc>
        <w:tc>
          <w:tcPr>
            <w:tcW w:w="391" w:type="dxa"/>
            <w:tcBorders/>
            <w:shd w:fill="CCEEFF" w:val="clear"/>
            <w:vAlign w:val="bottom"/>
          </w:tcPr>
          <w:p>
            <w:pPr>
              <w:pStyle w:val="TableContents"/>
              <w:spacing w:before="0" w:after="0"/>
              <w:ind w:left="0" w:right="0" w:hanging="0"/>
              <w:jc w:val="left"/>
              <w:rPr>
                <w:color w:val="000000"/>
              </w:rPr>
            </w:pPr>
            <w:r>
              <w:rPr>
                <w:color w:val="000000"/>
              </w:rPr>
              <w:t> </w:t>
            </w:r>
          </w:p>
        </w:tc>
      </w:tr>
      <w:tr>
        <w:trPr/>
        <w:tc>
          <w:tcPr>
            <w:tcW w:w="5565" w:type="dxa"/>
            <w:tcBorders/>
            <w:shd w:fill="auto"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Nasdaq listing and filing fees</w:t>
            </w:r>
          </w:p>
        </w:tc>
        <w:tc>
          <w:tcPr>
            <w:tcW w:w="295" w:type="dxa"/>
            <w:tcBorders/>
            <w:shd w:fill="auto" w:val="clear"/>
            <w:vAlign w:val="bottom"/>
          </w:tcPr>
          <w:p>
            <w:pPr>
              <w:pStyle w:val="TableContents"/>
              <w:spacing w:before="0" w:after="0"/>
              <w:ind w:left="0" w:right="0" w:hanging="0"/>
              <w:jc w:val="right"/>
              <w:rPr>
                <w:color w:val="000000"/>
              </w:rPr>
            </w:pPr>
            <w:r>
              <w:rPr>
                <w:color w:val="000000"/>
              </w:rPr>
              <w:t> </w:t>
            </w:r>
          </w:p>
        </w:tc>
        <w:tc>
          <w:tcPr>
            <w:tcW w:w="1699"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75,000</w:t>
            </w:r>
          </w:p>
        </w:tc>
        <w:tc>
          <w:tcPr>
            <w:tcW w:w="328" w:type="dxa"/>
            <w:tcBorders/>
            <w:shd w:fill="auto" w:val="clear"/>
            <w:vAlign w:val="bottom"/>
          </w:tcPr>
          <w:p>
            <w:pPr>
              <w:pStyle w:val="TableContents"/>
              <w:spacing w:before="0" w:after="0"/>
              <w:ind w:left="0" w:right="0" w:firstLine="75"/>
              <w:jc w:val="left"/>
              <w:rPr>
                <w:color w:val="000000"/>
              </w:rPr>
            </w:pPr>
            <w:r>
              <w:rPr>
                <w:color w:val="000000"/>
              </w:rPr>
              <w:t> </w:t>
            </w:r>
          </w:p>
        </w:tc>
        <w:tc>
          <w:tcPr>
            <w:tcW w:w="295" w:type="dxa"/>
            <w:tcBorders/>
            <w:shd w:fill="auto" w:val="clear"/>
            <w:vAlign w:val="bottom"/>
          </w:tcPr>
          <w:p>
            <w:pPr>
              <w:pStyle w:val="TableContents"/>
              <w:spacing w:before="0" w:after="0"/>
              <w:ind w:left="0" w:right="0" w:hanging="0"/>
              <w:jc w:val="right"/>
              <w:rPr>
                <w:color w:val="000000"/>
              </w:rPr>
            </w:pPr>
            <w:r>
              <w:rPr>
                <w:color w:val="000000"/>
              </w:rPr>
              <w:t> </w:t>
            </w:r>
          </w:p>
        </w:tc>
        <w:tc>
          <w:tcPr>
            <w:tcW w:w="1632"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75,000</w:t>
            </w:r>
          </w:p>
        </w:tc>
        <w:tc>
          <w:tcPr>
            <w:tcW w:w="391" w:type="dxa"/>
            <w:tcBorders/>
            <w:shd w:fill="auto" w:val="clear"/>
            <w:vAlign w:val="bottom"/>
          </w:tcPr>
          <w:p>
            <w:pPr>
              <w:pStyle w:val="TableContents"/>
              <w:spacing w:before="0" w:after="0"/>
              <w:ind w:left="0" w:right="0" w:hanging="0"/>
              <w:jc w:val="left"/>
              <w:rPr>
                <w:color w:val="000000"/>
              </w:rPr>
            </w:pPr>
            <w:r>
              <w:rPr>
                <w:color w:val="000000"/>
              </w:rPr>
              <w:t> </w:t>
            </w:r>
          </w:p>
        </w:tc>
      </w:tr>
      <w:tr>
        <w:trPr/>
        <w:tc>
          <w:tcPr>
            <w:tcW w:w="5565" w:type="dxa"/>
            <w:tcBorders/>
            <w:shd w:fill="CCEEFF" w:val="clear"/>
            <w:vAlign w:val="bottom"/>
          </w:tcPr>
          <w:p>
            <w:pPr>
              <w:pStyle w:val="TableContents"/>
              <w:spacing w:lineRule="auto" w:line="240"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Miscellaneous expenses(4)</w:t>
            </w:r>
          </w:p>
        </w:tc>
        <w:tc>
          <w:tcPr>
            <w:tcW w:w="295" w:type="dxa"/>
            <w:tcBorders/>
            <w:shd w:fill="CCEEFF" w:val="clear"/>
            <w:vAlign w:val="bottom"/>
          </w:tcPr>
          <w:p>
            <w:pPr>
              <w:pStyle w:val="TableContents"/>
              <w:spacing w:before="0" w:after="0"/>
              <w:ind w:left="0" w:right="0" w:hanging="0"/>
              <w:jc w:val="right"/>
              <w:rPr>
                <w:color w:val="000000"/>
                <w:bdr w:val="single" w:sz="8" w:space="1" w:color="000000"/>
              </w:rPr>
            </w:pPr>
            <w:r>
              <w:rPr>
                <w:color w:val="000000"/>
                <w:bdr w:val="single" w:sz="8" w:space="1" w:color="000000"/>
              </w:rPr>
              <w:t> </w:t>
            </w:r>
          </w:p>
        </w:tc>
        <w:tc>
          <w:tcPr>
            <w:tcW w:w="1699"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244,030</w:t>
            </w:r>
          </w:p>
        </w:tc>
        <w:tc>
          <w:tcPr>
            <w:tcW w:w="328" w:type="dxa"/>
            <w:tcBorders/>
            <w:shd w:fill="CCEEFF" w:val="clear"/>
            <w:vAlign w:val="bottom"/>
          </w:tcPr>
          <w:p>
            <w:pPr>
              <w:pStyle w:val="TableContents"/>
              <w:spacing w:before="0" w:after="0"/>
              <w:ind w:left="0" w:right="0" w:firstLine="75"/>
              <w:jc w:val="left"/>
              <w:rPr>
                <w:color w:val="000000"/>
              </w:rPr>
            </w:pPr>
            <w:r>
              <w:rPr>
                <w:color w:val="000000"/>
              </w:rPr>
              <w:t> </w:t>
            </w:r>
          </w:p>
        </w:tc>
        <w:tc>
          <w:tcPr>
            <w:tcW w:w="295" w:type="dxa"/>
            <w:tcBorders/>
            <w:shd w:fill="CCEEFF" w:val="clear"/>
            <w:vAlign w:val="bottom"/>
          </w:tcPr>
          <w:p>
            <w:pPr>
              <w:pStyle w:val="TableContents"/>
              <w:spacing w:before="0" w:after="0"/>
              <w:ind w:left="0" w:right="0" w:hanging="0"/>
              <w:jc w:val="right"/>
              <w:rPr>
                <w:color w:val="000000"/>
                <w:bdr w:val="single" w:sz="8" w:space="1" w:color="000000"/>
              </w:rPr>
            </w:pPr>
            <w:r>
              <w:rPr>
                <w:color w:val="000000"/>
                <w:bdr w:val="single" w:sz="8" w:space="1" w:color="000000"/>
              </w:rPr>
              <w:t> </w:t>
            </w:r>
          </w:p>
        </w:tc>
        <w:tc>
          <w:tcPr>
            <w:tcW w:w="1632"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244,030</w:t>
            </w:r>
          </w:p>
        </w:tc>
        <w:tc>
          <w:tcPr>
            <w:tcW w:w="391" w:type="dxa"/>
            <w:tcBorders/>
            <w:shd w:fill="CCEEFF" w:val="clear"/>
            <w:vAlign w:val="bottom"/>
          </w:tcPr>
          <w:p>
            <w:pPr>
              <w:pStyle w:val="TableContents"/>
              <w:spacing w:before="0" w:after="0"/>
              <w:ind w:left="0" w:right="0" w:hanging="0"/>
              <w:jc w:val="left"/>
              <w:rPr>
                <w:color w:val="000000"/>
              </w:rPr>
            </w:pPr>
            <w:r>
              <w:rPr>
                <w:color w:val="000000"/>
              </w:rPr>
              <w:t> </w:t>
            </w:r>
          </w:p>
        </w:tc>
      </w:tr>
      <w:tr>
        <w:trPr/>
        <w:tc>
          <w:tcPr>
            <w:tcW w:w="5565" w:type="dxa"/>
            <w:tcBorders/>
            <w:shd w:fill="auto"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Total estimated offering expenses (other than underwriting commissions)</w:t>
            </w:r>
          </w:p>
        </w:tc>
        <w:tc>
          <w:tcPr>
            <w:tcW w:w="295"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w:t>
            </w:r>
          </w:p>
        </w:tc>
        <w:tc>
          <w:tcPr>
            <w:tcW w:w="1699"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1,000,000</w:t>
            </w:r>
          </w:p>
        </w:tc>
        <w:tc>
          <w:tcPr>
            <w:tcW w:w="328" w:type="dxa"/>
            <w:tcBorders/>
            <w:shd w:fill="auto" w:val="clear"/>
            <w:vAlign w:val="bottom"/>
          </w:tcPr>
          <w:p>
            <w:pPr>
              <w:pStyle w:val="TableContents"/>
              <w:spacing w:before="0" w:after="0"/>
              <w:ind w:left="0" w:right="0" w:firstLine="75"/>
              <w:jc w:val="left"/>
              <w:rPr>
                <w:color w:val="000000"/>
              </w:rPr>
            </w:pPr>
            <w:r>
              <w:rPr>
                <w:color w:val="000000"/>
              </w:rPr>
              <w:t> </w:t>
            </w:r>
          </w:p>
        </w:tc>
        <w:tc>
          <w:tcPr>
            <w:tcW w:w="295"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w:t>
            </w:r>
          </w:p>
        </w:tc>
        <w:tc>
          <w:tcPr>
            <w:tcW w:w="1632"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1,000,000</w:t>
            </w:r>
          </w:p>
        </w:tc>
        <w:tc>
          <w:tcPr>
            <w:tcW w:w="391" w:type="dxa"/>
            <w:tcBorders/>
            <w:shd w:fill="auto" w:val="clear"/>
            <w:vAlign w:val="bottom"/>
          </w:tcPr>
          <w:p>
            <w:pPr>
              <w:pStyle w:val="TableContents"/>
              <w:spacing w:before="0" w:after="0"/>
              <w:ind w:left="0" w:right="0" w:hanging="0"/>
              <w:jc w:val="left"/>
              <w:rPr>
                <w:color w:val="000000"/>
              </w:rPr>
            </w:pPr>
            <w:r>
              <w:rPr>
                <w:color w:val="000000"/>
              </w:rPr>
              <w:t> </w:t>
            </w:r>
          </w:p>
        </w:tc>
      </w:tr>
      <w:tr>
        <w:trPr/>
        <w:tc>
          <w:tcPr>
            <w:tcW w:w="5565" w:type="dxa"/>
            <w:tcBorders/>
            <w:shd w:fill="CCEEFF"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Proceeds after estimated offering expenses</w:t>
            </w:r>
          </w:p>
        </w:tc>
        <w:tc>
          <w:tcPr>
            <w:tcW w:w="295"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w:t>
            </w:r>
          </w:p>
        </w:tc>
        <w:tc>
          <w:tcPr>
            <w:tcW w:w="1699"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251,000,000</w:t>
            </w:r>
          </w:p>
        </w:tc>
        <w:tc>
          <w:tcPr>
            <w:tcW w:w="328" w:type="dxa"/>
            <w:tcBorders/>
            <w:shd w:fill="CCEEFF" w:val="clear"/>
            <w:vAlign w:val="bottom"/>
          </w:tcPr>
          <w:p>
            <w:pPr>
              <w:pStyle w:val="TableContents"/>
              <w:spacing w:before="0" w:after="0"/>
              <w:ind w:left="0" w:right="0" w:firstLine="75"/>
              <w:jc w:val="left"/>
              <w:rPr>
                <w:color w:val="000000"/>
              </w:rPr>
            </w:pPr>
            <w:r>
              <w:rPr>
                <w:color w:val="000000"/>
              </w:rPr>
              <w:t> </w:t>
            </w:r>
          </w:p>
        </w:tc>
        <w:tc>
          <w:tcPr>
            <w:tcW w:w="295"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w:t>
            </w:r>
          </w:p>
        </w:tc>
        <w:tc>
          <w:tcPr>
            <w:tcW w:w="1632"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288,500,000</w:t>
            </w:r>
          </w:p>
        </w:tc>
        <w:tc>
          <w:tcPr>
            <w:tcW w:w="391" w:type="dxa"/>
            <w:tcBorders/>
            <w:shd w:fill="CCEEFF" w:val="clear"/>
            <w:vAlign w:val="bottom"/>
          </w:tcPr>
          <w:p>
            <w:pPr>
              <w:pStyle w:val="TableContents"/>
              <w:spacing w:before="0" w:after="0"/>
              <w:ind w:left="0" w:right="0" w:hanging="0"/>
              <w:jc w:val="left"/>
              <w:rPr>
                <w:color w:val="000000"/>
              </w:rPr>
            </w:pPr>
            <w:r>
              <w:rPr>
                <w:color w:val="000000"/>
              </w:rPr>
              <w:t> </w:t>
            </w:r>
          </w:p>
        </w:tc>
      </w:tr>
      <w:tr>
        <w:trPr/>
        <w:tc>
          <w:tcPr>
            <w:tcW w:w="5565" w:type="dxa"/>
            <w:tcBorders/>
            <w:shd w:fill="auto" w:val="clear"/>
            <w:vAlign w:val="bottom"/>
          </w:tcPr>
          <w:p>
            <w:pPr>
              <w:pStyle w:val="TableContents"/>
              <w:spacing w:lineRule="auto" w:line="240"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Held in trust account(3)</w:t>
            </w:r>
          </w:p>
        </w:tc>
        <w:tc>
          <w:tcPr>
            <w:tcW w:w="295"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w:t>
            </w:r>
          </w:p>
        </w:tc>
        <w:tc>
          <w:tcPr>
            <w:tcW w:w="1699"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250,000,000</w:t>
            </w:r>
          </w:p>
        </w:tc>
        <w:tc>
          <w:tcPr>
            <w:tcW w:w="328" w:type="dxa"/>
            <w:tcBorders/>
            <w:shd w:fill="auto" w:val="clear"/>
            <w:vAlign w:val="bottom"/>
          </w:tcPr>
          <w:p>
            <w:pPr>
              <w:pStyle w:val="TableContents"/>
              <w:spacing w:before="0" w:after="0"/>
              <w:ind w:left="0" w:right="0" w:firstLine="75"/>
              <w:jc w:val="left"/>
              <w:rPr>
                <w:color w:val="000000"/>
              </w:rPr>
            </w:pPr>
            <w:r>
              <w:rPr>
                <w:color w:val="000000"/>
              </w:rPr>
              <w:t> </w:t>
            </w:r>
          </w:p>
        </w:tc>
        <w:tc>
          <w:tcPr>
            <w:tcW w:w="295"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w:t>
            </w:r>
          </w:p>
        </w:tc>
        <w:tc>
          <w:tcPr>
            <w:tcW w:w="1632"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287,500,000</w:t>
            </w:r>
          </w:p>
        </w:tc>
        <w:tc>
          <w:tcPr>
            <w:tcW w:w="391" w:type="dxa"/>
            <w:tcBorders/>
            <w:shd w:fill="auto" w:val="clear"/>
            <w:vAlign w:val="bottom"/>
          </w:tcPr>
          <w:p>
            <w:pPr>
              <w:pStyle w:val="TableContents"/>
              <w:spacing w:before="0" w:after="0"/>
              <w:ind w:left="0" w:right="0" w:hanging="0"/>
              <w:jc w:val="left"/>
              <w:rPr>
                <w:color w:val="000000"/>
              </w:rPr>
            </w:pPr>
            <w:r>
              <w:rPr>
                <w:color w:val="000000"/>
              </w:rPr>
              <w:t> </w:t>
            </w:r>
          </w:p>
        </w:tc>
      </w:tr>
      <w:tr>
        <w:trPr/>
        <w:tc>
          <w:tcPr>
            <w:tcW w:w="5565" w:type="dxa"/>
            <w:tcBorders/>
            <w:shd w:fill="CCEEFF"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 of public offering size</w:t>
            </w:r>
          </w:p>
        </w:tc>
        <w:tc>
          <w:tcPr>
            <w:tcW w:w="295" w:type="dxa"/>
            <w:tcBorders/>
            <w:shd w:fill="CCEEFF" w:val="clear"/>
            <w:vAlign w:val="bottom"/>
          </w:tcPr>
          <w:p>
            <w:pPr>
              <w:pStyle w:val="TableContents"/>
              <w:spacing w:before="0" w:after="0"/>
              <w:ind w:left="0" w:right="0" w:hanging="0"/>
              <w:jc w:val="right"/>
              <w:rPr>
                <w:color w:val="000000"/>
              </w:rPr>
            </w:pPr>
            <w:r>
              <w:rPr>
                <w:color w:val="000000"/>
              </w:rPr>
              <w:t> </w:t>
            </w:r>
          </w:p>
        </w:tc>
        <w:tc>
          <w:tcPr>
            <w:tcW w:w="1699"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100</w:t>
            </w:r>
          </w:p>
        </w:tc>
        <w:tc>
          <w:tcPr>
            <w:tcW w:w="328" w:type="dxa"/>
            <w:tcBorders/>
            <w:shd w:fill="CCEEFF"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w:t>
            </w:r>
          </w:p>
        </w:tc>
        <w:tc>
          <w:tcPr>
            <w:tcW w:w="295" w:type="dxa"/>
            <w:tcBorders/>
            <w:shd w:fill="CCEEFF" w:val="clear"/>
            <w:vAlign w:val="bottom"/>
          </w:tcPr>
          <w:p>
            <w:pPr>
              <w:pStyle w:val="TableContents"/>
              <w:spacing w:before="0" w:after="0"/>
              <w:ind w:left="0" w:right="0" w:hanging="0"/>
              <w:jc w:val="right"/>
              <w:rPr>
                <w:color w:val="000000"/>
              </w:rPr>
            </w:pPr>
            <w:r>
              <w:rPr>
                <w:color w:val="000000"/>
              </w:rPr>
              <w:t> </w:t>
            </w:r>
          </w:p>
        </w:tc>
        <w:tc>
          <w:tcPr>
            <w:tcW w:w="1632"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100</w:t>
            </w:r>
          </w:p>
        </w:tc>
        <w:tc>
          <w:tcPr>
            <w:tcW w:w="391" w:type="dxa"/>
            <w:tcBorders/>
            <w:shd w:fill="CCEEFF" w:val="clear"/>
            <w:vAlign w:val="bottom"/>
          </w:tcPr>
          <w:p>
            <w:pPr>
              <w:pStyle w:val="TableContents"/>
              <w:spacing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p>
        </w:tc>
      </w:tr>
      <w:tr>
        <w:trPr/>
        <w:tc>
          <w:tcPr>
            <w:tcW w:w="5565" w:type="dxa"/>
            <w:tcBorders/>
            <w:shd w:fill="auto" w:val="clear"/>
            <w:vAlign w:val="bottom"/>
          </w:tcPr>
          <w:p>
            <w:pPr>
              <w:pStyle w:val="TableContents"/>
              <w:spacing w:lineRule="auto" w:line="240"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Not held in trust account(2)</w:t>
            </w:r>
          </w:p>
        </w:tc>
        <w:tc>
          <w:tcPr>
            <w:tcW w:w="295"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w:t>
            </w:r>
          </w:p>
        </w:tc>
        <w:tc>
          <w:tcPr>
            <w:tcW w:w="1699"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1,000,000</w:t>
            </w:r>
          </w:p>
        </w:tc>
        <w:tc>
          <w:tcPr>
            <w:tcW w:w="328" w:type="dxa"/>
            <w:tcBorders/>
            <w:shd w:fill="auto" w:val="clear"/>
            <w:vAlign w:val="bottom"/>
          </w:tcPr>
          <w:p>
            <w:pPr>
              <w:pStyle w:val="TableContents"/>
              <w:spacing w:before="0" w:after="0"/>
              <w:ind w:left="0" w:right="0" w:firstLine="75"/>
              <w:jc w:val="left"/>
              <w:rPr>
                <w:color w:val="000000"/>
              </w:rPr>
            </w:pPr>
            <w:r>
              <w:rPr>
                <w:color w:val="000000"/>
              </w:rPr>
              <w:t> </w:t>
            </w:r>
          </w:p>
        </w:tc>
        <w:tc>
          <w:tcPr>
            <w:tcW w:w="295"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w:t>
            </w:r>
          </w:p>
        </w:tc>
        <w:tc>
          <w:tcPr>
            <w:tcW w:w="1632"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1,000,000</w:t>
            </w:r>
          </w:p>
        </w:tc>
        <w:tc>
          <w:tcPr>
            <w:tcW w:w="391" w:type="dxa"/>
            <w:tcBorders/>
            <w:shd w:fill="auto" w:val="clear"/>
            <w:vAlign w:val="bottom"/>
          </w:tcPr>
          <w:p>
            <w:pPr>
              <w:pStyle w:val="TableContents"/>
              <w:spacing w:before="0" w:after="0"/>
              <w:jc w:val="left"/>
              <w:rPr>
                <w:color w:val="000000"/>
              </w:rPr>
            </w:pPr>
            <w:r>
              <w:rPr>
                <w:color w:val="000000"/>
              </w:rPr>
              <w:t> </w:t>
            </w:r>
          </w:p>
        </w:tc>
      </w:tr>
    </w:tbl>
    <w:p>
      <w:pPr>
        <w:pStyle w:val="TextBody"/>
        <w:spacing w:lineRule="auto"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following table shows the use of the approximately $1,000,000 of net proceeds not held in the trust account(5).</w:t>
      </w:r>
    </w:p>
    <w:tbl>
      <w:tblPr>
        <w:tblW w:w="5000" w:type="pct"/>
        <w:jc w:val="center"/>
        <w:tblInd w:w="0" w:type="dxa"/>
        <w:tblCellMar>
          <w:top w:w="0" w:type="dxa"/>
          <w:left w:w="0" w:type="dxa"/>
          <w:bottom w:w="0" w:type="dxa"/>
          <w:right w:w="0" w:type="dxa"/>
        </w:tblCellMar>
      </w:tblPr>
      <w:tblGrid>
        <w:gridCol w:w="6183"/>
        <w:gridCol w:w="300"/>
        <w:gridCol w:w="1618"/>
        <w:gridCol w:w="241"/>
        <w:gridCol w:w="263"/>
        <w:gridCol w:w="1306"/>
        <w:gridCol w:w="294"/>
      </w:tblGrid>
      <w:tr>
        <w:trPr/>
        <w:tc>
          <w:tcPr>
            <w:tcW w:w="6183" w:type="dxa"/>
            <w:tcBorders/>
            <w:shd w:fill="auto" w:val="clear"/>
            <w:vAlign w:val="bottom"/>
          </w:tcPr>
          <w:p>
            <w:pPr>
              <w:pStyle w:val="TableContents"/>
              <w:spacing w:before="0" w:after="0"/>
              <w:ind w:left="0" w:right="0" w:firstLine="90"/>
              <w:jc w:val="left"/>
              <w:rPr>
                <w:color w:val="000000"/>
              </w:rPr>
            </w:pPr>
            <w:r>
              <w:rPr>
                <w:color w:val="000000"/>
              </w:rPr>
              <w:t> </w:t>
            </w:r>
          </w:p>
        </w:tc>
        <w:tc>
          <w:tcPr>
            <w:tcW w:w="2159" w:type="dxa"/>
            <w:gridSpan w:val="3"/>
            <w:tcBorders/>
            <w:shd w:fill="auto" w:val="clear"/>
            <w:vAlign w:val="bottom"/>
          </w:tcPr>
          <w:p>
            <w:pPr>
              <w:pStyle w:val="TableContents"/>
              <w:spacing w:before="0" w:after="0"/>
              <w:ind w:left="0" w:right="0" w:firstLine="9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Amount</w:t>
            </w:r>
          </w:p>
        </w:tc>
        <w:tc>
          <w:tcPr>
            <w:tcW w:w="1863" w:type="dxa"/>
            <w:gridSpan w:val="3"/>
            <w:tcBorders/>
            <w:shd w:fill="auto" w:val="clear"/>
            <w:vAlign w:val="bottom"/>
          </w:tcPr>
          <w:p>
            <w:pPr>
              <w:pStyle w:val="TableContents"/>
              <w:spacing w:before="0" w:after="0"/>
              <w:ind w:left="0" w:right="0" w:firstLine="195"/>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 of Total</w:t>
            </w:r>
          </w:p>
        </w:tc>
      </w:tr>
      <w:tr>
        <w:trPr/>
        <w:tc>
          <w:tcPr>
            <w:tcW w:w="6183" w:type="dxa"/>
            <w:tcBorders/>
            <w:shd w:fill="CCEEFF" w:val="clear"/>
            <w:vAlign w:val="bottom"/>
          </w:tcPr>
          <w:p>
            <w:pPr>
              <w:pStyle w:val="TableContents"/>
              <w:spacing w:lineRule="auto" w:line="240"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Legal, accounting, due diligence, travel and other expenses in connection with any business combination(6)</w:t>
            </w:r>
          </w:p>
        </w:tc>
        <w:tc>
          <w:tcPr>
            <w:tcW w:w="300"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w:t>
            </w:r>
          </w:p>
        </w:tc>
        <w:tc>
          <w:tcPr>
            <w:tcW w:w="1618"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450,000</w:t>
            </w:r>
          </w:p>
        </w:tc>
        <w:tc>
          <w:tcPr>
            <w:tcW w:w="241" w:type="dxa"/>
            <w:tcBorders/>
            <w:shd w:fill="CCEEFF" w:val="clear"/>
            <w:vAlign w:val="bottom"/>
          </w:tcPr>
          <w:p>
            <w:pPr>
              <w:pStyle w:val="TableContents"/>
              <w:spacing w:before="0" w:after="0"/>
              <w:ind w:left="0" w:right="0" w:firstLine="75"/>
              <w:jc w:val="left"/>
              <w:rPr>
                <w:color w:val="000000"/>
              </w:rPr>
            </w:pPr>
            <w:r>
              <w:rPr>
                <w:color w:val="000000"/>
              </w:rPr>
              <w:t> </w:t>
            </w:r>
          </w:p>
        </w:tc>
        <w:tc>
          <w:tcPr>
            <w:tcW w:w="263" w:type="dxa"/>
            <w:tcBorders/>
            <w:shd w:fill="CCEEFF" w:val="clear"/>
            <w:vAlign w:val="bottom"/>
          </w:tcPr>
          <w:p>
            <w:pPr>
              <w:pStyle w:val="TableContents"/>
              <w:spacing w:before="0" w:after="0"/>
              <w:ind w:left="0" w:right="0" w:hanging="0"/>
              <w:jc w:val="right"/>
              <w:rPr>
                <w:color w:val="000000"/>
              </w:rPr>
            </w:pPr>
            <w:r>
              <w:rPr>
                <w:color w:val="000000"/>
              </w:rPr>
              <w:t> </w:t>
            </w:r>
          </w:p>
        </w:tc>
        <w:tc>
          <w:tcPr>
            <w:tcW w:w="1306"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45.0</w:t>
            </w:r>
          </w:p>
        </w:tc>
        <w:tc>
          <w:tcPr>
            <w:tcW w:w="294" w:type="dxa"/>
            <w:tcBorders/>
            <w:shd w:fill="CCEEFF" w:val="clear"/>
            <w:vAlign w:val="bottom"/>
          </w:tcPr>
          <w:p>
            <w:pPr>
              <w:pStyle w:val="TableContents"/>
              <w:spacing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p>
        </w:tc>
      </w:tr>
      <w:tr>
        <w:trPr/>
        <w:tc>
          <w:tcPr>
            <w:tcW w:w="6183" w:type="dxa"/>
            <w:tcBorders/>
            <w:shd w:fill="auto"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Legal and accounting fees related to regulatory reporting obligations</w:t>
            </w:r>
          </w:p>
        </w:tc>
        <w:tc>
          <w:tcPr>
            <w:tcW w:w="300" w:type="dxa"/>
            <w:tcBorders/>
            <w:shd w:fill="auto" w:val="clear"/>
            <w:vAlign w:val="bottom"/>
          </w:tcPr>
          <w:p>
            <w:pPr>
              <w:pStyle w:val="TableContents"/>
              <w:spacing w:before="0" w:after="0"/>
              <w:ind w:left="0" w:right="0" w:hanging="0"/>
              <w:jc w:val="right"/>
              <w:rPr>
                <w:color w:val="000000"/>
              </w:rPr>
            </w:pPr>
            <w:r>
              <w:rPr>
                <w:color w:val="000000"/>
              </w:rPr>
              <w:t> </w:t>
            </w:r>
          </w:p>
        </w:tc>
        <w:tc>
          <w:tcPr>
            <w:tcW w:w="1618"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150,000</w:t>
            </w:r>
          </w:p>
        </w:tc>
        <w:tc>
          <w:tcPr>
            <w:tcW w:w="241" w:type="dxa"/>
            <w:tcBorders/>
            <w:shd w:fill="auto" w:val="clear"/>
            <w:vAlign w:val="bottom"/>
          </w:tcPr>
          <w:p>
            <w:pPr>
              <w:pStyle w:val="TableContents"/>
              <w:spacing w:before="0" w:after="0"/>
              <w:ind w:left="0" w:right="0" w:firstLine="75"/>
              <w:jc w:val="left"/>
              <w:rPr>
                <w:color w:val="000000"/>
              </w:rPr>
            </w:pPr>
            <w:r>
              <w:rPr>
                <w:color w:val="000000"/>
              </w:rPr>
              <w:t> </w:t>
            </w:r>
          </w:p>
        </w:tc>
        <w:tc>
          <w:tcPr>
            <w:tcW w:w="263" w:type="dxa"/>
            <w:tcBorders/>
            <w:shd w:fill="auto" w:val="clear"/>
            <w:vAlign w:val="bottom"/>
          </w:tcPr>
          <w:p>
            <w:pPr>
              <w:pStyle w:val="TableContents"/>
              <w:spacing w:before="0" w:after="0"/>
              <w:ind w:left="0" w:right="0" w:hanging="0"/>
              <w:jc w:val="right"/>
              <w:rPr>
                <w:color w:val="000000"/>
              </w:rPr>
            </w:pPr>
            <w:r>
              <w:rPr>
                <w:color w:val="000000"/>
              </w:rPr>
              <w:t> </w:t>
            </w:r>
          </w:p>
        </w:tc>
        <w:tc>
          <w:tcPr>
            <w:tcW w:w="1306"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15.0</w:t>
            </w:r>
          </w:p>
        </w:tc>
        <w:tc>
          <w:tcPr>
            <w:tcW w:w="294" w:type="dxa"/>
            <w:tcBorders/>
            <w:shd w:fill="auto" w:val="clear"/>
            <w:vAlign w:val="bottom"/>
          </w:tcPr>
          <w:p>
            <w:pPr>
              <w:pStyle w:val="TableContents"/>
              <w:spacing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p>
        </w:tc>
      </w:tr>
      <w:tr>
        <w:trPr/>
        <w:tc>
          <w:tcPr>
            <w:tcW w:w="6183" w:type="dxa"/>
            <w:tcBorders/>
            <w:shd w:fill="CCEEFF"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Reserve for liquidation expenses</w:t>
            </w:r>
          </w:p>
        </w:tc>
        <w:tc>
          <w:tcPr>
            <w:tcW w:w="300" w:type="dxa"/>
            <w:tcBorders/>
            <w:shd w:fill="CCEEFF" w:val="clear"/>
            <w:vAlign w:val="bottom"/>
          </w:tcPr>
          <w:p>
            <w:pPr>
              <w:pStyle w:val="TableContents"/>
              <w:spacing w:before="0" w:after="0"/>
              <w:ind w:left="0" w:right="0" w:hanging="0"/>
              <w:jc w:val="right"/>
              <w:rPr>
                <w:color w:val="000000"/>
              </w:rPr>
            </w:pPr>
            <w:r>
              <w:rPr>
                <w:color w:val="000000"/>
              </w:rPr>
              <w:t> </w:t>
            </w:r>
          </w:p>
        </w:tc>
        <w:tc>
          <w:tcPr>
            <w:tcW w:w="1618"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100,000</w:t>
            </w:r>
          </w:p>
        </w:tc>
        <w:tc>
          <w:tcPr>
            <w:tcW w:w="241" w:type="dxa"/>
            <w:tcBorders/>
            <w:shd w:fill="CCEEFF" w:val="clear"/>
            <w:vAlign w:val="bottom"/>
          </w:tcPr>
          <w:p>
            <w:pPr>
              <w:pStyle w:val="TableContents"/>
              <w:spacing w:before="0" w:after="0"/>
              <w:ind w:left="0" w:right="0" w:firstLine="75"/>
              <w:jc w:val="left"/>
              <w:rPr>
                <w:color w:val="000000"/>
              </w:rPr>
            </w:pPr>
            <w:r>
              <w:rPr>
                <w:color w:val="000000"/>
              </w:rPr>
              <w:t> </w:t>
            </w:r>
          </w:p>
        </w:tc>
        <w:tc>
          <w:tcPr>
            <w:tcW w:w="263" w:type="dxa"/>
            <w:tcBorders/>
            <w:shd w:fill="CCEEFF" w:val="clear"/>
            <w:vAlign w:val="bottom"/>
          </w:tcPr>
          <w:p>
            <w:pPr>
              <w:pStyle w:val="TableContents"/>
              <w:spacing w:before="0" w:after="0"/>
              <w:ind w:left="0" w:right="0" w:hanging="0"/>
              <w:jc w:val="right"/>
              <w:rPr>
                <w:color w:val="000000"/>
              </w:rPr>
            </w:pPr>
            <w:r>
              <w:rPr>
                <w:color w:val="000000"/>
              </w:rPr>
              <w:t> </w:t>
            </w:r>
          </w:p>
        </w:tc>
        <w:tc>
          <w:tcPr>
            <w:tcW w:w="1306"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10.0</w:t>
            </w:r>
          </w:p>
        </w:tc>
        <w:tc>
          <w:tcPr>
            <w:tcW w:w="294" w:type="dxa"/>
            <w:tcBorders/>
            <w:shd w:fill="CCEEFF" w:val="clear"/>
            <w:vAlign w:val="bottom"/>
          </w:tcPr>
          <w:p>
            <w:pPr>
              <w:pStyle w:val="TableContents"/>
              <w:spacing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p>
        </w:tc>
      </w:tr>
      <w:tr>
        <w:trPr/>
        <w:tc>
          <w:tcPr>
            <w:tcW w:w="6183" w:type="dxa"/>
            <w:tcBorders/>
            <w:shd w:fill="auto"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Nasdaq continued listing fees</w:t>
            </w:r>
          </w:p>
        </w:tc>
        <w:tc>
          <w:tcPr>
            <w:tcW w:w="300" w:type="dxa"/>
            <w:tcBorders/>
            <w:shd w:fill="auto" w:val="clear"/>
            <w:vAlign w:val="bottom"/>
          </w:tcPr>
          <w:p>
            <w:pPr>
              <w:pStyle w:val="TableContents"/>
              <w:spacing w:before="0" w:after="0"/>
              <w:ind w:left="0" w:right="0" w:hanging="0"/>
              <w:jc w:val="right"/>
              <w:rPr>
                <w:color w:val="000000"/>
              </w:rPr>
            </w:pPr>
            <w:r>
              <w:rPr>
                <w:color w:val="000000"/>
              </w:rPr>
              <w:t> </w:t>
            </w:r>
          </w:p>
        </w:tc>
        <w:tc>
          <w:tcPr>
            <w:tcW w:w="1618"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75,000</w:t>
            </w:r>
          </w:p>
        </w:tc>
        <w:tc>
          <w:tcPr>
            <w:tcW w:w="241" w:type="dxa"/>
            <w:tcBorders/>
            <w:shd w:fill="auto" w:val="clear"/>
            <w:vAlign w:val="bottom"/>
          </w:tcPr>
          <w:p>
            <w:pPr>
              <w:pStyle w:val="TableContents"/>
              <w:spacing w:before="0" w:after="0"/>
              <w:ind w:left="0" w:right="0" w:firstLine="75"/>
              <w:jc w:val="left"/>
              <w:rPr>
                <w:color w:val="000000"/>
              </w:rPr>
            </w:pPr>
            <w:r>
              <w:rPr>
                <w:color w:val="000000"/>
              </w:rPr>
              <w:t> </w:t>
            </w:r>
          </w:p>
        </w:tc>
        <w:tc>
          <w:tcPr>
            <w:tcW w:w="263" w:type="dxa"/>
            <w:tcBorders/>
            <w:shd w:fill="auto" w:val="clear"/>
            <w:vAlign w:val="bottom"/>
          </w:tcPr>
          <w:p>
            <w:pPr>
              <w:pStyle w:val="TableContents"/>
              <w:spacing w:before="0" w:after="0"/>
              <w:ind w:left="0" w:right="0" w:hanging="0"/>
              <w:jc w:val="right"/>
              <w:rPr>
                <w:color w:val="000000"/>
              </w:rPr>
            </w:pPr>
            <w:r>
              <w:rPr>
                <w:color w:val="000000"/>
              </w:rPr>
              <w:t> </w:t>
            </w:r>
          </w:p>
        </w:tc>
        <w:tc>
          <w:tcPr>
            <w:tcW w:w="1306"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7.5</w:t>
            </w:r>
          </w:p>
        </w:tc>
        <w:tc>
          <w:tcPr>
            <w:tcW w:w="294" w:type="dxa"/>
            <w:tcBorders/>
            <w:shd w:fill="auto" w:val="clear"/>
            <w:vAlign w:val="bottom"/>
          </w:tcPr>
          <w:p>
            <w:pPr>
              <w:pStyle w:val="TableContents"/>
              <w:spacing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p>
        </w:tc>
      </w:tr>
      <w:tr>
        <w:trPr/>
        <w:tc>
          <w:tcPr>
            <w:tcW w:w="6183" w:type="dxa"/>
            <w:tcBorders/>
            <w:shd w:fill="CCEEFF" w:val="clear"/>
            <w:vAlign w:val="bottom"/>
          </w:tcPr>
          <w:p>
            <w:pPr>
              <w:pStyle w:val="TableContents"/>
              <w:spacing w:lineRule="auto" w:line="240"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Other miscellaneous expenses, including overhead(7)</w:t>
            </w:r>
          </w:p>
        </w:tc>
        <w:tc>
          <w:tcPr>
            <w:tcW w:w="300" w:type="dxa"/>
            <w:tcBorders/>
            <w:shd w:fill="CCEEFF" w:val="clear"/>
            <w:vAlign w:val="bottom"/>
          </w:tcPr>
          <w:p>
            <w:pPr>
              <w:pStyle w:val="TableContents"/>
              <w:spacing w:before="0" w:after="0"/>
              <w:ind w:left="0" w:right="0" w:hanging="0"/>
              <w:jc w:val="right"/>
              <w:rPr>
                <w:color w:val="000000"/>
                <w:bdr w:val="single" w:sz="8" w:space="1" w:color="000000"/>
              </w:rPr>
            </w:pPr>
            <w:r>
              <w:rPr>
                <w:color w:val="000000"/>
                <w:bdr w:val="single" w:sz="8" w:space="1" w:color="000000"/>
              </w:rPr>
              <w:t> </w:t>
            </w:r>
          </w:p>
        </w:tc>
        <w:tc>
          <w:tcPr>
            <w:tcW w:w="1618"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225,000</w:t>
            </w:r>
          </w:p>
        </w:tc>
        <w:tc>
          <w:tcPr>
            <w:tcW w:w="241" w:type="dxa"/>
            <w:tcBorders/>
            <w:shd w:fill="CCEEFF" w:val="clear"/>
            <w:vAlign w:val="bottom"/>
          </w:tcPr>
          <w:p>
            <w:pPr>
              <w:pStyle w:val="TableContents"/>
              <w:spacing w:before="0" w:after="0"/>
              <w:ind w:left="0" w:right="0" w:firstLine="75"/>
              <w:jc w:val="left"/>
              <w:rPr>
                <w:color w:val="000000"/>
              </w:rPr>
            </w:pPr>
            <w:r>
              <w:rPr>
                <w:color w:val="000000"/>
              </w:rPr>
              <w:t> </w:t>
            </w:r>
          </w:p>
        </w:tc>
        <w:tc>
          <w:tcPr>
            <w:tcW w:w="263" w:type="dxa"/>
            <w:tcBorders/>
            <w:shd w:fill="CCEEFF" w:val="clear"/>
            <w:vAlign w:val="bottom"/>
          </w:tcPr>
          <w:p>
            <w:pPr>
              <w:pStyle w:val="TableContents"/>
              <w:spacing w:before="0" w:after="0"/>
              <w:ind w:left="0" w:right="0" w:hanging="0"/>
              <w:jc w:val="right"/>
              <w:rPr>
                <w:color w:val="000000"/>
                <w:bdr w:val="single" w:sz="8" w:space="1" w:color="000000"/>
              </w:rPr>
            </w:pPr>
            <w:r>
              <w:rPr>
                <w:color w:val="000000"/>
                <w:bdr w:val="single" w:sz="8" w:space="1" w:color="000000"/>
              </w:rPr>
              <w:t> </w:t>
            </w:r>
          </w:p>
        </w:tc>
        <w:tc>
          <w:tcPr>
            <w:tcW w:w="1306"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22.5</w:t>
            </w:r>
          </w:p>
        </w:tc>
        <w:tc>
          <w:tcPr>
            <w:tcW w:w="294" w:type="dxa"/>
            <w:tcBorders/>
            <w:shd w:fill="CCEEFF" w:val="clear"/>
            <w:vAlign w:val="bottom"/>
          </w:tcPr>
          <w:p>
            <w:pPr>
              <w:pStyle w:val="TableContents"/>
              <w:spacing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p>
        </w:tc>
      </w:tr>
      <w:tr>
        <w:trPr/>
        <w:tc>
          <w:tcPr>
            <w:tcW w:w="6183" w:type="dxa"/>
            <w:tcBorders/>
            <w:shd w:fill="auto"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Total</w:t>
            </w:r>
          </w:p>
        </w:tc>
        <w:tc>
          <w:tcPr>
            <w:tcW w:w="300"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w:t>
            </w:r>
          </w:p>
        </w:tc>
        <w:tc>
          <w:tcPr>
            <w:tcW w:w="1618"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1,000,000</w:t>
            </w:r>
          </w:p>
        </w:tc>
        <w:tc>
          <w:tcPr>
            <w:tcW w:w="241" w:type="dxa"/>
            <w:tcBorders/>
            <w:shd w:fill="auto" w:val="clear"/>
            <w:vAlign w:val="bottom"/>
          </w:tcPr>
          <w:p>
            <w:pPr>
              <w:pStyle w:val="TableContents"/>
              <w:spacing w:before="0" w:after="0"/>
              <w:ind w:left="0" w:right="0" w:firstLine="75"/>
              <w:jc w:val="left"/>
              <w:rPr>
                <w:color w:val="000000"/>
              </w:rPr>
            </w:pPr>
            <w:r>
              <w:rPr>
                <w:color w:val="000000"/>
              </w:rPr>
              <w:t> </w:t>
            </w:r>
          </w:p>
        </w:tc>
        <w:tc>
          <w:tcPr>
            <w:tcW w:w="263" w:type="dxa"/>
            <w:tcBorders/>
            <w:shd w:fill="auto" w:val="clear"/>
            <w:vAlign w:val="bottom"/>
          </w:tcPr>
          <w:p>
            <w:pPr>
              <w:pStyle w:val="TableContents"/>
              <w:spacing w:before="0" w:after="0"/>
              <w:ind w:left="0" w:right="0" w:hanging="0"/>
              <w:jc w:val="right"/>
              <w:rPr>
                <w:color w:val="000000"/>
                <w:bdr w:val="double" w:sz="8" w:space="1" w:color="000000"/>
              </w:rPr>
            </w:pPr>
            <w:r>
              <w:rPr>
                <w:color w:val="000000"/>
                <w:bdr w:val="double" w:sz="8" w:space="1" w:color="000000"/>
              </w:rPr>
              <w:t> </w:t>
            </w:r>
          </w:p>
        </w:tc>
        <w:tc>
          <w:tcPr>
            <w:tcW w:w="1306"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100.0</w:t>
            </w:r>
          </w:p>
        </w:tc>
        <w:tc>
          <w:tcPr>
            <w:tcW w:w="294" w:type="dxa"/>
            <w:tcBorders/>
            <w:shd w:fill="auto" w:val="clear"/>
            <w:vAlign w:val="bottom"/>
          </w:tcPr>
          <w:p>
            <w:pPr>
              <w:pStyle w:val="TableContents"/>
              <w:spacing w:before="0" w:after="0"/>
              <w:jc w:val="left"/>
              <w:rPr>
                <w:rFonts w:ascii="Times New Roman;Times;Serif" w:hAnsi="Times New Roman;Times;Serif"/>
                <w:color w:val="000000"/>
                <w:sz w:val="17"/>
              </w:rPr>
            </w:pPr>
            <w:r>
              <w:rPr>
                <w:rFonts w:ascii="Times New Roman;Times;Serif" w:hAnsi="Times New Roman;Times;Serif"/>
                <w:color w:val="000000"/>
                <w:sz w:val="17"/>
              </w:rPr>
              <w:t>%</w:t>
            </w:r>
          </w:p>
        </w:tc>
      </w:tr>
    </w:tbl>
    <w:tbl>
      <w:tblPr>
        <w:tblW w:w="5000" w:type="pct"/>
        <w:jc w:val="left"/>
        <w:tblInd w:w="0" w:type="dxa"/>
        <w:tblCellMar>
          <w:top w:w="0" w:type="dxa"/>
          <w:left w:w="0" w:type="dxa"/>
          <w:bottom w:w="0" w:type="dxa"/>
          <w:right w:w="0" w:type="dxa"/>
        </w:tblCellMar>
      </w:tblPr>
      <w:tblGrid>
        <w:gridCol w:w="45"/>
        <w:gridCol w:w="468"/>
        <w:gridCol w:w="9692"/>
      </w:tblGrid>
      <w:tr>
        <w:trPr/>
        <w:tc>
          <w:tcPr>
            <w:tcW w:w="45"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jc w:val="left"/>
              <w:rPr>
                <w:rFonts w:ascii="Times New Roman;Times;Serif" w:hAnsi="Times New Roman;Times;Serif"/>
                <w:color w:val="000000"/>
                <w:sz w:val="12"/>
              </w:rPr>
            </w:pPr>
            <w:r>
              <w:rPr>
                <w:rFonts w:ascii="Times New Roman;Times;Serif" w:hAnsi="Times New Roman;Times;Serif"/>
                <w:color w:val="000000"/>
                <w:sz w:val="12"/>
              </w:rPr>
              <w:t>(1)</w:t>
            </w:r>
          </w:p>
        </w:tc>
        <w:tc>
          <w:tcPr>
            <w:tcW w:w="9692" w:type="dxa"/>
            <w:tcBorders/>
            <w:shd w:fill="auto" w:val="clear"/>
            <w:vAlign w:val="center"/>
          </w:tcPr>
          <w:p>
            <w:pPr>
              <w:pStyle w:val="TableContents"/>
              <w:spacing w:before="0" w:after="283"/>
              <w:jc w:val="left"/>
              <w:rPr>
                <w:rFonts w:ascii="Times New Roman;Times;Serif" w:hAnsi="Times New Roman;Times;Serif"/>
                <w:color w:val="000000"/>
                <w:sz w:val="12"/>
              </w:rPr>
            </w:pPr>
            <w:r>
              <w:rPr>
                <w:rFonts w:ascii="Times New Roman;Times;Serif" w:hAnsi="Times New Roman;Times;Serif"/>
                <w:color w:val="000000"/>
                <w:sz w:val="12"/>
              </w:rPr>
              <w:t>Includes amounts payable to public shareholders who properly redeem their shares in connection with our successful completion of our initial business combination.</w:t>
            </w:r>
          </w:p>
        </w:tc>
      </w:tr>
    </w:tbl>
    <w:tbl>
      <w:tblPr>
        <w:tblW w:w="5000" w:type="pct"/>
        <w:jc w:val="left"/>
        <w:tblInd w:w="0" w:type="dxa"/>
        <w:tblCellMar>
          <w:top w:w="0" w:type="dxa"/>
          <w:left w:w="0" w:type="dxa"/>
          <w:bottom w:w="0" w:type="dxa"/>
          <w:right w:w="0" w:type="dxa"/>
        </w:tblCellMar>
      </w:tblPr>
      <w:tblGrid>
        <w:gridCol w:w="37"/>
        <w:gridCol w:w="184"/>
        <w:gridCol w:w="9984"/>
      </w:tblGrid>
      <w:tr>
        <w:trPr/>
        <w:tc>
          <w:tcPr>
            <w:tcW w:w="37"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jc w:val="left"/>
              <w:rPr>
                <w:rFonts w:ascii="Times New Roman;Times;Serif" w:hAnsi="Times New Roman;Times;Serif"/>
                <w:color w:val="000000"/>
                <w:sz w:val="12"/>
              </w:rPr>
            </w:pPr>
            <w:r>
              <w:rPr>
                <w:rFonts w:ascii="Times New Roman;Times;Serif" w:hAnsi="Times New Roman;Times;Serif"/>
                <w:color w:val="000000"/>
                <w:sz w:val="12"/>
              </w:rPr>
              <w:t>(2)</w:t>
            </w:r>
          </w:p>
        </w:tc>
        <w:tc>
          <w:tcPr>
            <w:tcW w:w="9984" w:type="dxa"/>
            <w:tcBorders/>
            <w:shd w:fill="auto" w:val="clear"/>
            <w:vAlign w:val="center"/>
          </w:tcPr>
          <w:p>
            <w:pPr>
              <w:pStyle w:val="TableContents"/>
              <w:spacing w:before="0" w:after="283"/>
              <w:jc w:val="left"/>
              <w:rPr>
                <w:rFonts w:ascii="Times New Roman;Times;Serif" w:hAnsi="Times New Roman;Times;Serif"/>
                <w:color w:val="000000"/>
                <w:sz w:val="12"/>
              </w:rPr>
            </w:pPr>
            <w:r>
              <w:rPr>
                <w:rFonts w:ascii="Times New Roman;Times;Serif" w:hAnsi="Times New Roman;Times;Serif"/>
                <w:color w:val="000000"/>
                <w:sz w:val="12"/>
              </w:rPr>
              <w:t xml:space="preserve">A portion of the offering expenses have been paid from the proceeds of loans from our sponsor of up to $250,000 as described in this prospectus. As of June 30, 2019, we had borrowed $68,625 under the promissory note with our sponsor to be used for a portion of the expenses of this offering. These loans will be repaid upon completion of this offering out of the $1,000,000 of offering proceeds that has been allocated for the payment of offering expenses (other than underwriting commissions) not held in the trust account. These expenses are estimates only. In the event that offering expenses are less than as set forth in this table, any such amounts will be used for post-closing working capital expenses. In the event that the offering expenses are more than as set forth in this table, we may fund such excess with funds not held in the trust account. </w:t>
            </w:r>
          </w:p>
        </w:tc>
      </w:tr>
    </w:tbl>
    <w:tbl>
      <w:tblPr>
        <w:tblW w:w="5000" w:type="pct"/>
        <w:jc w:val="left"/>
        <w:tblInd w:w="0" w:type="dxa"/>
        <w:tblCellMar>
          <w:top w:w="0" w:type="dxa"/>
          <w:left w:w="0" w:type="dxa"/>
          <w:bottom w:w="0" w:type="dxa"/>
          <w:right w:w="0" w:type="dxa"/>
        </w:tblCellMar>
      </w:tblPr>
      <w:tblGrid>
        <w:gridCol w:w="37"/>
        <w:gridCol w:w="220"/>
        <w:gridCol w:w="9948"/>
      </w:tblGrid>
      <w:tr>
        <w:trPr/>
        <w:tc>
          <w:tcPr>
            <w:tcW w:w="37"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jc w:val="left"/>
              <w:rPr>
                <w:rFonts w:ascii="Times New Roman;Times;Serif" w:hAnsi="Times New Roman;Times;Serif"/>
                <w:color w:val="000000"/>
                <w:sz w:val="12"/>
              </w:rPr>
            </w:pPr>
            <w:r>
              <w:rPr>
                <w:rFonts w:ascii="Times New Roman;Times;Serif" w:hAnsi="Times New Roman;Times;Serif"/>
                <w:color w:val="000000"/>
                <w:sz w:val="12"/>
              </w:rPr>
              <w:t>(3)</w:t>
            </w:r>
          </w:p>
        </w:tc>
        <w:tc>
          <w:tcPr>
            <w:tcW w:w="9948" w:type="dxa"/>
            <w:tcBorders/>
            <w:shd w:fill="auto" w:val="clear"/>
            <w:vAlign w:val="center"/>
          </w:tcPr>
          <w:p>
            <w:pPr>
              <w:pStyle w:val="TableContents"/>
              <w:spacing w:before="0" w:after="283"/>
              <w:jc w:val="left"/>
              <w:rPr>
                <w:rFonts w:ascii="Times New Roman;Times;Serif" w:hAnsi="Times New Roman;Times;Serif"/>
                <w:color w:val="000000"/>
                <w:sz w:val="12"/>
              </w:rPr>
            </w:pPr>
            <w:r>
              <w:rPr>
                <w:rFonts w:ascii="Times New Roman;Times;Serif" w:hAnsi="Times New Roman;Times;Serif"/>
                <w:color w:val="000000"/>
                <w:sz w:val="12"/>
              </w:rPr>
              <w:t xml:space="preserve">The underwriters have agreed to defer underwriting commissions equal to 3.5% of the gross proceeds of this offering. Upon completion of our initial business combination, $8,750,000 (or up to $10,062,500 if the underwriters’ over-allotment option is exercised in full), which constitutes the underwriters’ deferred commissions, will be paid to the underwriters from the funds held in the trust account, and the remaining funds, less amounts used to pay redeeming shareholders, will be released to us and can be used to pay all or a portion of </w:t>
            </w:r>
          </w:p>
        </w:tc>
      </w:tr>
    </w:tbl>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72</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180" w:before="120" w:after="0"/>
        <w:ind w:left="0" w:right="0" w:hanging="0"/>
        <w:jc w:val="left"/>
        <w:rPr>
          <w:rFonts w:ascii="Times New Roman;Times;Serif" w:hAnsi="Times New Roman;Times;Serif"/>
          <w:color w:val="000000"/>
          <w:sz w:val="12"/>
        </w:rPr>
      </w:pPr>
      <w:r>
        <w:rPr>
          <w:rFonts w:ascii="Times New Roman;Times;Serif" w:hAnsi="Times New Roman;Times;Serif"/>
          <w:color w:val="000000"/>
          <w:sz w:val="12"/>
        </w:rPr>
        <w:t>the purchase price of the business or businesses with which our initial business combination occurs or for general corporate purposes, including payment of principal or interest on indebtedness incurred in connection with our initial business combination, to fund the purchases of other companies or for working capital. The underwriters will not be entitled to any interest accrued on the deferred underwriting discounts and commissions.</w:t>
      </w:r>
    </w:p>
    <w:tbl>
      <w:tblPr>
        <w:tblW w:w="5000" w:type="pct"/>
        <w:jc w:val="left"/>
        <w:tblInd w:w="0" w:type="dxa"/>
        <w:tblCellMar>
          <w:top w:w="0" w:type="dxa"/>
          <w:left w:w="0" w:type="dxa"/>
          <w:bottom w:w="0" w:type="dxa"/>
          <w:right w:w="0" w:type="dxa"/>
        </w:tblCellMar>
      </w:tblPr>
      <w:tblGrid>
        <w:gridCol w:w="47"/>
        <w:gridCol w:w="485"/>
        <w:gridCol w:w="9673"/>
      </w:tblGrid>
      <w:tr>
        <w:trPr/>
        <w:tc>
          <w:tcPr>
            <w:tcW w:w="47"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jc w:val="left"/>
              <w:rPr>
                <w:rFonts w:ascii="Times New Roman;Times;Serif" w:hAnsi="Times New Roman;Times;Serif"/>
                <w:color w:val="000000"/>
                <w:sz w:val="12"/>
              </w:rPr>
            </w:pPr>
            <w:r>
              <w:rPr>
                <w:rFonts w:ascii="Times New Roman;Times;Serif" w:hAnsi="Times New Roman;Times;Serif"/>
                <w:color w:val="000000"/>
                <w:sz w:val="12"/>
              </w:rPr>
              <w:t>(4)</w:t>
            </w:r>
          </w:p>
        </w:tc>
        <w:tc>
          <w:tcPr>
            <w:tcW w:w="9673" w:type="dxa"/>
            <w:tcBorders/>
            <w:shd w:fill="auto" w:val="clear"/>
            <w:vAlign w:val="center"/>
          </w:tcPr>
          <w:p>
            <w:pPr>
              <w:pStyle w:val="TableContents"/>
              <w:spacing w:before="0" w:after="283"/>
              <w:jc w:val="left"/>
              <w:rPr>
                <w:rFonts w:ascii="Times New Roman;Times;Serif" w:hAnsi="Times New Roman;Times;Serif"/>
                <w:color w:val="000000"/>
                <w:sz w:val="12"/>
              </w:rPr>
            </w:pPr>
            <w:r>
              <w:rPr>
                <w:rFonts w:ascii="Times New Roman;Times;Serif" w:hAnsi="Times New Roman;Times;Serif"/>
                <w:color w:val="000000"/>
                <w:sz w:val="12"/>
              </w:rPr>
              <w:t xml:space="preserve">Includes organizational and administrative expenses and may include amounts related to above-listed expenses in the event actual amounts exceed estimates. </w:t>
            </w:r>
          </w:p>
        </w:tc>
      </w:tr>
    </w:tbl>
    <w:tbl>
      <w:tblPr>
        <w:tblW w:w="5000" w:type="pct"/>
        <w:jc w:val="left"/>
        <w:tblInd w:w="0" w:type="dxa"/>
        <w:tblCellMar>
          <w:top w:w="0" w:type="dxa"/>
          <w:left w:w="0" w:type="dxa"/>
          <w:bottom w:w="0" w:type="dxa"/>
          <w:right w:w="0" w:type="dxa"/>
        </w:tblCellMar>
      </w:tblPr>
      <w:tblGrid>
        <w:gridCol w:w="37"/>
        <w:gridCol w:w="145"/>
        <w:gridCol w:w="10023"/>
      </w:tblGrid>
      <w:tr>
        <w:trPr/>
        <w:tc>
          <w:tcPr>
            <w:tcW w:w="37"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jc w:val="left"/>
              <w:rPr>
                <w:rFonts w:ascii="Times New Roman;Times;Serif" w:hAnsi="Times New Roman;Times;Serif"/>
                <w:color w:val="000000"/>
                <w:sz w:val="12"/>
              </w:rPr>
            </w:pPr>
            <w:r>
              <w:rPr>
                <w:rFonts w:ascii="Times New Roman;Times;Serif" w:hAnsi="Times New Roman;Times;Serif"/>
                <w:color w:val="000000"/>
                <w:sz w:val="12"/>
              </w:rPr>
              <w:t>(5)</w:t>
            </w:r>
          </w:p>
        </w:tc>
        <w:tc>
          <w:tcPr>
            <w:tcW w:w="10023" w:type="dxa"/>
            <w:tcBorders/>
            <w:shd w:fill="auto" w:val="clear"/>
            <w:vAlign w:val="center"/>
          </w:tcPr>
          <w:p>
            <w:pPr>
              <w:pStyle w:val="TableContents"/>
              <w:spacing w:before="0" w:after="283"/>
              <w:jc w:val="left"/>
              <w:rPr>
                <w:rFonts w:ascii="Times New Roman;Times;Serif" w:hAnsi="Times New Roman;Times;Serif"/>
                <w:color w:val="000000"/>
                <w:sz w:val="12"/>
              </w:rPr>
            </w:pPr>
            <w:r>
              <w:rPr>
                <w:rFonts w:ascii="Times New Roman;Times;Serif" w:hAnsi="Times New Roman;Times;Serif"/>
                <w:color w:val="000000"/>
                <w:sz w:val="12"/>
              </w:rPr>
              <w:t>These expenses are estimates only. Our actual expenditures for some or all of these items may differ from the estimates set forth herein. For example, we may incur greater legal and accounting expenses than our current estimates in connection with negotiating and structuring a business combination based upon the level of complexity of such business combination. In the event we identify an acquisition target in a specific industry subject to specific regulations, we may incur additional expenses associated with legal due diligence and the engagement of special legal counsel. In addition, our staffing needs may vary and as a result, we may engage a number of consultants to assist with legal and financial due diligence. We do not anticipate any change in our intended use of proceeds, other than fluctuations among the current categories of allocated expenses, which fluctuations, to the extent they exceed current estimates for any specific category of expenses, would not be available for our expenses. The amount in the table above does not include interest available to us from the trust account. Based on current interest rates, we would expect approximately $3,500,000 to be available to us from interest earned on the funds held in the trust account over the 12 months following the closing of this offering; however, we can provide no assurances regarding this amount. This estimate assumes an interest rate of 1.40% per annum based upon current yields of securities in which the trust account may be invested. In addition, in order to finance transaction costs in connection with an intended initial business combination, our sponsor or an affiliate of our sponsor or certain of our officers and directors may, but are not obligated to, loan us funds as may be required. Any such loans may be repaid only from funds held outside the trust account or from funds released to us upon completion of our initial business combination. Up to $1,500,000 of such loans may be convertible into warrants at a price of $1.00 per warrant at the option of the lender. The warrants would be identical to the private placement warrants issued to our sponsor. The terms of such loans, if any, have not been determined and no written agreements exist with respect to such loans. We do not expect to seek loans from parties other than our sponsor or an affiliate of our sponsor as we do not believe third parties will be willing to loan such funds and provide a waiver against any and all rights to seek access to funds in our trust account.</w:t>
            </w:r>
          </w:p>
        </w:tc>
      </w:tr>
    </w:tbl>
    <w:tbl>
      <w:tblPr>
        <w:tblW w:w="5000" w:type="pct"/>
        <w:jc w:val="left"/>
        <w:tblInd w:w="0" w:type="dxa"/>
        <w:tblCellMar>
          <w:top w:w="0" w:type="dxa"/>
          <w:left w:w="0" w:type="dxa"/>
          <w:bottom w:w="0" w:type="dxa"/>
          <w:right w:w="0" w:type="dxa"/>
        </w:tblCellMar>
      </w:tblPr>
      <w:tblGrid>
        <w:gridCol w:w="44"/>
        <w:gridCol w:w="458"/>
        <w:gridCol w:w="9703"/>
      </w:tblGrid>
      <w:tr>
        <w:trPr/>
        <w:tc>
          <w:tcPr>
            <w:tcW w:w="44"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jc w:val="left"/>
              <w:rPr>
                <w:rFonts w:ascii="Times New Roman;Times;Serif" w:hAnsi="Times New Roman;Times;Serif"/>
                <w:color w:val="000000"/>
                <w:sz w:val="12"/>
              </w:rPr>
            </w:pPr>
            <w:r>
              <w:rPr>
                <w:rFonts w:ascii="Times New Roman;Times;Serif" w:hAnsi="Times New Roman;Times;Serif"/>
                <w:color w:val="000000"/>
                <w:sz w:val="12"/>
              </w:rPr>
              <w:t>(6)</w:t>
            </w:r>
          </w:p>
        </w:tc>
        <w:tc>
          <w:tcPr>
            <w:tcW w:w="9703" w:type="dxa"/>
            <w:tcBorders/>
            <w:shd w:fill="auto" w:val="clear"/>
            <w:vAlign w:val="center"/>
          </w:tcPr>
          <w:p>
            <w:pPr>
              <w:pStyle w:val="TableContents"/>
              <w:spacing w:before="0" w:after="283"/>
              <w:jc w:val="left"/>
              <w:rPr>
                <w:rFonts w:ascii="Times New Roman;Times;Serif" w:hAnsi="Times New Roman;Times;Serif"/>
                <w:color w:val="000000"/>
                <w:sz w:val="12"/>
              </w:rPr>
            </w:pPr>
            <w:r>
              <w:rPr>
                <w:rFonts w:ascii="Times New Roman;Times;Serif" w:hAnsi="Times New Roman;Times;Serif"/>
                <w:color w:val="000000"/>
                <w:sz w:val="12"/>
              </w:rPr>
              <w:t>Includes estimated amounts that may also be used in connection with our initial business combination to fund a no shop provision and commitment fees for financing.</w:t>
            </w:r>
          </w:p>
        </w:tc>
      </w:tr>
    </w:tbl>
    <w:tbl>
      <w:tblPr>
        <w:tblW w:w="5000" w:type="pct"/>
        <w:jc w:val="left"/>
        <w:tblInd w:w="0" w:type="dxa"/>
        <w:tblCellMar>
          <w:top w:w="0" w:type="dxa"/>
          <w:left w:w="0" w:type="dxa"/>
          <w:bottom w:w="0" w:type="dxa"/>
          <w:right w:w="0" w:type="dxa"/>
        </w:tblCellMar>
      </w:tblPr>
      <w:tblGrid>
        <w:gridCol w:w="37"/>
        <w:gridCol w:w="303"/>
        <w:gridCol w:w="9865"/>
      </w:tblGrid>
      <w:tr>
        <w:trPr/>
        <w:tc>
          <w:tcPr>
            <w:tcW w:w="37"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jc w:val="left"/>
              <w:rPr>
                <w:rFonts w:ascii="Times New Roman;Times;Serif" w:hAnsi="Times New Roman;Times;Serif"/>
                <w:color w:val="000000"/>
                <w:sz w:val="12"/>
              </w:rPr>
            </w:pPr>
            <w:r>
              <w:rPr>
                <w:rFonts w:ascii="Times New Roman;Times;Serif" w:hAnsi="Times New Roman;Times;Serif"/>
                <w:color w:val="000000"/>
                <w:sz w:val="12"/>
              </w:rPr>
              <w:t>(7)</w:t>
            </w:r>
          </w:p>
        </w:tc>
        <w:tc>
          <w:tcPr>
            <w:tcW w:w="9865" w:type="dxa"/>
            <w:tcBorders/>
            <w:shd w:fill="auto" w:val="clear"/>
            <w:vAlign w:val="center"/>
          </w:tcPr>
          <w:p>
            <w:pPr>
              <w:pStyle w:val="TableContents"/>
              <w:spacing w:before="0" w:after="283"/>
              <w:jc w:val="left"/>
              <w:rPr>
                <w:rFonts w:ascii="Times New Roman;Times;Serif" w:hAnsi="Times New Roman;Times;Serif"/>
                <w:color w:val="000000"/>
                <w:sz w:val="12"/>
              </w:rPr>
            </w:pPr>
            <w:r>
              <w:rPr>
                <w:rFonts w:ascii="Times New Roman;Times;Serif" w:hAnsi="Times New Roman;Times;Serif"/>
                <w:color w:val="000000"/>
                <w:sz w:val="12"/>
              </w:rPr>
              <w:t>We will enter into an Administrative Services Agreement pursuant to which we will pay our sponsor up to $20,000 per month for office space, administrative and support services. Upon completion of our initial business combination or our liquidation, we will cease paying these monthly fees.</w:t>
            </w:r>
          </w:p>
        </w:tc>
      </w:tr>
    </w:tbl>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rules of Nasdaq require that our initial business combination occur with one or more target businesses that together have an aggregate fair market value of at least 80% of the assets held in the trust account (excluding the deferred underwriting commissions and taxes payable on the income earned on the trust account) at the time of the agreement to enter into the initial business combination. Of the net proceeds of this offering and the sale of the private placement warrants, $250,000,000 (or $287,500,000 if the underwriters over-allotment option is exercised in full), including $8,750,000 (or up to $10,062,500 if the underwriters over-allotment option is exercised in full) of deferred underwriting commissions, will, upon the consummation of this offering, be placed in a U.S.-based trust account with Continental Stock Transfer &amp; Trust Company acting as trustee. The funds in the trust account will be invested only in U.S. government treasury bills with a maturity of 180 days or less or in money market funds investing solely in U.S. Treasuries and meeting certain conditions under Rule 2a-7 under the Investment Company Act. Based on current interest rates, we estimate that the interest earned on the trust account will be approximately $3,500,000 per year, assuming an interest rate of 1.40% per year. We will not be permitted to withdraw any of the principal or interest held in the trust account except for the withdrawal of interest to pay taxes, if any, the funds held in the trust account will not be released from the trust account until the earliest to occur of: (1) the completion of our initial business combination; (2) the redemption of any public shares properly submitted in connection with a shareholder vote to amend our amended and restated memorandum and articles of association (A) to modify the substance or timing of our obligation to redeem 100% of our public shares if we do not complete our initial business combination within 18 months from the closing of this offering or (B) with respect to any other provision relating to shareholders rights or pre-initial business combination activity; and (3) the redemption of our public shares if we are unable to complete our initial business combination within 18 months from the closing of this offering, subject to applicable law. Based on current interest rates, we expect that interest earned on the trust account will be sufficient to pay taxes.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net proceeds held in the trust account may be used as consideration to pay the sellers of a target business with which we ultimately complete our initial business combination. If our initial business combination is paid for using equity or debt, or not all of the funds released from the trust account are used for payment of the consideration in connection with our initial business combination or the redemption of our public shares, we may apply the balance of the cash released to us from the trust account for general corporate purposes, including for maintenance or expansion of operations of the post-transaction company, the payment of principal or interest due on indebtedness incurred in completing our initial business combination, to fund the purchase of other companies or for working capital.</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73</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believe that amounts not held in trust will be sufficient to pay the costs and expenses to which such proceeds are allocated. This belief is based on the fact that while we may begin preliminary due diligence of a target business in connection with an indication of interest, we intend to undertake in-depth due diligence, depending on the circumstances of the relevant prospective acquisition, only after we have negotiated and signed a letter of intent or other preliminary agreement that addresses the terms of a business combination. However, if our estimate of the costs of undertaking in-depth due diligence and negotiating a business combination is less than the actual amount necessary to do so, we may be required to raise additional capital, the amount, availability and cost of which is currently unascertainable. If we are required to seek additional capital, we could seek such additional capital through loans or additional investments from our sponsor, members of our management team or any of their affiliates, but such persons are not under any obligation to loan funds to, or invest in, us.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We will enter into an Administrative Services Agreement pursuant to which we will pay our sponsor up to $20,000 per month for office space, administrative and support services. Upon completion of our initial business combination or our liquidation, we will cease paying any of these monthly fees. </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Prior to the closing of this offering, our sponsor has agreed to loan us up to $250,000 under an unsecured promissory note to be used for a portion of the expenses of this offering. As of June 30, 2019, we had borrowed $68,625 under the promissory note with our sponsor to be used for a portion of the expenses of this offering. These loans are non-interest bearing, unsecured and are due at the earlier of January 31, 2020 or the closing of this offering. These loans will be repaid upon completion of this offering out of the $1,000,000 of offering proceeds that has been allocated for the payment of offering expenses (other than underwriting commissions) not held in the trust account. </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In addition, in order to finance transaction costs in connection with an intended initial business combination, our sponsor or an affiliate of our sponsor or certain of our officers and directors may, but are not obligated to, loan us funds as may be required. Any such loans may be repaid only from funds held outside the trust account or from funds released to us upon completion of our initial business combination. Up to $1,500,000 of such loans may be convertible into warrants at a price of $1.00 per warrant at the option of the lender. The warrants would be identical to the private placement warrants issued to our sponsor. The terms of such loans, if any, have not been determined and no written agreements exist with respect to such loans. We do not expect to seek loans from parties other than our sponsor or an affiliate of our sponsor as we do not believe third parties will be willing to loan such funds and provide a waiver against any and all rights to seek access to funds in our trust account.</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If we seek shareholder approval of our initial business combination and we do not conduct redemptions in connection with our initial business combination pursuant to the tender offer rules, our sponsor, directors, officers, advisors or any of their affiliates may also purchase shares in privately negotiated transactions or in the open market either prior to or following the completion of our initial business combination. Please see Proposed Business—Permitted purchases of our securities for a description of how such persons will determine from which shareholders to seek to acquire shares. The price per share paid in any such transaction may be different than the amount per share a public shareholder would receive if it elected to redeem its shares in connection with our initial business combination. However, such persons have no current commitments, plans or intentions to engage in such transactions and have not formulated any terms or conditions for any such transactions. If they engage in such transactions, they will be restricted from making any such purchases when they are in possession of any material non-public information not disclosed to the seller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may not redeem our public shares in an amount that would cause our net tangible assets, after payment of the deferred underwriting commissions, to be less than $5,000,001 upon completion of our initial business combination (so that we do not then become subject to the SECs penny stock rules) and the agreement for our initial business combination may require as a closing condition that we have a minimum net worth or a certain amount of cash. If too many public shareholders exercise their redemption rights so that we cannot satisfy the net tangible asset requirement or any net worth or cash requirements, we would not proceed with such redemption of our public shares and the related business combination, and we instead may search for an alternate business combination.</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74</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A public shareholder will be entitled to receive funds from the trust account only upon the earliest to occur of: (1) the completion of our initial business combination; (2) the redemption of any public shares properly submitted in connection with a shareholder vote to amend our amended and restated memorandum and articles of association (A) to modify the substance or timing of our obligation to redeem 100% of our public shares if we do not complete our initial business combination within 18 months from the closing of this offering or (B) with respect to any other provision relating to shareholders rights or pre-initial business combination activity; and (3) the redemption of our public shares if we are unable to complete our initial business combination within 18 months from the closing of this offering, subject to applicable law. In no other circumstances will a shareholder have any right or interest of any kind to or in the trust account.</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Our initial shareholders have entered into a letter agreement with us, pursuant to which they have agreed to waive their redemption rights with respect to their founder shares and any public shares held by them in connection with the completion of our initial business combination. Our directors and officers have also entered into the letter agreement, imposing similar obligations on them with respect to public shares acquired by them, if any. In addition, our initial shareholders have agreed to waive their rights to liquidating distributions from the trust account with respect to their founder shares if we fail to complete our initial business combination within the prescribed time frame. However, if our sponsor or any of our officers, directors or affiliates acquires public shares in or after this offering, they will be entitled to liquidating distributions from the trust account with respect to such public shares if we fail to complete our initial business combination within the prescribed time frame.</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75</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before="240" w:after="0"/>
        <w:ind w:left="0" w:right="0" w:hanging="0"/>
        <w:jc w:val="center"/>
        <w:rPr>
          <w:rFonts w:ascii="Times New Roman;Times;Serif" w:hAnsi="Times New Roman;Times;Serif"/>
          <w:b/>
          <w:color w:val="000000"/>
          <w:sz w:val="17"/>
        </w:rPr>
      </w:pPr>
      <w:bookmarkStart w:id="9" w:name="tDP"/>
      <w:bookmarkEnd w:id="9"/>
      <w:r>
        <w:rPr>
          <w:rFonts w:ascii="Times New Roman;Times;Serif" w:hAnsi="Times New Roman;Times;Serif"/>
          <w:b/>
          <w:color w:val="000000"/>
          <w:sz w:val="17"/>
        </w:rPr>
        <w:t>DIVIDEND POLICY</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have not paid any cash dividends on our ordinary shares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In addition, our board of directors is not currently contemplating and does not anticipate declaring any share dividends in the foreseeable future. Further, if we incur any indebtedness in connection with our initial business combination, our ability to declare dividends may be limited by restrictive covenants we may agree to in connection therewith.</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76</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before="240" w:after="0"/>
        <w:ind w:left="0" w:right="0" w:hanging="0"/>
        <w:jc w:val="center"/>
        <w:rPr>
          <w:rFonts w:ascii="Times New Roman;Times;Serif" w:hAnsi="Times New Roman;Times;Serif"/>
          <w:b/>
          <w:color w:val="000000"/>
          <w:sz w:val="17"/>
        </w:rPr>
      </w:pPr>
      <w:bookmarkStart w:id="10" w:name="tDI"/>
      <w:bookmarkEnd w:id="10"/>
      <w:r>
        <w:rPr>
          <w:rFonts w:ascii="Times New Roman;Times;Serif" w:hAnsi="Times New Roman;Times;Serif"/>
          <w:b/>
          <w:color w:val="000000"/>
          <w:sz w:val="17"/>
        </w:rPr>
        <w:t>DILUTION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difference between the public offering price per Class A ordinary share, assuming no value is attributed to the warrants included in the units we are offering pursuant to this prospectus or the private placement warrants, and the pro forma net tangible book value per Class A ordinary share after this offering constitutes the dilution to investors in this offering. Such calculation does not reflect any dilution associated with the sale and exercise of warrants, including the private placement warrants, which would cause the actual dilution to the public shareholders to be higher, particularly where a cashless exercise is utilized. Net tangible book value per share is determined by dividing our net tangible book value, which is our total tangible assets less total liabilities (including the value of Class A ordinary shares which may be redeemed for cash), by the number of issued and outstanding Class A ordinary shares.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At June 30, 2019, our net tangible book value was a deficiency of $295,281, or approximately $(0.04) per ordinary share. After giving effect to the sale of 25,000,000 Class A ordinary shares included in the units we are offering by this prospectus, the sale of the private placement warrants and the deduction of underwriting commissions and estimated expenses of this offering, our pro forma net tangible book value at June 30, 2019 would have been $5,000,010 or $0.66 per share, representing an immediate increase in net tangible book value (as decreased by the value of 23,726,999 Class A ordinary shares that may be redeemed for cash and assuming no exercise of the underwriters over-allotment option) of 0.70 per share to our initial shareholders as of the date of this prospectus and an immediate dilution of $9.34 per share or 93.40% to our public shareholders not exercising their redemption rights. The dilution to new investors if the underwriters exercise the over-allotment option in full would be an immediate dilution of $9.42 per share or 94.20%. </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following table illustrates the dilution to the public shareholders on a per-share basis, assuming no value is attributed to the warrants included in the units or the private placement warrants:</w:t>
      </w:r>
    </w:p>
    <w:tbl>
      <w:tblPr>
        <w:tblW w:w="5000" w:type="pct"/>
        <w:jc w:val="center"/>
        <w:tblInd w:w="0" w:type="dxa"/>
        <w:tblCellMar>
          <w:top w:w="0" w:type="dxa"/>
          <w:left w:w="0" w:type="dxa"/>
          <w:bottom w:w="0" w:type="dxa"/>
          <w:right w:w="0" w:type="dxa"/>
        </w:tblCellMar>
      </w:tblPr>
      <w:tblGrid>
        <w:gridCol w:w="6357"/>
        <w:gridCol w:w="310"/>
        <w:gridCol w:w="1252"/>
        <w:gridCol w:w="331"/>
        <w:gridCol w:w="310"/>
        <w:gridCol w:w="1252"/>
        <w:gridCol w:w="393"/>
      </w:tblGrid>
      <w:tr>
        <w:trPr/>
        <w:tc>
          <w:tcPr>
            <w:tcW w:w="6357" w:type="dxa"/>
            <w:tcBorders/>
            <w:shd w:fill="auto" w:val="clear"/>
            <w:vAlign w:val="bottom"/>
          </w:tcPr>
          <w:p>
            <w:pPr>
              <w:pStyle w:val="TableContents"/>
              <w:spacing w:before="0" w:after="0"/>
              <w:ind w:left="0" w:right="0" w:firstLine="90"/>
              <w:jc w:val="left"/>
              <w:rPr>
                <w:color w:val="000000"/>
              </w:rPr>
            </w:pPr>
            <w:r>
              <w:rPr>
                <w:color w:val="000000"/>
              </w:rPr>
              <w:t> </w:t>
            </w:r>
          </w:p>
        </w:tc>
        <w:tc>
          <w:tcPr>
            <w:tcW w:w="1893" w:type="dxa"/>
            <w:gridSpan w:val="3"/>
            <w:tcBorders/>
            <w:shd w:fill="auto" w:val="clear"/>
            <w:vAlign w:val="bottom"/>
          </w:tcPr>
          <w:p>
            <w:pPr>
              <w:pStyle w:val="TableContents"/>
              <w:spacing w:before="0" w:after="0"/>
              <w:ind w:left="0" w:right="0" w:firstLine="9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Without</w:t>
              <w:br/>
              <w:t>Over-allotment</w:t>
            </w:r>
          </w:p>
        </w:tc>
        <w:tc>
          <w:tcPr>
            <w:tcW w:w="1955" w:type="dxa"/>
            <w:gridSpan w:val="3"/>
            <w:tcBorders/>
            <w:shd w:fill="auto" w:val="clear"/>
            <w:vAlign w:val="bottom"/>
          </w:tcPr>
          <w:p>
            <w:pPr>
              <w:pStyle w:val="TableContents"/>
              <w:spacing w:before="0" w:after="0"/>
              <w:ind w:left="0" w:right="0" w:hanging="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With</w:t>
              <w:br/>
              <w:t>Over-allotment</w:t>
            </w:r>
          </w:p>
        </w:tc>
      </w:tr>
      <w:tr>
        <w:trPr/>
        <w:tc>
          <w:tcPr>
            <w:tcW w:w="6357" w:type="dxa"/>
            <w:tcBorders/>
            <w:shd w:fill="CCEEFF"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Public offering price</w:t>
            </w:r>
          </w:p>
        </w:tc>
        <w:tc>
          <w:tcPr>
            <w:tcW w:w="310"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w:t>
            </w:r>
          </w:p>
        </w:tc>
        <w:tc>
          <w:tcPr>
            <w:tcW w:w="1252"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10.00</w:t>
            </w:r>
          </w:p>
        </w:tc>
        <w:tc>
          <w:tcPr>
            <w:tcW w:w="331" w:type="dxa"/>
            <w:tcBorders/>
            <w:shd w:fill="CCEEFF" w:val="clear"/>
            <w:vAlign w:val="bottom"/>
          </w:tcPr>
          <w:p>
            <w:pPr>
              <w:pStyle w:val="TableContents"/>
              <w:spacing w:before="0" w:after="0"/>
              <w:ind w:left="0" w:right="0" w:firstLine="75"/>
              <w:jc w:val="left"/>
              <w:rPr>
                <w:color w:val="000000"/>
              </w:rPr>
            </w:pPr>
            <w:r>
              <w:rPr>
                <w:color w:val="000000"/>
              </w:rPr>
              <w:t> </w:t>
            </w:r>
          </w:p>
        </w:tc>
        <w:tc>
          <w:tcPr>
            <w:tcW w:w="310"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w:t>
            </w:r>
          </w:p>
        </w:tc>
        <w:tc>
          <w:tcPr>
            <w:tcW w:w="1252"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10.00</w:t>
            </w:r>
          </w:p>
        </w:tc>
        <w:tc>
          <w:tcPr>
            <w:tcW w:w="393" w:type="dxa"/>
            <w:tcBorders/>
            <w:shd w:fill="CCEEFF" w:val="clear"/>
            <w:vAlign w:val="bottom"/>
          </w:tcPr>
          <w:p>
            <w:pPr>
              <w:pStyle w:val="TableContents"/>
              <w:spacing w:before="0" w:after="0"/>
              <w:ind w:left="0" w:right="0" w:hanging="0"/>
              <w:jc w:val="left"/>
              <w:rPr>
                <w:color w:val="000000"/>
              </w:rPr>
            </w:pPr>
            <w:r>
              <w:rPr>
                <w:color w:val="000000"/>
              </w:rPr>
              <w:t> </w:t>
            </w:r>
          </w:p>
        </w:tc>
      </w:tr>
      <w:tr>
        <w:trPr/>
        <w:tc>
          <w:tcPr>
            <w:tcW w:w="6357" w:type="dxa"/>
            <w:tcBorders/>
            <w:shd w:fill="auto"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Net tangible book deficit before this offering</w:t>
            </w:r>
          </w:p>
        </w:tc>
        <w:tc>
          <w:tcPr>
            <w:tcW w:w="310"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w:t>
            </w:r>
          </w:p>
        </w:tc>
        <w:tc>
          <w:tcPr>
            <w:tcW w:w="1252"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(0.04</w:t>
            </w:r>
          </w:p>
        </w:tc>
        <w:tc>
          <w:tcPr>
            <w:tcW w:w="331" w:type="dxa"/>
            <w:tcBorders/>
            <w:shd w:fill="auto"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w:t>
            </w:r>
          </w:p>
        </w:tc>
        <w:tc>
          <w:tcPr>
            <w:tcW w:w="310"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w:t>
            </w:r>
          </w:p>
        </w:tc>
        <w:tc>
          <w:tcPr>
            <w:tcW w:w="1252"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(0.04</w:t>
            </w:r>
          </w:p>
        </w:tc>
        <w:tc>
          <w:tcPr>
            <w:tcW w:w="393" w:type="dxa"/>
            <w:tcBorders/>
            <w:shd w:fill="auto" w:val="clear"/>
            <w:vAlign w:val="bottom"/>
          </w:tcPr>
          <w:p>
            <w:pPr>
              <w:pStyle w:val="TableContents"/>
              <w:spacing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p>
        </w:tc>
      </w:tr>
      <w:tr>
        <w:trPr/>
        <w:tc>
          <w:tcPr>
            <w:tcW w:w="6357" w:type="dxa"/>
            <w:tcBorders/>
            <w:shd w:fill="CCEEFF"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Increase attributable to public shareholders</w:t>
            </w:r>
          </w:p>
        </w:tc>
        <w:tc>
          <w:tcPr>
            <w:tcW w:w="310" w:type="dxa"/>
            <w:tcBorders/>
            <w:shd w:fill="CCEEFF" w:val="clear"/>
            <w:vAlign w:val="bottom"/>
          </w:tcPr>
          <w:p>
            <w:pPr>
              <w:pStyle w:val="TableContents"/>
              <w:spacing w:before="0" w:after="0"/>
              <w:ind w:left="0" w:right="0" w:hanging="0"/>
              <w:jc w:val="right"/>
              <w:rPr>
                <w:color w:val="000000"/>
                <w:bdr w:val="single" w:sz="8" w:space="1" w:color="000000"/>
              </w:rPr>
            </w:pPr>
            <w:r>
              <w:rPr>
                <w:color w:val="000000"/>
                <w:bdr w:val="single" w:sz="8" w:space="1" w:color="000000"/>
              </w:rPr>
              <w:t> </w:t>
            </w:r>
          </w:p>
        </w:tc>
        <w:tc>
          <w:tcPr>
            <w:tcW w:w="1252"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0.70</w:t>
            </w:r>
          </w:p>
        </w:tc>
        <w:tc>
          <w:tcPr>
            <w:tcW w:w="331" w:type="dxa"/>
            <w:tcBorders/>
            <w:shd w:fill="CCEEFF" w:val="clear"/>
            <w:vAlign w:val="bottom"/>
          </w:tcPr>
          <w:p>
            <w:pPr>
              <w:pStyle w:val="TableContents"/>
              <w:spacing w:before="0" w:after="0"/>
              <w:ind w:left="0" w:right="0" w:firstLine="75"/>
              <w:jc w:val="left"/>
              <w:rPr>
                <w:color w:val="000000"/>
              </w:rPr>
            </w:pPr>
            <w:r>
              <w:rPr>
                <w:color w:val="000000"/>
              </w:rPr>
              <w:t> </w:t>
            </w:r>
          </w:p>
        </w:tc>
        <w:tc>
          <w:tcPr>
            <w:tcW w:w="310" w:type="dxa"/>
            <w:tcBorders/>
            <w:shd w:fill="CCEEFF" w:val="clear"/>
            <w:vAlign w:val="bottom"/>
          </w:tcPr>
          <w:p>
            <w:pPr>
              <w:pStyle w:val="TableContents"/>
              <w:spacing w:before="0" w:after="0"/>
              <w:ind w:left="0" w:right="0" w:hanging="0"/>
              <w:jc w:val="right"/>
              <w:rPr>
                <w:color w:val="000000"/>
                <w:bdr w:val="single" w:sz="8" w:space="1" w:color="000000"/>
              </w:rPr>
            </w:pPr>
            <w:r>
              <w:rPr>
                <w:color w:val="000000"/>
                <w:bdr w:val="single" w:sz="8" w:space="1" w:color="000000"/>
              </w:rPr>
              <w:t> </w:t>
            </w:r>
          </w:p>
        </w:tc>
        <w:tc>
          <w:tcPr>
            <w:tcW w:w="1252"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0.62</w:t>
            </w:r>
          </w:p>
        </w:tc>
        <w:tc>
          <w:tcPr>
            <w:tcW w:w="393" w:type="dxa"/>
            <w:tcBorders/>
            <w:shd w:fill="CCEEFF" w:val="clear"/>
            <w:vAlign w:val="bottom"/>
          </w:tcPr>
          <w:p>
            <w:pPr>
              <w:pStyle w:val="TableContents"/>
              <w:spacing w:before="0" w:after="0"/>
              <w:ind w:left="0" w:right="0" w:firstLine="195"/>
              <w:jc w:val="left"/>
              <w:rPr>
                <w:color w:val="000000"/>
              </w:rPr>
            </w:pPr>
            <w:r>
              <w:rPr>
                <w:color w:val="000000"/>
              </w:rPr>
              <w:t> </w:t>
            </w:r>
          </w:p>
        </w:tc>
      </w:tr>
      <w:tr>
        <w:trPr/>
        <w:tc>
          <w:tcPr>
            <w:tcW w:w="6357" w:type="dxa"/>
            <w:tcBorders/>
            <w:shd w:fill="auto"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Pro forma net tangible book value after this offering and the sale of the private placement warrants</w:t>
            </w:r>
          </w:p>
        </w:tc>
        <w:tc>
          <w:tcPr>
            <w:tcW w:w="310" w:type="dxa"/>
            <w:tcBorders/>
            <w:shd w:fill="auto" w:val="clear"/>
            <w:vAlign w:val="bottom"/>
          </w:tcPr>
          <w:p>
            <w:pPr>
              <w:pStyle w:val="TableContents"/>
              <w:spacing w:before="0" w:after="0"/>
              <w:ind w:left="0" w:right="0" w:hanging="0"/>
              <w:jc w:val="right"/>
              <w:rPr>
                <w:color w:val="000000"/>
                <w:bdr w:val="single" w:sz="8" w:space="1" w:color="000000"/>
              </w:rPr>
            </w:pPr>
            <w:r>
              <w:rPr>
                <w:color w:val="000000"/>
                <w:bdr w:val="single" w:sz="8" w:space="1" w:color="000000"/>
              </w:rPr>
              <w:t> </w:t>
            </w:r>
          </w:p>
        </w:tc>
        <w:tc>
          <w:tcPr>
            <w:tcW w:w="1252"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0.66</w:t>
            </w:r>
          </w:p>
        </w:tc>
        <w:tc>
          <w:tcPr>
            <w:tcW w:w="331" w:type="dxa"/>
            <w:tcBorders/>
            <w:shd w:fill="auto" w:val="clear"/>
            <w:vAlign w:val="bottom"/>
          </w:tcPr>
          <w:p>
            <w:pPr>
              <w:pStyle w:val="TableContents"/>
              <w:spacing w:before="0" w:after="0"/>
              <w:ind w:left="0" w:right="0" w:firstLine="75"/>
              <w:jc w:val="left"/>
              <w:rPr>
                <w:color w:val="000000"/>
              </w:rPr>
            </w:pPr>
            <w:r>
              <w:rPr>
                <w:color w:val="000000"/>
              </w:rPr>
              <w:t> </w:t>
            </w:r>
          </w:p>
        </w:tc>
        <w:tc>
          <w:tcPr>
            <w:tcW w:w="310" w:type="dxa"/>
            <w:tcBorders/>
            <w:shd w:fill="auto" w:val="clear"/>
            <w:vAlign w:val="bottom"/>
          </w:tcPr>
          <w:p>
            <w:pPr>
              <w:pStyle w:val="TableContents"/>
              <w:spacing w:before="0" w:after="0"/>
              <w:ind w:left="0" w:right="0" w:hanging="0"/>
              <w:jc w:val="right"/>
              <w:rPr>
                <w:color w:val="000000"/>
                <w:bdr w:val="single" w:sz="8" w:space="1" w:color="000000"/>
              </w:rPr>
            </w:pPr>
            <w:r>
              <w:rPr>
                <w:color w:val="000000"/>
                <w:bdr w:val="single" w:sz="8" w:space="1" w:color="000000"/>
              </w:rPr>
              <w:t> </w:t>
            </w:r>
          </w:p>
        </w:tc>
        <w:tc>
          <w:tcPr>
            <w:tcW w:w="1252"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0.58</w:t>
            </w:r>
          </w:p>
        </w:tc>
        <w:tc>
          <w:tcPr>
            <w:tcW w:w="393" w:type="dxa"/>
            <w:tcBorders/>
            <w:shd w:fill="auto" w:val="clear"/>
            <w:vAlign w:val="bottom"/>
          </w:tcPr>
          <w:p>
            <w:pPr>
              <w:pStyle w:val="TableContents"/>
              <w:spacing w:before="0" w:after="0"/>
              <w:ind w:left="0" w:right="0" w:hanging="0"/>
              <w:jc w:val="left"/>
              <w:rPr>
                <w:color w:val="000000"/>
              </w:rPr>
            </w:pPr>
            <w:r>
              <w:rPr>
                <w:color w:val="000000"/>
              </w:rPr>
              <w:t> </w:t>
            </w:r>
          </w:p>
        </w:tc>
      </w:tr>
      <w:tr>
        <w:trPr/>
        <w:tc>
          <w:tcPr>
            <w:tcW w:w="6357" w:type="dxa"/>
            <w:tcBorders/>
            <w:shd w:fill="CCEEFF"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Dilution to public shareholders</w:t>
            </w:r>
          </w:p>
        </w:tc>
        <w:tc>
          <w:tcPr>
            <w:tcW w:w="310"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w:t>
            </w:r>
          </w:p>
        </w:tc>
        <w:tc>
          <w:tcPr>
            <w:tcW w:w="1252"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9.34</w:t>
            </w:r>
          </w:p>
        </w:tc>
        <w:tc>
          <w:tcPr>
            <w:tcW w:w="331" w:type="dxa"/>
            <w:tcBorders/>
            <w:shd w:fill="CCEEFF" w:val="clear"/>
            <w:vAlign w:val="bottom"/>
          </w:tcPr>
          <w:p>
            <w:pPr>
              <w:pStyle w:val="TableContents"/>
              <w:spacing w:before="0" w:after="0"/>
              <w:ind w:left="0" w:right="0" w:firstLine="75"/>
              <w:jc w:val="left"/>
              <w:rPr>
                <w:color w:val="000000"/>
              </w:rPr>
            </w:pPr>
            <w:r>
              <w:rPr>
                <w:color w:val="000000"/>
              </w:rPr>
              <w:t> </w:t>
            </w:r>
          </w:p>
        </w:tc>
        <w:tc>
          <w:tcPr>
            <w:tcW w:w="310"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w:t>
            </w:r>
          </w:p>
        </w:tc>
        <w:tc>
          <w:tcPr>
            <w:tcW w:w="1252"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9.42</w:t>
            </w:r>
          </w:p>
        </w:tc>
        <w:tc>
          <w:tcPr>
            <w:tcW w:w="393" w:type="dxa"/>
            <w:tcBorders/>
            <w:shd w:fill="CCEEFF" w:val="clear"/>
            <w:vAlign w:val="bottom"/>
          </w:tcPr>
          <w:p>
            <w:pPr>
              <w:pStyle w:val="TableContents"/>
              <w:spacing w:before="0" w:after="0"/>
              <w:ind w:left="0" w:right="0" w:hanging="0"/>
              <w:jc w:val="left"/>
              <w:rPr>
                <w:color w:val="000000"/>
              </w:rPr>
            </w:pPr>
            <w:r>
              <w:rPr>
                <w:color w:val="000000"/>
              </w:rPr>
              <w:t> </w:t>
            </w:r>
          </w:p>
        </w:tc>
      </w:tr>
      <w:tr>
        <w:trPr/>
        <w:tc>
          <w:tcPr>
            <w:tcW w:w="6357" w:type="dxa"/>
            <w:tcBorders/>
            <w:shd w:fill="auto"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Percentage of dilution to new investors</w:t>
            </w:r>
          </w:p>
        </w:tc>
        <w:tc>
          <w:tcPr>
            <w:tcW w:w="310" w:type="dxa"/>
            <w:tcBorders/>
            <w:shd w:fill="auto" w:val="clear"/>
            <w:vAlign w:val="bottom"/>
          </w:tcPr>
          <w:p>
            <w:pPr>
              <w:pStyle w:val="TableContents"/>
              <w:spacing w:before="0" w:after="0"/>
              <w:ind w:left="0" w:right="0" w:hanging="0"/>
              <w:jc w:val="right"/>
              <w:rPr>
                <w:color w:val="000000"/>
              </w:rPr>
            </w:pPr>
            <w:r>
              <w:rPr>
                <w:color w:val="000000"/>
              </w:rPr>
              <w:t> </w:t>
            </w:r>
          </w:p>
        </w:tc>
        <w:tc>
          <w:tcPr>
            <w:tcW w:w="1252"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93.40</w:t>
            </w:r>
          </w:p>
        </w:tc>
        <w:tc>
          <w:tcPr>
            <w:tcW w:w="331" w:type="dxa"/>
            <w:tcBorders/>
            <w:shd w:fill="auto"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w:t>
            </w:r>
          </w:p>
        </w:tc>
        <w:tc>
          <w:tcPr>
            <w:tcW w:w="310" w:type="dxa"/>
            <w:tcBorders/>
            <w:shd w:fill="auto" w:val="clear"/>
            <w:vAlign w:val="bottom"/>
          </w:tcPr>
          <w:p>
            <w:pPr>
              <w:pStyle w:val="TableContents"/>
              <w:spacing w:before="0" w:after="0"/>
              <w:ind w:left="0" w:right="0" w:hanging="0"/>
              <w:jc w:val="right"/>
              <w:rPr>
                <w:color w:val="000000"/>
              </w:rPr>
            </w:pPr>
            <w:r>
              <w:rPr>
                <w:color w:val="000000"/>
              </w:rPr>
              <w:t> </w:t>
            </w:r>
          </w:p>
        </w:tc>
        <w:tc>
          <w:tcPr>
            <w:tcW w:w="1252"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94.20</w:t>
            </w:r>
          </w:p>
        </w:tc>
        <w:tc>
          <w:tcPr>
            <w:tcW w:w="393" w:type="dxa"/>
            <w:tcBorders/>
            <w:shd w:fill="auto" w:val="clear"/>
            <w:vAlign w:val="bottom"/>
          </w:tcPr>
          <w:p>
            <w:pPr>
              <w:pStyle w:val="TableContents"/>
              <w:spacing w:before="0" w:after="0"/>
              <w:jc w:val="left"/>
              <w:rPr>
                <w:rFonts w:ascii="Times New Roman;Times;Serif" w:hAnsi="Times New Roman;Times;Serif"/>
                <w:color w:val="000000"/>
                <w:sz w:val="17"/>
              </w:rPr>
            </w:pPr>
            <w:r>
              <w:rPr>
                <w:rFonts w:ascii="Times New Roman;Times;Serif" w:hAnsi="Times New Roman;Times;Serif"/>
                <w:color w:val="000000"/>
                <w:sz w:val="17"/>
              </w:rPr>
              <w:t>%</w:t>
            </w:r>
          </w:p>
        </w:tc>
      </w:tr>
    </w:tbl>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For purposes of presentation, we have reduced our pro forma net tangible book value after this offering (assuming no exercise of the underwriters over-allotment option) by $237,269,990 because holders of up to approximately 94.9% of our public shares may redeem their shares for a pro rata share of the aggregate amount then on deposit in the trust account at a per-share redemption price equal to the amount in the trust account as set forth in our tender offer or proxy materials (initially anticipated to be the aggregate amount held in trust two days prior to the commencement of our tender offer or shareholders meeting, including interest (which interest shall be net of taxes payable), divided by the number of Class A ordinary shares sold in this offering). </w:t>
      </w:r>
    </w:p>
    <w:p>
      <w:pPr>
        <w:pStyle w:val="TextBody"/>
        <w:spacing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following table sets forth information with respect to our initial shareholders and the public shareholders:</w:t>
      </w:r>
    </w:p>
    <w:tbl>
      <w:tblPr>
        <w:tblW w:w="5000" w:type="pct"/>
        <w:jc w:val="center"/>
        <w:tblInd w:w="0" w:type="dxa"/>
        <w:tblCellMar>
          <w:top w:w="0" w:type="dxa"/>
          <w:left w:w="0" w:type="dxa"/>
          <w:bottom w:w="0" w:type="dxa"/>
          <w:right w:w="0" w:type="dxa"/>
        </w:tblCellMar>
      </w:tblPr>
      <w:tblGrid>
        <w:gridCol w:w="2519"/>
        <w:gridCol w:w="211"/>
        <w:gridCol w:w="1218"/>
        <w:gridCol w:w="234"/>
        <w:gridCol w:w="211"/>
        <w:gridCol w:w="860"/>
        <w:gridCol w:w="317"/>
        <w:gridCol w:w="254"/>
        <w:gridCol w:w="1381"/>
        <w:gridCol w:w="234"/>
        <w:gridCol w:w="211"/>
        <w:gridCol w:w="860"/>
        <w:gridCol w:w="317"/>
        <w:gridCol w:w="254"/>
        <w:gridCol w:w="906"/>
        <w:gridCol w:w="218"/>
      </w:tblGrid>
      <w:tr>
        <w:trPr/>
        <w:tc>
          <w:tcPr>
            <w:tcW w:w="2519" w:type="dxa"/>
            <w:tcBorders/>
            <w:shd w:fill="auto" w:val="clear"/>
            <w:vAlign w:val="bottom"/>
          </w:tcPr>
          <w:p>
            <w:pPr>
              <w:pStyle w:val="TableContents"/>
              <w:spacing w:before="0" w:after="0"/>
              <w:ind w:left="0" w:right="0" w:firstLine="90"/>
              <w:jc w:val="left"/>
              <w:rPr>
                <w:color w:val="000000"/>
              </w:rPr>
            </w:pPr>
            <w:r>
              <w:rPr>
                <w:color w:val="000000"/>
              </w:rPr>
              <w:t> </w:t>
            </w:r>
          </w:p>
        </w:tc>
        <w:tc>
          <w:tcPr>
            <w:tcW w:w="3051" w:type="dxa"/>
            <w:gridSpan w:val="6"/>
            <w:tcBorders/>
            <w:shd w:fill="auto" w:val="clear"/>
            <w:vAlign w:val="bottom"/>
          </w:tcPr>
          <w:p>
            <w:pPr>
              <w:pStyle w:val="TableContents"/>
              <w:spacing w:before="0" w:after="0"/>
              <w:ind w:left="0" w:right="0" w:firstLine="9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Shares Purchased</w:t>
            </w:r>
          </w:p>
        </w:tc>
        <w:tc>
          <w:tcPr>
            <w:tcW w:w="3257" w:type="dxa"/>
            <w:gridSpan w:val="6"/>
            <w:tcBorders/>
            <w:shd w:fill="auto" w:val="clear"/>
            <w:vAlign w:val="bottom"/>
          </w:tcPr>
          <w:p>
            <w:pPr>
              <w:pStyle w:val="TableContents"/>
              <w:spacing w:before="0" w:after="0"/>
              <w:ind w:left="0" w:right="0" w:firstLine="9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Total Consideration</w:t>
            </w:r>
          </w:p>
        </w:tc>
        <w:tc>
          <w:tcPr>
            <w:tcW w:w="1378" w:type="dxa"/>
            <w:gridSpan w:val="3"/>
            <w:tcBorders/>
            <w:shd w:fill="auto" w:val="clear"/>
            <w:vAlign w:val="bottom"/>
          </w:tcPr>
          <w:p>
            <w:pPr>
              <w:pStyle w:val="TableContents"/>
              <w:spacing w:before="0" w:after="0"/>
              <w:ind w:left="0" w:right="0" w:hanging="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Average Price</w:t>
              <w:br/>
              <w:t>per Share</w:t>
            </w:r>
          </w:p>
        </w:tc>
      </w:tr>
      <w:tr>
        <w:trPr/>
        <w:tc>
          <w:tcPr>
            <w:tcW w:w="2519" w:type="dxa"/>
            <w:tcBorders/>
            <w:shd w:fill="auto" w:val="clear"/>
            <w:vAlign w:val="bottom"/>
          </w:tcPr>
          <w:p>
            <w:pPr>
              <w:pStyle w:val="TableContents"/>
              <w:spacing w:before="0" w:after="0"/>
              <w:ind w:left="0" w:right="0" w:firstLine="90"/>
              <w:jc w:val="left"/>
              <w:rPr>
                <w:color w:val="000000"/>
              </w:rPr>
            </w:pPr>
            <w:r>
              <w:rPr>
                <w:color w:val="000000"/>
              </w:rPr>
              <w:t> </w:t>
            </w:r>
          </w:p>
        </w:tc>
        <w:tc>
          <w:tcPr>
            <w:tcW w:w="1663" w:type="dxa"/>
            <w:gridSpan w:val="3"/>
            <w:tcBorders/>
            <w:shd w:fill="auto" w:val="clear"/>
            <w:vAlign w:val="bottom"/>
          </w:tcPr>
          <w:p>
            <w:pPr>
              <w:pStyle w:val="TableContents"/>
              <w:spacing w:before="0" w:after="0"/>
              <w:ind w:left="0" w:right="0" w:firstLine="9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Number</w:t>
            </w:r>
          </w:p>
        </w:tc>
        <w:tc>
          <w:tcPr>
            <w:tcW w:w="1388" w:type="dxa"/>
            <w:gridSpan w:val="3"/>
            <w:tcBorders/>
            <w:shd w:fill="auto" w:val="clear"/>
            <w:vAlign w:val="bottom"/>
          </w:tcPr>
          <w:p>
            <w:pPr>
              <w:pStyle w:val="TableContents"/>
              <w:spacing w:before="0" w:after="0"/>
              <w:ind w:left="0" w:right="0" w:firstLine="9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Percentage</w:t>
            </w:r>
          </w:p>
        </w:tc>
        <w:tc>
          <w:tcPr>
            <w:tcW w:w="1869" w:type="dxa"/>
            <w:gridSpan w:val="3"/>
            <w:tcBorders/>
            <w:shd w:fill="auto" w:val="clear"/>
            <w:vAlign w:val="bottom"/>
          </w:tcPr>
          <w:p>
            <w:pPr>
              <w:pStyle w:val="TableContents"/>
              <w:spacing w:before="0" w:after="0"/>
              <w:ind w:left="0" w:right="0" w:firstLine="9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Amount</w:t>
            </w:r>
          </w:p>
        </w:tc>
        <w:tc>
          <w:tcPr>
            <w:tcW w:w="1388" w:type="dxa"/>
            <w:gridSpan w:val="3"/>
            <w:tcBorders/>
            <w:shd w:fill="auto" w:val="clear"/>
            <w:vAlign w:val="bottom"/>
          </w:tcPr>
          <w:p>
            <w:pPr>
              <w:pStyle w:val="TableContents"/>
              <w:spacing w:before="0" w:after="0"/>
              <w:ind w:left="0" w:right="0" w:hanging="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Percentage</w:t>
            </w:r>
          </w:p>
        </w:tc>
        <w:tc>
          <w:tcPr>
            <w:tcW w:w="1378" w:type="dxa"/>
            <w:gridSpan w:val="3"/>
            <w:tcBorders/>
            <w:shd w:fill="auto" w:val="clear"/>
            <w:vAlign w:val="bottom"/>
          </w:tcPr>
          <w:p>
            <w:pPr>
              <w:pStyle w:val="TableContents"/>
              <w:spacing w:before="0" w:after="0"/>
              <w:ind w:left="0" w:right="0" w:hanging="0"/>
              <w:jc w:val="center"/>
              <w:rPr>
                <w:color w:val="000000"/>
              </w:rPr>
            </w:pPr>
            <w:r>
              <w:rPr>
                <w:color w:val="000000"/>
              </w:rPr>
              <w:t> </w:t>
            </w:r>
          </w:p>
        </w:tc>
      </w:tr>
      <w:tr>
        <w:trPr/>
        <w:tc>
          <w:tcPr>
            <w:tcW w:w="2519" w:type="dxa"/>
            <w:tcBorders/>
            <w:shd w:fill="CCEEFF" w:val="clear"/>
            <w:vAlign w:val="bottom"/>
          </w:tcPr>
          <w:p>
            <w:pPr>
              <w:pStyle w:val="TableContents"/>
              <w:spacing w:lineRule="auto" w:line="240"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Initial Shareholders(1)</w:t>
            </w:r>
          </w:p>
        </w:tc>
        <w:tc>
          <w:tcPr>
            <w:tcW w:w="211" w:type="dxa"/>
            <w:tcBorders/>
            <w:shd w:fill="CCEEFF" w:val="clear"/>
            <w:vAlign w:val="bottom"/>
          </w:tcPr>
          <w:p>
            <w:pPr>
              <w:pStyle w:val="TableContents"/>
              <w:spacing w:before="0" w:after="0"/>
              <w:ind w:left="0" w:right="0" w:hanging="0"/>
              <w:jc w:val="right"/>
              <w:rPr>
                <w:color w:val="000000"/>
              </w:rPr>
            </w:pPr>
            <w:r>
              <w:rPr>
                <w:color w:val="000000"/>
              </w:rPr>
              <w:t> </w:t>
            </w:r>
          </w:p>
        </w:tc>
        <w:tc>
          <w:tcPr>
            <w:tcW w:w="1218"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6,250,000</w:t>
            </w:r>
          </w:p>
        </w:tc>
        <w:tc>
          <w:tcPr>
            <w:tcW w:w="234" w:type="dxa"/>
            <w:tcBorders/>
            <w:shd w:fill="CCEEFF" w:val="clear"/>
            <w:vAlign w:val="bottom"/>
          </w:tcPr>
          <w:p>
            <w:pPr>
              <w:pStyle w:val="TableContents"/>
              <w:spacing w:before="0" w:after="0"/>
              <w:ind w:left="0" w:right="0" w:firstLine="75"/>
              <w:jc w:val="left"/>
              <w:rPr>
                <w:color w:val="000000"/>
              </w:rPr>
            </w:pPr>
            <w:r>
              <w:rPr>
                <w:color w:val="000000"/>
              </w:rPr>
              <w:t> </w:t>
            </w:r>
          </w:p>
        </w:tc>
        <w:tc>
          <w:tcPr>
            <w:tcW w:w="211" w:type="dxa"/>
            <w:tcBorders/>
            <w:shd w:fill="CCEEFF" w:val="clear"/>
            <w:vAlign w:val="bottom"/>
          </w:tcPr>
          <w:p>
            <w:pPr>
              <w:pStyle w:val="TableContents"/>
              <w:spacing w:before="0" w:after="0"/>
              <w:ind w:left="0" w:right="0" w:hanging="0"/>
              <w:jc w:val="right"/>
              <w:rPr>
                <w:color w:val="000000"/>
              </w:rPr>
            </w:pPr>
            <w:r>
              <w:rPr>
                <w:color w:val="000000"/>
              </w:rPr>
              <w:t> </w:t>
            </w:r>
          </w:p>
        </w:tc>
        <w:tc>
          <w:tcPr>
            <w:tcW w:w="860"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20.00</w:t>
            </w:r>
          </w:p>
        </w:tc>
        <w:tc>
          <w:tcPr>
            <w:tcW w:w="317" w:type="dxa"/>
            <w:tcBorders/>
            <w:shd w:fill="CCEEFF"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w:t>
            </w:r>
          </w:p>
        </w:tc>
        <w:tc>
          <w:tcPr>
            <w:tcW w:w="254"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w:t>
            </w:r>
          </w:p>
        </w:tc>
        <w:tc>
          <w:tcPr>
            <w:tcW w:w="1381"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25,000</w:t>
            </w:r>
          </w:p>
        </w:tc>
        <w:tc>
          <w:tcPr>
            <w:tcW w:w="234" w:type="dxa"/>
            <w:tcBorders/>
            <w:shd w:fill="CCEEFF" w:val="clear"/>
            <w:vAlign w:val="bottom"/>
          </w:tcPr>
          <w:p>
            <w:pPr>
              <w:pStyle w:val="TableContents"/>
              <w:spacing w:before="0" w:after="0"/>
              <w:ind w:left="0" w:right="0" w:firstLine="75"/>
              <w:jc w:val="left"/>
              <w:rPr>
                <w:color w:val="000000"/>
              </w:rPr>
            </w:pPr>
            <w:r>
              <w:rPr>
                <w:color w:val="000000"/>
              </w:rPr>
              <w:t> </w:t>
            </w:r>
          </w:p>
        </w:tc>
        <w:tc>
          <w:tcPr>
            <w:tcW w:w="211" w:type="dxa"/>
            <w:tcBorders/>
            <w:shd w:fill="CCEEFF" w:val="clear"/>
            <w:vAlign w:val="bottom"/>
          </w:tcPr>
          <w:p>
            <w:pPr>
              <w:pStyle w:val="TableContents"/>
              <w:spacing w:before="0" w:after="0"/>
              <w:ind w:left="0" w:right="0" w:hanging="0"/>
              <w:jc w:val="right"/>
              <w:rPr>
                <w:color w:val="000000"/>
              </w:rPr>
            </w:pPr>
            <w:r>
              <w:rPr>
                <w:color w:val="000000"/>
              </w:rPr>
              <w:t> </w:t>
            </w:r>
          </w:p>
        </w:tc>
        <w:tc>
          <w:tcPr>
            <w:tcW w:w="860"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0.01</w:t>
            </w:r>
          </w:p>
        </w:tc>
        <w:tc>
          <w:tcPr>
            <w:tcW w:w="317" w:type="dxa"/>
            <w:tcBorders/>
            <w:shd w:fill="CCEEFF"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w:t>
            </w:r>
          </w:p>
        </w:tc>
        <w:tc>
          <w:tcPr>
            <w:tcW w:w="254"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w:t>
            </w:r>
          </w:p>
        </w:tc>
        <w:tc>
          <w:tcPr>
            <w:tcW w:w="906"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0.004</w:t>
            </w:r>
          </w:p>
        </w:tc>
        <w:tc>
          <w:tcPr>
            <w:tcW w:w="218" w:type="dxa"/>
            <w:tcBorders/>
            <w:shd w:fill="CCEEFF" w:val="clear"/>
            <w:vAlign w:val="bottom"/>
          </w:tcPr>
          <w:p>
            <w:pPr>
              <w:pStyle w:val="TableContents"/>
              <w:spacing w:before="0" w:after="0"/>
              <w:ind w:left="0" w:right="0" w:hanging="0"/>
              <w:jc w:val="left"/>
              <w:rPr>
                <w:color w:val="000000"/>
              </w:rPr>
            </w:pPr>
            <w:r>
              <w:rPr>
                <w:color w:val="000000"/>
              </w:rPr>
              <w:t> </w:t>
            </w:r>
          </w:p>
        </w:tc>
      </w:tr>
      <w:tr>
        <w:trPr/>
        <w:tc>
          <w:tcPr>
            <w:tcW w:w="2519" w:type="dxa"/>
            <w:tcBorders/>
            <w:shd w:fill="auto"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Public Shareholders</w:t>
            </w:r>
          </w:p>
        </w:tc>
        <w:tc>
          <w:tcPr>
            <w:tcW w:w="211" w:type="dxa"/>
            <w:tcBorders/>
            <w:shd w:fill="auto" w:val="clear"/>
            <w:vAlign w:val="bottom"/>
          </w:tcPr>
          <w:p>
            <w:pPr>
              <w:pStyle w:val="TableContents"/>
              <w:spacing w:before="0" w:after="0"/>
              <w:ind w:left="0" w:right="0" w:hanging="0"/>
              <w:jc w:val="right"/>
              <w:rPr>
                <w:color w:val="000000"/>
                <w:bdr w:val="single" w:sz="8" w:space="1" w:color="000000"/>
              </w:rPr>
            </w:pPr>
            <w:r>
              <w:rPr>
                <w:color w:val="000000"/>
                <w:bdr w:val="single" w:sz="8" w:space="1" w:color="000000"/>
              </w:rPr>
              <w:t> </w:t>
            </w:r>
          </w:p>
        </w:tc>
        <w:tc>
          <w:tcPr>
            <w:tcW w:w="1218"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25,000,000</w:t>
            </w:r>
          </w:p>
        </w:tc>
        <w:tc>
          <w:tcPr>
            <w:tcW w:w="234" w:type="dxa"/>
            <w:tcBorders/>
            <w:shd w:fill="auto" w:val="clear"/>
            <w:vAlign w:val="bottom"/>
          </w:tcPr>
          <w:p>
            <w:pPr>
              <w:pStyle w:val="TableContents"/>
              <w:spacing w:before="0" w:after="0"/>
              <w:ind w:left="0" w:right="0" w:firstLine="75"/>
              <w:jc w:val="left"/>
              <w:rPr>
                <w:color w:val="000000"/>
              </w:rPr>
            </w:pPr>
            <w:r>
              <w:rPr>
                <w:color w:val="000000"/>
              </w:rPr>
              <w:t> </w:t>
            </w:r>
          </w:p>
        </w:tc>
        <w:tc>
          <w:tcPr>
            <w:tcW w:w="211" w:type="dxa"/>
            <w:tcBorders/>
            <w:shd w:fill="auto" w:val="clear"/>
            <w:vAlign w:val="bottom"/>
          </w:tcPr>
          <w:p>
            <w:pPr>
              <w:pStyle w:val="TableContents"/>
              <w:spacing w:before="0" w:after="0"/>
              <w:ind w:left="0" w:right="0" w:hanging="0"/>
              <w:jc w:val="right"/>
              <w:rPr>
                <w:color w:val="000000"/>
                <w:bdr w:val="single" w:sz="8" w:space="1" w:color="000000"/>
              </w:rPr>
            </w:pPr>
            <w:r>
              <w:rPr>
                <w:color w:val="000000"/>
                <w:bdr w:val="single" w:sz="8" w:space="1" w:color="000000"/>
              </w:rPr>
              <w:t> </w:t>
            </w:r>
          </w:p>
        </w:tc>
        <w:tc>
          <w:tcPr>
            <w:tcW w:w="860"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80.00</w:t>
            </w:r>
          </w:p>
        </w:tc>
        <w:tc>
          <w:tcPr>
            <w:tcW w:w="317" w:type="dxa"/>
            <w:tcBorders/>
            <w:shd w:fill="auto"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w:t>
            </w:r>
          </w:p>
        </w:tc>
        <w:tc>
          <w:tcPr>
            <w:tcW w:w="254" w:type="dxa"/>
            <w:tcBorders/>
            <w:shd w:fill="auto" w:val="clear"/>
            <w:vAlign w:val="bottom"/>
          </w:tcPr>
          <w:p>
            <w:pPr>
              <w:pStyle w:val="TableContents"/>
              <w:spacing w:before="0" w:after="0"/>
              <w:ind w:left="0" w:right="0" w:hanging="0"/>
              <w:jc w:val="right"/>
              <w:rPr>
                <w:color w:val="000000"/>
                <w:bdr w:val="single" w:sz="8" w:space="1" w:color="000000"/>
              </w:rPr>
            </w:pPr>
            <w:r>
              <w:rPr>
                <w:color w:val="000000"/>
                <w:bdr w:val="single" w:sz="8" w:space="1" w:color="000000"/>
              </w:rPr>
              <w:t> </w:t>
            </w:r>
          </w:p>
        </w:tc>
        <w:tc>
          <w:tcPr>
            <w:tcW w:w="1381"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250,000,000</w:t>
            </w:r>
          </w:p>
        </w:tc>
        <w:tc>
          <w:tcPr>
            <w:tcW w:w="234" w:type="dxa"/>
            <w:tcBorders/>
            <w:shd w:fill="auto" w:val="clear"/>
            <w:vAlign w:val="bottom"/>
          </w:tcPr>
          <w:p>
            <w:pPr>
              <w:pStyle w:val="TableContents"/>
              <w:spacing w:before="0" w:after="0"/>
              <w:ind w:left="0" w:right="0" w:firstLine="75"/>
              <w:jc w:val="left"/>
              <w:rPr>
                <w:color w:val="000000"/>
              </w:rPr>
            </w:pPr>
            <w:r>
              <w:rPr>
                <w:color w:val="000000"/>
              </w:rPr>
              <w:t> </w:t>
            </w:r>
          </w:p>
        </w:tc>
        <w:tc>
          <w:tcPr>
            <w:tcW w:w="211" w:type="dxa"/>
            <w:tcBorders/>
            <w:shd w:fill="auto" w:val="clear"/>
            <w:vAlign w:val="bottom"/>
          </w:tcPr>
          <w:p>
            <w:pPr>
              <w:pStyle w:val="TableContents"/>
              <w:spacing w:before="0" w:after="0"/>
              <w:ind w:left="0" w:right="0" w:hanging="0"/>
              <w:jc w:val="right"/>
              <w:rPr>
                <w:color w:val="000000"/>
                <w:bdr w:val="single" w:sz="8" w:space="1" w:color="000000"/>
              </w:rPr>
            </w:pPr>
            <w:r>
              <w:rPr>
                <w:color w:val="000000"/>
                <w:bdr w:val="single" w:sz="8" w:space="1" w:color="000000"/>
              </w:rPr>
              <w:t> </w:t>
            </w:r>
          </w:p>
        </w:tc>
        <w:tc>
          <w:tcPr>
            <w:tcW w:w="860"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99.99</w:t>
            </w:r>
          </w:p>
        </w:tc>
        <w:tc>
          <w:tcPr>
            <w:tcW w:w="317" w:type="dxa"/>
            <w:tcBorders/>
            <w:shd w:fill="auto"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w:t>
            </w:r>
          </w:p>
        </w:tc>
        <w:tc>
          <w:tcPr>
            <w:tcW w:w="254" w:type="dxa"/>
            <w:tcBorders/>
            <w:shd w:fill="auto" w:val="clear"/>
            <w:vAlign w:val="bottom"/>
          </w:tcPr>
          <w:p>
            <w:pPr>
              <w:pStyle w:val="TableContents"/>
              <w:spacing w:before="0" w:after="0"/>
              <w:ind w:left="0" w:right="0" w:hanging="0"/>
              <w:jc w:val="right"/>
              <w:rPr>
                <w:color w:val="000000"/>
                <w:bdr w:val="single" w:sz="8" w:space="1" w:color="000000"/>
              </w:rPr>
            </w:pPr>
            <w:r>
              <w:rPr>
                <w:color w:val="000000"/>
                <w:bdr w:val="single" w:sz="8" w:space="1" w:color="000000"/>
              </w:rPr>
              <w:t> </w:t>
            </w:r>
          </w:p>
        </w:tc>
        <w:tc>
          <w:tcPr>
            <w:tcW w:w="906"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10.00</w:t>
            </w:r>
          </w:p>
        </w:tc>
        <w:tc>
          <w:tcPr>
            <w:tcW w:w="218" w:type="dxa"/>
            <w:tcBorders/>
            <w:shd w:fill="auto" w:val="clear"/>
            <w:vAlign w:val="bottom"/>
          </w:tcPr>
          <w:p>
            <w:pPr>
              <w:pStyle w:val="TableContents"/>
              <w:spacing w:before="0" w:after="0"/>
              <w:ind w:left="0" w:right="0" w:hanging="0"/>
              <w:jc w:val="left"/>
              <w:rPr>
                <w:color w:val="000000"/>
              </w:rPr>
            </w:pPr>
            <w:r>
              <w:rPr>
                <w:color w:val="000000"/>
              </w:rPr>
              <w:t> </w:t>
            </w:r>
          </w:p>
        </w:tc>
      </w:tr>
      <w:tr>
        <w:trPr/>
        <w:tc>
          <w:tcPr>
            <w:tcW w:w="2519" w:type="dxa"/>
            <w:tcBorders/>
            <w:shd w:fill="CCEEFF" w:val="clear"/>
            <w:vAlign w:val="bottom"/>
          </w:tcPr>
          <w:p>
            <w:pPr>
              <w:pStyle w:val="TableContents"/>
              <w:spacing w:before="0" w:after="0"/>
              <w:ind w:left="0" w:right="0" w:firstLine="75"/>
              <w:jc w:val="left"/>
              <w:rPr>
                <w:color w:val="000000"/>
              </w:rPr>
            </w:pPr>
            <w:r>
              <w:rPr>
                <w:color w:val="000000"/>
              </w:rPr>
              <w:t> </w:t>
            </w:r>
          </w:p>
        </w:tc>
        <w:tc>
          <w:tcPr>
            <w:tcW w:w="211" w:type="dxa"/>
            <w:tcBorders/>
            <w:shd w:fill="CCEEFF" w:val="clear"/>
            <w:vAlign w:val="bottom"/>
          </w:tcPr>
          <w:p>
            <w:pPr>
              <w:pStyle w:val="TableContents"/>
              <w:spacing w:before="0" w:after="0"/>
              <w:ind w:left="0" w:right="0" w:hanging="0"/>
              <w:jc w:val="right"/>
              <w:rPr>
                <w:color w:val="000000"/>
                <w:bdr w:val="double" w:sz="8" w:space="1" w:color="000000"/>
              </w:rPr>
            </w:pPr>
            <w:r>
              <w:rPr>
                <w:color w:val="000000"/>
                <w:bdr w:val="double" w:sz="8" w:space="1" w:color="000000"/>
              </w:rPr>
              <w:t> </w:t>
            </w:r>
          </w:p>
        </w:tc>
        <w:tc>
          <w:tcPr>
            <w:tcW w:w="1218"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31,250,000</w:t>
            </w:r>
          </w:p>
        </w:tc>
        <w:tc>
          <w:tcPr>
            <w:tcW w:w="234" w:type="dxa"/>
            <w:tcBorders/>
            <w:shd w:fill="CCEEFF" w:val="clear"/>
            <w:vAlign w:val="bottom"/>
          </w:tcPr>
          <w:p>
            <w:pPr>
              <w:pStyle w:val="TableContents"/>
              <w:spacing w:before="0" w:after="0"/>
              <w:ind w:left="0" w:right="0" w:firstLine="75"/>
              <w:jc w:val="left"/>
              <w:rPr>
                <w:color w:val="000000"/>
              </w:rPr>
            </w:pPr>
            <w:r>
              <w:rPr>
                <w:color w:val="000000"/>
              </w:rPr>
              <w:t> </w:t>
            </w:r>
          </w:p>
        </w:tc>
        <w:tc>
          <w:tcPr>
            <w:tcW w:w="211" w:type="dxa"/>
            <w:tcBorders/>
            <w:shd w:fill="CCEEFF" w:val="clear"/>
            <w:vAlign w:val="bottom"/>
          </w:tcPr>
          <w:p>
            <w:pPr>
              <w:pStyle w:val="TableContents"/>
              <w:spacing w:before="0" w:after="0"/>
              <w:ind w:left="0" w:right="0" w:hanging="0"/>
              <w:jc w:val="right"/>
              <w:rPr>
                <w:color w:val="000000"/>
                <w:bdr w:val="double" w:sz="8" w:space="1" w:color="000000"/>
              </w:rPr>
            </w:pPr>
            <w:r>
              <w:rPr>
                <w:color w:val="000000"/>
                <w:bdr w:val="double" w:sz="8" w:space="1" w:color="000000"/>
              </w:rPr>
              <w:t> </w:t>
            </w:r>
          </w:p>
        </w:tc>
        <w:tc>
          <w:tcPr>
            <w:tcW w:w="860"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100.00</w:t>
            </w:r>
          </w:p>
        </w:tc>
        <w:tc>
          <w:tcPr>
            <w:tcW w:w="317" w:type="dxa"/>
            <w:tcBorders/>
            <w:shd w:fill="CCEEFF"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w:t>
            </w:r>
          </w:p>
        </w:tc>
        <w:tc>
          <w:tcPr>
            <w:tcW w:w="254"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w:t>
            </w:r>
          </w:p>
        </w:tc>
        <w:tc>
          <w:tcPr>
            <w:tcW w:w="1381"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250,025,000</w:t>
            </w:r>
          </w:p>
        </w:tc>
        <w:tc>
          <w:tcPr>
            <w:tcW w:w="234" w:type="dxa"/>
            <w:tcBorders/>
            <w:shd w:fill="CCEEFF" w:val="clear"/>
            <w:vAlign w:val="bottom"/>
          </w:tcPr>
          <w:p>
            <w:pPr>
              <w:pStyle w:val="TableContents"/>
              <w:spacing w:before="0" w:after="0"/>
              <w:ind w:left="0" w:right="0" w:firstLine="75"/>
              <w:jc w:val="left"/>
              <w:rPr>
                <w:color w:val="000000"/>
              </w:rPr>
            </w:pPr>
            <w:r>
              <w:rPr>
                <w:color w:val="000000"/>
              </w:rPr>
              <w:t> </w:t>
            </w:r>
          </w:p>
        </w:tc>
        <w:tc>
          <w:tcPr>
            <w:tcW w:w="211" w:type="dxa"/>
            <w:tcBorders/>
            <w:shd w:fill="CCEEFF" w:val="clear"/>
            <w:vAlign w:val="bottom"/>
          </w:tcPr>
          <w:p>
            <w:pPr>
              <w:pStyle w:val="TableContents"/>
              <w:spacing w:before="0" w:after="0"/>
              <w:ind w:left="0" w:right="0" w:hanging="0"/>
              <w:jc w:val="right"/>
              <w:rPr>
                <w:color w:val="000000"/>
                <w:bdr w:val="double" w:sz="8" w:space="1" w:color="000000"/>
              </w:rPr>
            </w:pPr>
            <w:r>
              <w:rPr>
                <w:color w:val="000000"/>
                <w:bdr w:val="double" w:sz="8" w:space="1" w:color="000000"/>
              </w:rPr>
              <w:t> </w:t>
            </w:r>
          </w:p>
        </w:tc>
        <w:tc>
          <w:tcPr>
            <w:tcW w:w="860"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100.00</w:t>
            </w:r>
          </w:p>
        </w:tc>
        <w:tc>
          <w:tcPr>
            <w:tcW w:w="317" w:type="dxa"/>
            <w:tcBorders/>
            <w:shd w:fill="CCEEFF"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w:t>
            </w:r>
          </w:p>
        </w:tc>
        <w:tc>
          <w:tcPr>
            <w:tcW w:w="254" w:type="dxa"/>
            <w:tcBorders/>
            <w:shd w:fill="CCEEFF" w:val="clear"/>
            <w:vAlign w:val="bottom"/>
          </w:tcPr>
          <w:p>
            <w:pPr>
              <w:pStyle w:val="TableContents"/>
              <w:spacing w:before="0" w:after="0"/>
              <w:ind w:left="0" w:right="0" w:hanging="0"/>
              <w:jc w:val="right"/>
              <w:rPr>
                <w:color w:val="000000"/>
                <w:bdr w:val="double" w:sz="8" w:space="1" w:color="000000"/>
              </w:rPr>
            </w:pPr>
            <w:r>
              <w:rPr>
                <w:color w:val="000000"/>
                <w:bdr w:val="double" w:sz="8" w:space="1" w:color="000000"/>
              </w:rPr>
              <w:t> </w:t>
            </w:r>
          </w:p>
        </w:tc>
        <w:tc>
          <w:tcPr>
            <w:tcW w:w="906" w:type="dxa"/>
            <w:tcBorders/>
            <w:shd w:fill="CCEEFF" w:val="clear"/>
            <w:vAlign w:val="bottom"/>
          </w:tcPr>
          <w:p>
            <w:pPr>
              <w:pStyle w:val="TableContents"/>
              <w:spacing w:before="0" w:after="0"/>
              <w:ind w:left="0" w:right="0" w:hanging="0"/>
              <w:jc w:val="right"/>
              <w:rPr>
                <w:color w:val="000000"/>
                <w:bdr w:val="double" w:sz="8" w:space="1" w:color="000000"/>
              </w:rPr>
            </w:pPr>
            <w:r>
              <w:rPr>
                <w:color w:val="000000"/>
                <w:bdr w:val="double" w:sz="8" w:space="1" w:color="000000"/>
              </w:rPr>
              <w:t> </w:t>
            </w:r>
          </w:p>
        </w:tc>
        <w:tc>
          <w:tcPr>
            <w:tcW w:w="218" w:type="dxa"/>
            <w:tcBorders/>
            <w:shd w:fill="CCEEFF" w:val="clear"/>
            <w:vAlign w:val="bottom"/>
          </w:tcPr>
          <w:p>
            <w:pPr>
              <w:pStyle w:val="TableContents"/>
              <w:spacing w:before="0" w:after="0"/>
              <w:jc w:val="left"/>
              <w:rPr>
                <w:color w:val="000000"/>
              </w:rPr>
            </w:pPr>
            <w:r>
              <w:rPr>
                <w:color w:val="000000"/>
              </w:rPr>
              <w:t> </w:t>
            </w:r>
          </w:p>
        </w:tc>
      </w:tr>
    </w:tbl>
    <w:tbl>
      <w:tblPr>
        <w:tblW w:w="5000" w:type="pct"/>
        <w:jc w:val="left"/>
        <w:tblInd w:w="0" w:type="dxa"/>
        <w:tblCellMar>
          <w:top w:w="0" w:type="dxa"/>
          <w:left w:w="0" w:type="dxa"/>
          <w:bottom w:w="0" w:type="dxa"/>
          <w:right w:w="0" w:type="dxa"/>
        </w:tblCellMar>
      </w:tblPr>
      <w:tblGrid>
        <w:gridCol w:w="40"/>
        <w:gridCol w:w="417"/>
        <w:gridCol w:w="9748"/>
      </w:tblGrid>
      <w:tr>
        <w:trPr/>
        <w:tc>
          <w:tcPr>
            <w:tcW w:w="40"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jc w:val="left"/>
              <w:rPr>
                <w:rFonts w:ascii="Times New Roman;Times;Serif" w:hAnsi="Times New Roman;Times;Serif"/>
                <w:color w:val="000000"/>
                <w:sz w:val="12"/>
              </w:rPr>
            </w:pPr>
            <w:r>
              <w:rPr>
                <w:rFonts w:ascii="Times New Roman;Times;Serif" w:hAnsi="Times New Roman;Times;Serif"/>
                <w:color w:val="000000"/>
                <w:sz w:val="12"/>
              </w:rPr>
              <w:t>(1)</w:t>
            </w:r>
          </w:p>
        </w:tc>
        <w:tc>
          <w:tcPr>
            <w:tcW w:w="9748" w:type="dxa"/>
            <w:tcBorders/>
            <w:shd w:fill="auto" w:val="clear"/>
            <w:vAlign w:val="center"/>
          </w:tcPr>
          <w:p>
            <w:pPr>
              <w:pStyle w:val="TableContents"/>
              <w:spacing w:before="0" w:after="283"/>
              <w:jc w:val="left"/>
              <w:rPr>
                <w:rFonts w:ascii="Times New Roman;Times;Serif" w:hAnsi="Times New Roman;Times;Serif"/>
                <w:color w:val="000000"/>
                <w:sz w:val="12"/>
              </w:rPr>
            </w:pPr>
            <w:r>
              <w:rPr>
                <w:rFonts w:ascii="Times New Roman;Times;Serif" w:hAnsi="Times New Roman;Times;Serif"/>
                <w:color w:val="000000"/>
                <w:sz w:val="12"/>
              </w:rPr>
              <w:t xml:space="preserve">Assumes the full forfeiture of 937,500 founder shares that are subject to forfeiture by our sponsor depending on the extent to which the underwriters’ over-allotment option is exercised. </w:t>
            </w:r>
          </w:p>
        </w:tc>
      </w:tr>
    </w:tbl>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77</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pro forma net tangible book value per share after this offering is calculated as follows:</w:t>
      </w:r>
    </w:p>
    <w:tbl>
      <w:tblPr>
        <w:tblW w:w="5000" w:type="pct"/>
        <w:jc w:val="center"/>
        <w:tblInd w:w="0" w:type="dxa"/>
        <w:tblCellMar>
          <w:top w:w="0" w:type="dxa"/>
          <w:left w:w="0" w:type="dxa"/>
          <w:bottom w:w="0" w:type="dxa"/>
          <w:right w:w="0" w:type="dxa"/>
        </w:tblCellMar>
      </w:tblPr>
      <w:tblGrid>
        <w:gridCol w:w="6074"/>
        <w:gridCol w:w="283"/>
        <w:gridCol w:w="1549"/>
        <w:gridCol w:w="242"/>
        <w:gridCol w:w="283"/>
        <w:gridCol w:w="1549"/>
        <w:gridCol w:w="225"/>
      </w:tblGrid>
      <w:tr>
        <w:trPr/>
        <w:tc>
          <w:tcPr>
            <w:tcW w:w="6074" w:type="dxa"/>
            <w:tcBorders/>
            <w:shd w:fill="auto" w:val="clear"/>
            <w:vAlign w:val="bottom"/>
          </w:tcPr>
          <w:p>
            <w:pPr>
              <w:pStyle w:val="TableContents"/>
              <w:spacing w:before="0" w:after="0"/>
              <w:ind w:left="0" w:right="0" w:firstLine="90"/>
              <w:jc w:val="left"/>
              <w:rPr>
                <w:color w:val="000000"/>
              </w:rPr>
            </w:pPr>
            <w:r>
              <w:rPr>
                <w:color w:val="000000"/>
              </w:rPr>
              <w:t> </w:t>
            </w:r>
          </w:p>
        </w:tc>
        <w:tc>
          <w:tcPr>
            <w:tcW w:w="2074" w:type="dxa"/>
            <w:gridSpan w:val="3"/>
            <w:tcBorders/>
            <w:shd w:fill="auto" w:val="clear"/>
            <w:vAlign w:val="bottom"/>
          </w:tcPr>
          <w:p>
            <w:pPr>
              <w:pStyle w:val="TableContents"/>
              <w:spacing w:before="0" w:after="0"/>
              <w:ind w:left="0" w:right="0" w:firstLine="9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Without</w:t>
              <w:br/>
              <w:t>Over-allotment</w:t>
            </w:r>
          </w:p>
        </w:tc>
        <w:tc>
          <w:tcPr>
            <w:tcW w:w="2057" w:type="dxa"/>
            <w:gridSpan w:val="3"/>
            <w:tcBorders/>
            <w:shd w:fill="auto" w:val="clear"/>
            <w:vAlign w:val="bottom"/>
          </w:tcPr>
          <w:p>
            <w:pPr>
              <w:pStyle w:val="TableContents"/>
              <w:spacing w:before="0" w:after="0"/>
              <w:ind w:left="0" w:right="0" w:hanging="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With</w:t>
              <w:br/>
              <w:t>Over-allotment</w:t>
            </w:r>
          </w:p>
        </w:tc>
      </w:tr>
      <w:tr>
        <w:trPr/>
        <w:tc>
          <w:tcPr>
            <w:tcW w:w="6074" w:type="dxa"/>
            <w:tcBorders/>
            <w:shd w:fill="CCEEFF"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Numerator:</w:t>
            </w:r>
          </w:p>
        </w:tc>
        <w:tc>
          <w:tcPr>
            <w:tcW w:w="283" w:type="dxa"/>
            <w:tcBorders/>
            <w:shd w:fill="CCEEFF" w:val="clear"/>
            <w:vAlign w:val="bottom"/>
          </w:tcPr>
          <w:p>
            <w:pPr>
              <w:pStyle w:val="TableContents"/>
              <w:spacing w:before="0" w:after="0"/>
              <w:ind w:left="0" w:right="0" w:hanging="0"/>
              <w:jc w:val="right"/>
              <w:rPr>
                <w:color w:val="000000"/>
              </w:rPr>
            </w:pPr>
            <w:r>
              <w:rPr>
                <w:color w:val="000000"/>
              </w:rPr>
              <w:t> </w:t>
            </w:r>
          </w:p>
        </w:tc>
        <w:tc>
          <w:tcPr>
            <w:tcW w:w="1549" w:type="dxa"/>
            <w:tcBorders/>
            <w:shd w:fill="CCEEFF" w:val="clear"/>
            <w:vAlign w:val="bottom"/>
          </w:tcPr>
          <w:p>
            <w:pPr>
              <w:pStyle w:val="TableContents"/>
              <w:spacing w:before="0" w:after="0"/>
              <w:ind w:left="0" w:right="0" w:hanging="0"/>
              <w:jc w:val="right"/>
              <w:rPr>
                <w:color w:val="000000"/>
              </w:rPr>
            </w:pPr>
            <w:r>
              <w:rPr>
                <w:color w:val="000000"/>
              </w:rPr>
              <w:t> </w:t>
            </w:r>
          </w:p>
        </w:tc>
        <w:tc>
          <w:tcPr>
            <w:tcW w:w="242" w:type="dxa"/>
            <w:tcBorders/>
            <w:shd w:fill="CCEEFF" w:val="clear"/>
            <w:vAlign w:val="bottom"/>
          </w:tcPr>
          <w:p>
            <w:pPr>
              <w:pStyle w:val="TableContents"/>
              <w:spacing w:before="0" w:after="0"/>
              <w:ind w:left="0" w:right="0" w:firstLine="75"/>
              <w:jc w:val="left"/>
              <w:rPr>
                <w:color w:val="000000"/>
              </w:rPr>
            </w:pPr>
            <w:r>
              <w:rPr>
                <w:color w:val="000000"/>
              </w:rPr>
              <w:t> </w:t>
            </w:r>
          </w:p>
        </w:tc>
        <w:tc>
          <w:tcPr>
            <w:tcW w:w="283" w:type="dxa"/>
            <w:tcBorders/>
            <w:shd w:fill="CCEEFF" w:val="clear"/>
            <w:vAlign w:val="bottom"/>
          </w:tcPr>
          <w:p>
            <w:pPr>
              <w:pStyle w:val="TableContents"/>
              <w:spacing w:before="0" w:after="0"/>
              <w:ind w:left="0" w:right="0" w:hanging="0"/>
              <w:jc w:val="right"/>
              <w:rPr>
                <w:color w:val="000000"/>
              </w:rPr>
            </w:pPr>
            <w:r>
              <w:rPr>
                <w:color w:val="000000"/>
              </w:rPr>
              <w:t> </w:t>
            </w:r>
          </w:p>
        </w:tc>
        <w:tc>
          <w:tcPr>
            <w:tcW w:w="1549" w:type="dxa"/>
            <w:tcBorders/>
            <w:shd w:fill="CCEEFF" w:val="clear"/>
            <w:vAlign w:val="bottom"/>
          </w:tcPr>
          <w:p>
            <w:pPr>
              <w:pStyle w:val="TableContents"/>
              <w:spacing w:before="0" w:after="0"/>
              <w:ind w:left="0" w:right="0" w:hanging="0"/>
              <w:jc w:val="right"/>
              <w:rPr>
                <w:color w:val="000000"/>
              </w:rPr>
            </w:pPr>
            <w:r>
              <w:rPr>
                <w:color w:val="000000"/>
              </w:rPr>
              <w:t> </w:t>
            </w:r>
          </w:p>
        </w:tc>
        <w:tc>
          <w:tcPr>
            <w:tcW w:w="225" w:type="dxa"/>
            <w:tcBorders/>
            <w:shd w:fill="CCEEFF" w:val="clear"/>
            <w:vAlign w:val="bottom"/>
          </w:tcPr>
          <w:p>
            <w:pPr>
              <w:pStyle w:val="TableContents"/>
              <w:spacing w:before="0" w:after="0"/>
              <w:ind w:left="0" w:right="0" w:hanging="0"/>
              <w:jc w:val="left"/>
              <w:rPr>
                <w:color w:val="000000"/>
              </w:rPr>
            </w:pPr>
            <w:r>
              <w:rPr>
                <w:color w:val="000000"/>
              </w:rPr>
              <w:t> </w:t>
            </w:r>
          </w:p>
        </w:tc>
      </w:tr>
      <w:tr>
        <w:trPr/>
        <w:tc>
          <w:tcPr>
            <w:tcW w:w="6074" w:type="dxa"/>
            <w:tcBorders/>
            <w:shd w:fill="auto"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Net tangible book deficit before this offering</w:t>
            </w:r>
          </w:p>
        </w:tc>
        <w:tc>
          <w:tcPr>
            <w:tcW w:w="283"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w:t>
            </w:r>
          </w:p>
        </w:tc>
        <w:tc>
          <w:tcPr>
            <w:tcW w:w="1549"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(295,281</w:t>
            </w:r>
          </w:p>
        </w:tc>
        <w:tc>
          <w:tcPr>
            <w:tcW w:w="242" w:type="dxa"/>
            <w:tcBorders/>
            <w:shd w:fill="auto"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w:t>
            </w:r>
          </w:p>
        </w:tc>
        <w:tc>
          <w:tcPr>
            <w:tcW w:w="283"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w:t>
            </w:r>
          </w:p>
        </w:tc>
        <w:tc>
          <w:tcPr>
            <w:tcW w:w="1549"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(295,281</w:t>
            </w:r>
          </w:p>
        </w:tc>
        <w:tc>
          <w:tcPr>
            <w:tcW w:w="225" w:type="dxa"/>
            <w:tcBorders/>
            <w:shd w:fill="auto" w:val="clear"/>
            <w:vAlign w:val="bottom"/>
          </w:tcPr>
          <w:p>
            <w:pPr>
              <w:pStyle w:val="TableContents"/>
              <w:spacing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p>
        </w:tc>
      </w:tr>
      <w:tr>
        <w:trPr/>
        <w:tc>
          <w:tcPr>
            <w:tcW w:w="6074" w:type="dxa"/>
            <w:tcBorders/>
            <w:shd w:fill="CCEEFF"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Net proceeds from this offering and sale of the private placement warrants</w:t>
            </w:r>
          </w:p>
        </w:tc>
        <w:tc>
          <w:tcPr>
            <w:tcW w:w="283" w:type="dxa"/>
            <w:tcBorders/>
            <w:shd w:fill="CCEEFF" w:val="clear"/>
            <w:vAlign w:val="bottom"/>
          </w:tcPr>
          <w:p>
            <w:pPr>
              <w:pStyle w:val="TableContents"/>
              <w:spacing w:before="0" w:after="0"/>
              <w:ind w:left="0" w:right="0" w:hanging="0"/>
              <w:jc w:val="right"/>
              <w:rPr>
                <w:color w:val="000000"/>
              </w:rPr>
            </w:pPr>
            <w:r>
              <w:rPr>
                <w:color w:val="000000"/>
              </w:rPr>
              <w:t> </w:t>
            </w:r>
          </w:p>
        </w:tc>
        <w:tc>
          <w:tcPr>
            <w:tcW w:w="1549"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251,000,000</w:t>
            </w:r>
          </w:p>
        </w:tc>
        <w:tc>
          <w:tcPr>
            <w:tcW w:w="242" w:type="dxa"/>
            <w:tcBorders/>
            <w:shd w:fill="CCEEFF" w:val="clear"/>
            <w:vAlign w:val="bottom"/>
          </w:tcPr>
          <w:p>
            <w:pPr>
              <w:pStyle w:val="TableContents"/>
              <w:spacing w:before="0" w:after="0"/>
              <w:ind w:left="0" w:right="0" w:firstLine="75"/>
              <w:jc w:val="left"/>
              <w:rPr>
                <w:color w:val="000000"/>
              </w:rPr>
            </w:pPr>
            <w:r>
              <w:rPr>
                <w:color w:val="000000"/>
              </w:rPr>
              <w:t> </w:t>
            </w:r>
          </w:p>
        </w:tc>
        <w:tc>
          <w:tcPr>
            <w:tcW w:w="283" w:type="dxa"/>
            <w:tcBorders/>
            <w:shd w:fill="CCEEFF" w:val="clear"/>
            <w:vAlign w:val="bottom"/>
          </w:tcPr>
          <w:p>
            <w:pPr>
              <w:pStyle w:val="TableContents"/>
              <w:spacing w:before="0" w:after="0"/>
              <w:ind w:left="0" w:right="0" w:hanging="0"/>
              <w:jc w:val="right"/>
              <w:rPr>
                <w:color w:val="000000"/>
              </w:rPr>
            </w:pPr>
            <w:r>
              <w:rPr>
                <w:color w:val="000000"/>
              </w:rPr>
              <w:t> </w:t>
            </w:r>
          </w:p>
        </w:tc>
        <w:tc>
          <w:tcPr>
            <w:tcW w:w="1549"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288,500,000</w:t>
            </w:r>
          </w:p>
        </w:tc>
        <w:tc>
          <w:tcPr>
            <w:tcW w:w="225" w:type="dxa"/>
            <w:tcBorders/>
            <w:shd w:fill="CCEEFF" w:val="clear"/>
            <w:vAlign w:val="bottom"/>
          </w:tcPr>
          <w:p>
            <w:pPr>
              <w:pStyle w:val="TableContents"/>
              <w:spacing w:before="0" w:after="0"/>
              <w:ind w:left="0" w:right="0" w:hanging="0"/>
              <w:jc w:val="left"/>
              <w:rPr>
                <w:color w:val="000000"/>
              </w:rPr>
            </w:pPr>
            <w:r>
              <w:rPr>
                <w:color w:val="000000"/>
              </w:rPr>
              <w:t> </w:t>
            </w:r>
          </w:p>
        </w:tc>
      </w:tr>
      <w:tr>
        <w:trPr/>
        <w:tc>
          <w:tcPr>
            <w:tcW w:w="6074" w:type="dxa"/>
            <w:tcBorders/>
            <w:shd w:fill="auto"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Plus: Offering costs paid in advance, excluded from tangible book value</w:t>
            </w:r>
          </w:p>
        </w:tc>
        <w:tc>
          <w:tcPr>
            <w:tcW w:w="283" w:type="dxa"/>
            <w:tcBorders/>
            <w:shd w:fill="auto" w:val="clear"/>
            <w:vAlign w:val="bottom"/>
          </w:tcPr>
          <w:p>
            <w:pPr>
              <w:pStyle w:val="TableContents"/>
              <w:spacing w:before="0" w:after="0"/>
              <w:ind w:left="0" w:right="0" w:hanging="0"/>
              <w:jc w:val="right"/>
              <w:rPr>
                <w:color w:val="000000"/>
              </w:rPr>
            </w:pPr>
            <w:r>
              <w:rPr>
                <w:color w:val="000000"/>
              </w:rPr>
              <w:t> </w:t>
            </w:r>
          </w:p>
        </w:tc>
        <w:tc>
          <w:tcPr>
            <w:tcW w:w="1549"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315,281</w:t>
            </w:r>
          </w:p>
        </w:tc>
        <w:tc>
          <w:tcPr>
            <w:tcW w:w="242" w:type="dxa"/>
            <w:tcBorders/>
            <w:shd w:fill="auto" w:val="clear"/>
            <w:vAlign w:val="bottom"/>
          </w:tcPr>
          <w:p>
            <w:pPr>
              <w:pStyle w:val="TableContents"/>
              <w:spacing w:before="0" w:after="0"/>
              <w:ind w:left="0" w:right="0" w:firstLine="75"/>
              <w:jc w:val="left"/>
              <w:rPr>
                <w:color w:val="000000"/>
              </w:rPr>
            </w:pPr>
            <w:r>
              <w:rPr>
                <w:color w:val="000000"/>
              </w:rPr>
              <w:t> </w:t>
            </w:r>
          </w:p>
        </w:tc>
        <w:tc>
          <w:tcPr>
            <w:tcW w:w="283" w:type="dxa"/>
            <w:tcBorders/>
            <w:shd w:fill="auto" w:val="clear"/>
            <w:vAlign w:val="bottom"/>
          </w:tcPr>
          <w:p>
            <w:pPr>
              <w:pStyle w:val="TableContents"/>
              <w:spacing w:before="0" w:after="0"/>
              <w:ind w:left="0" w:right="0" w:hanging="0"/>
              <w:jc w:val="right"/>
              <w:rPr>
                <w:color w:val="000000"/>
              </w:rPr>
            </w:pPr>
            <w:r>
              <w:rPr>
                <w:color w:val="000000"/>
              </w:rPr>
              <w:t> </w:t>
            </w:r>
          </w:p>
        </w:tc>
        <w:tc>
          <w:tcPr>
            <w:tcW w:w="1549"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315,281</w:t>
            </w:r>
          </w:p>
        </w:tc>
        <w:tc>
          <w:tcPr>
            <w:tcW w:w="225" w:type="dxa"/>
            <w:tcBorders/>
            <w:shd w:fill="auto" w:val="clear"/>
            <w:vAlign w:val="bottom"/>
          </w:tcPr>
          <w:p>
            <w:pPr>
              <w:pStyle w:val="TableContents"/>
              <w:spacing w:before="0" w:after="0"/>
              <w:ind w:left="0" w:right="0" w:hanging="0"/>
              <w:jc w:val="left"/>
              <w:rPr>
                <w:color w:val="000000"/>
              </w:rPr>
            </w:pPr>
            <w:r>
              <w:rPr>
                <w:color w:val="000000"/>
              </w:rPr>
              <w:t> </w:t>
            </w:r>
          </w:p>
        </w:tc>
      </w:tr>
      <w:tr>
        <w:trPr/>
        <w:tc>
          <w:tcPr>
            <w:tcW w:w="6074" w:type="dxa"/>
            <w:tcBorders/>
            <w:shd w:fill="CCEEFF"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Less: Deferred underwriting commissions</w:t>
            </w:r>
          </w:p>
        </w:tc>
        <w:tc>
          <w:tcPr>
            <w:tcW w:w="283" w:type="dxa"/>
            <w:tcBorders/>
            <w:shd w:fill="CCEEFF" w:val="clear"/>
            <w:vAlign w:val="bottom"/>
          </w:tcPr>
          <w:p>
            <w:pPr>
              <w:pStyle w:val="TableContents"/>
              <w:spacing w:before="0" w:after="0"/>
              <w:ind w:left="0" w:right="0" w:hanging="0"/>
              <w:jc w:val="right"/>
              <w:rPr>
                <w:color w:val="000000"/>
              </w:rPr>
            </w:pPr>
            <w:r>
              <w:rPr>
                <w:color w:val="000000"/>
              </w:rPr>
              <w:t> </w:t>
            </w:r>
          </w:p>
        </w:tc>
        <w:tc>
          <w:tcPr>
            <w:tcW w:w="1549"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(8,750,000</w:t>
            </w:r>
          </w:p>
        </w:tc>
        <w:tc>
          <w:tcPr>
            <w:tcW w:w="242" w:type="dxa"/>
            <w:tcBorders/>
            <w:shd w:fill="CCEEFF"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w:t>
            </w:r>
          </w:p>
        </w:tc>
        <w:tc>
          <w:tcPr>
            <w:tcW w:w="283" w:type="dxa"/>
            <w:tcBorders/>
            <w:shd w:fill="CCEEFF" w:val="clear"/>
            <w:vAlign w:val="bottom"/>
          </w:tcPr>
          <w:p>
            <w:pPr>
              <w:pStyle w:val="TableContents"/>
              <w:spacing w:before="0" w:after="0"/>
              <w:ind w:left="0" w:right="0" w:hanging="0"/>
              <w:jc w:val="right"/>
              <w:rPr>
                <w:color w:val="000000"/>
              </w:rPr>
            </w:pPr>
            <w:r>
              <w:rPr>
                <w:color w:val="000000"/>
              </w:rPr>
              <w:t> </w:t>
            </w:r>
          </w:p>
        </w:tc>
        <w:tc>
          <w:tcPr>
            <w:tcW w:w="1549"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(10,062,500</w:t>
            </w:r>
          </w:p>
        </w:tc>
        <w:tc>
          <w:tcPr>
            <w:tcW w:w="225" w:type="dxa"/>
            <w:tcBorders/>
            <w:shd w:fill="CCEEFF" w:val="clear"/>
            <w:vAlign w:val="bottom"/>
          </w:tcPr>
          <w:p>
            <w:pPr>
              <w:pStyle w:val="TableContents"/>
              <w:spacing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p>
        </w:tc>
      </w:tr>
      <w:tr>
        <w:trPr/>
        <w:tc>
          <w:tcPr>
            <w:tcW w:w="6074" w:type="dxa"/>
            <w:tcBorders/>
            <w:shd w:fill="auto"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Less: Proceeds held in trust subject to redemption</w:t>
            </w:r>
          </w:p>
        </w:tc>
        <w:tc>
          <w:tcPr>
            <w:tcW w:w="283" w:type="dxa"/>
            <w:tcBorders/>
            <w:shd w:fill="auto" w:val="clear"/>
            <w:vAlign w:val="bottom"/>
          </w:tcPr>
          <w:p>
            <w:pPr>
              <w:pStyle w:val="TableContents"/>
              <w:spacing w:before="0" w:after="0"/>
              <w:ind w:left="0" w:right="0" w:hanging="0"/>
              <w:jc w:val="right"/>
              <w:rPr>
                <w:color w:val="000000"/>
                <w:bdr w:val="single" w:sz="8" w:space="1" w:color="000000"/>
              </w:rPr>
            </w:pPr>
            <w:r>
              <w:rPr>
                <w:color w:val="000000"/>
                <w:bdr w:val="single" w:sz="8" w:space="1" w:color="000000"/>
              </w:rPr>
              <w:t> </w:t>
            </w:r>
          </w:p>
        </w:tc>
        <w:tc>
          <w:tcPr>
            <w:tcW w:w="1549"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(237,269,990</w:t>
            </w:r>
          </w:p>
        </w:tc>
        <w:tc>
          <w:tcPr>
            <w:tcW w:w="242" w:type="dxa"/>
            <w:tcBorders/>
            <w:shd w:fill="auto"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w:t>
            </w:r>
          </w:p>
        </w:tc>
        <w:tc>
          <w:tcPr>
            <w:tcW w:w="283" w:type="dxa"/>
            <w:tcBorders/>
            <w:shd w:fill="auto" w:val="clear"/>
            <w:vAlign w:val="bottom"/>
          </w:tcPr>
          <w:p>
            <w:pPr>
              <w:pStyle w:val="TableContents"/>
              <w:spacing w:before="0" w:after="0"/>
              <w:ind w:left="0" w:right="0" w:hanging="0"/>
              <w:jc w:val="right"/>
              <w:rPr>
                <w:color w:val="000000"/>
                <w:bdr w:val="single" w:sz="8" w:space="1" w:color="000000"/>
              </w:rPr>
            </w:pPr>
            <w:r>
              <w:rPr>
                <w:color w:val="000000"/>
                <w:bdr w:val="single" w:sz="8" w:space="1" w:color="000000"/>
              </w:rPr>
              <w:t> </w:t>
            </w:r>
          </w:p>
        </w:tc>
        <w:tc>
          <w:tcPr>
            <w:tcW w:w="1549"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(273,457,490</w:t>
            </w:r>
          </w:p>
        </w:tc>
        <w:tc>
          <w:tcPr>
            <w:tcW w:w="225" w:type="dxa"/>
            <w:tcBorders/>
            <w:shd w:fill="auto" w:val="clear"/>
            <w:vAlign w:val="bottom"/>
          </w:tcPr>
          <w:p>
            <w:pPr>
              <w:pStyle w:val="TableContents"/>
              <w:spacing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p>
        </w:tc>
      </w:tr>
      <w:tr>
        <w:trPr/>
        <w:tc>
          <w:tcPr>
            <w:tcW w:w="6074" w:type="dxa"/>
            <w:tcBorders/>
            <w:shd w:fill="CCEEFF" w:val="clear"/>
            <w:vAlign w:val="bottom"/>
          </w:tcPr>
          <w:p>
            <w:pPr>
              <w:pStyle w:val="TableContents"/>
              <w:spacing w:before="0" w:after="0"/>
              <w:ind w:left="0" w:right="0" w:firstLine="75"/>
              <w:jc w:val="left"/>
              <w:rPr>
                <w:color w:val="000000"/>
              </w:rPr>
            </w:pPr>
            <w:r>
              <w:rPr>
                <w:color w:val="000000"/>
              </w:rPr>
              <w:t> </w:t>
            </w:r>
          </w:p>
        </w:tc>
        <w:tc>
          <w:tcPr>
            <w:tcW w:w="283"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w:t>
            </w:r>
          </w:p>
        </w:tc>
        <w:tc>
          <w:tcPr>
            <w:tcW w:w="1549"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5,000,010</w:t>
            </w:r>
          </w:p>
        </w:tc>
        <w:tc>
          <w:tcPr>
            <w:tcW w:w="242" w:type="dxa"/>
            <w:tcBorders/>
            <w:shd w:fill="CCEEFF" w:val="clear"/>
            <w:vAlign w:val="bottom"/>
          </w:tcPr>
          <w:p>
            <w:pPr>
              <w:pStyle w:val="TableContents"/>
              <w:spacing w:before="0" w:after="0"/>
              <w:ind w:left="0" w:right="0" w:firstLine="75"/>
              <w:jc w:val="left"/>
              <w:rPr>
                <w:color w:val="000000"/>
              </w:rPr>
            </w:pPr>
            <w:r>
              <w:rPr>
                <w:color w:val="000000"/>
              </w:rPr>
              <w:t> </w:t>
            </w:r>
          </w:p>
        </w:tc>
        <w:tc>
          <w:tcPr>
            <w:tcW w:w="283"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w:t>
            </w:r>
          </w:p>
        </w:tc>
        <w:tc>
          <w:tcPr>
            <w:tcW w:w="1549"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5,000,010</w:t>
            </w:r>
          </w:p>
        </w:tc>
        <w:tc>
          <w:tcPr>
            <w:tcW w:w="225" w:type="dxa"/>
            <w:tcBorders/>
            <w:shd w:fill="CCEEFF" w:val="clear"/>
            <w:vAlign w:val="bottom"/>
          </w:tcPr>
          <w:p>
            <w:pPr>
              <w:pStyle w:val="TableContents"/>
              <w:spacing w:before="0" w:after="0"/>
              <w:ind w:left="0" w:right="0" w:hanging="0"/>
              <w:jc w:val="left"/>
              <w:rPr>
                <w:color w:val="000000"/>
              </w:rPr>
            </w:pPr>
            <w:r>
              <w:rPr>
                <w:color w:val="000000"/>
              </w:rPr>
              <w:t> </w:t>
            </w:r>
          </w:p>
        </w:tc>
      </w:tr>
      <w:tr>
        <w:trPr/>
        <w:tc>
          <w:tcPr>
            <w:tcW w:w="6074" w:type="dxa"/>
            <w:tcBorders/>
            <w:shd w:fill="auto"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Denominator:</w:t>
            </w:r>
          </w:p>
        </w:tc>
        <w:tc>
          <w:tcPr>
            <w:tcW w:w="283" w:type="dxa"/>
            <w:tcBorders/>
            <w:shd w:fill="auto" w:val="clear"/>
            <w:vAlign w:val="bottom"/>
          </w:tcPr>
          <w:p>
            <w:pPr>
              <w:pStyle w:val="TableContents"/>
              <w:spacing w:before="0" w:after="0"/>
              <w:ind w:left="0" w:right="0" w:hanging="0"/>
              <w:jc w:val="right"/>
              <w:rPr>
                <w:color w:val="000000"/>
              </w:rPr>
            </w:pPr>
            <w:r>
              <w:rPr>
                <w:color w:val="000000"/>
              </w:rPr>
              <w:t> </w:t>
            </w:r>
          </w:p>
        </w:tc>
        <w:tc>
          <w:tcPr>
            <w:tcW w:w="1549" w:type="dxa"/>
            <w:tcBorders/>
            <w:shd w:fill="auto" w:val="clear"/>
            <w:vAlign w:val="bottom"/>
          </w:tcPr>
          <w:p>
            <w:pPr>
              <w:pStyle w:val="TableContents"/>
              <w:spacing w:before="0" w:after="0"/>
              <w:ind w:left="0" w:right="0" w:hanging="0"/>
              <w:jc w:val="right"/>
              <w:rPr>
                <w:color w:val="000000"/>
              </w:rPr>
            </w:pPr>
            <w:r>
              <w:rPr>
                <w:color w:val="000000"/>
              </w:rPr>
              <w:t> </w:t>
            </w:r>
          </w:p>
        </w:tc>
        <w:tc>
          <w:tcPr>
            <w:tcW w:w="242" w:type="dxa"/>
            <w:tcBorders/>
            <w:shd w:fill="auto" w:val="clear"/>
            <w:vAlign w:val="bottom"/>
          </w:tcPr>
          <w:p>
            <w:pPr>
              <w:pStyle w:val="TableContents"/>
              <w:spacing w:before="0" w:after="0"/>
              <w:ind w:left="0" w:right="0" w:firstLine="75"/>
              <w:jc w:val="left"/>
              <w:rPr>
                <w:color w:val="000000"/>
              </w:rPr>
            </w:pPr>
            <w:r>
              <w:rPr>
                <w:color w:val="000000"/>
              </w:rPr>
              <w:t> </w:t>
            </w:r>
          </w:p>
        </w:tc>
        <w:tc>
          <w:tcPr>
            <w:tcW w:w="283" w:type="dxa"/>
            <w:tcBorders/>
            <w:shd w:fill="auto" w:val="clear"/>
            <w:vAlign w:val="bottom"/>
          </w:tcPr>
          <w:p>
            <w:pPr>
              <w:pStyle w:val="TableContents"/>
              <w:spacing w:before="0" w:after="0"/>
              <w:ind w:left="0" w:right="0" w:hanging="0"/>
              <w:jc w:val="right"/>
              <w:rPr>
                <w:color w:val="000000"/>
              </w:rPr>
            </w:pPr>
            <w:r>
              <w:rPr>
                <w:color w:val="000000"/>
              </w:rPr>
              <w:t> </w:t>
            </w:r>
          </w:p>
        </w:tc>
        <w:tc>
          <w:tcPr>
            <w:tcW w:w="1549" w:type="dxa"/>
            <w:tcBorders/>
            <w:shd w:fill="auto" w:val="clear"/>
            <w:vAlign w:val="bottom"/>
          </w:tcPr>
          <w:p>
            <w:pPr>
              <w:pStyle w:val="TableContents"/>
              <w:spacing w:before="0" w:after="0"/>
              <w:ind w:left="0" w:right="0" w:hanging="0"/>
              <w:jc w:val="right"/>
              <w:rPr>
                <w:color w:val="000000"/>
              </w:rPr>
            </w:pPr>
            <w:r>
              <w:rPr>
                <w:color w:val="000000"/>
              </w:rPr>
              <w:t> </w:t>
            </w:r>
          </w:p>
        </w:tc>
        <w:tc>
          <w:tcPr>
            <w:tcW w:w="225" w:type="dxa"/>
            <w:tcBorders/>
            <w:shd w:fill="auto" w:val="clear"/>
            <w:vAlign w:val="bottom"/>
          </w:tcPr>
          <w:p>
            <w:pPr>
              <w:pStyle w:val="TableContents"/>
              <w:spacing w:before="0" w:after="0"/>
              <w:ind w:left="0" w:right="0" w:hanging="0"/>
              <w:jc w:val="left"/>
              <w:rPr>
                <w:color w:val="000000"/>
              </w:rPr>
            </w:pPr>
            <w:r>
              <w:rPr>
                <w:color w:val="000000"/>
              </w:rPr>
              <w:t> </w:t>
            </w:r>
          </w:p>
        </w:tc>
      </w:tr>
      <w:tr>
        <w:trPr/>
        <w:tc>
          <w:tcPr>
            <w:tcW w:w="6074" w:type="dxa"/>
            <w:tcBorders/>
            <w:shd w:fill="CCEEFF"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Class B ordinary shares outstanding prior to this offering</w:t>
            </w:r>
          </w:p>
        </w:tc>
        <w:tc>
          <w:tcPr>
            <w:tcW w:w="283" w:type="dxa"/>
            <w:tcBorders/>
            <w:shd w:fill="CCEEFF" w:val="clear"/>
            <w:vAlign w:val="bottom"/>
          </w:tcPr>
          <w:p>
            <w:pPr>
              <w:pStyle w:val="TableContents"/>
              <w:spacing w:before="0" w:after="0"/>
              <w:ind w:left="0" w:right="0" w:hanging="0"/>
              <w:jc w:val="right"/>
              <w:rPr>
                <w:color w:val="000000"/>
              </w:rPr>
            </w:pPr>
            <w:r>
              <w:rPr>
                <w:color w:val="000000"/>
              </w:rPr>
              <w:t> </w:t>
            </w:r>
          </w:p>
        </w:tc>
        <w:tc>
          <w:tcPr>
            <w:tcW w:w="1549"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7,187,500</w:t>
            </w:r>
          </w:p>
        </w:tc>
        <w:tc>
          <w:tcPr>
            <w:tcW w:w="242" w:type="dxa"/>
            <w:tcBorders/>
            <w:shd w:fill="CCEEFF" w:val="clear"/>
            <w:vAlign w:val="bottom"/>
          </w:tcPr>
          <w:p>
            <w:pPr>
              <w:pStyle w:val="TableContents"/>
              <w:spacing w:before="0" w:after="0"/>
              <w:ind w:left="0" w:right="0" w:firstLine="75"/>
              <w:jc w:val="left"/>
              <w:rPr>
                <w:color w:val="000000"/>
              </w:rPr>
            </w:pPr>
            <w:r>
              <w:rPr>
                <w:color w:val="000000"/>
              </w:rPr>
              <w:t> </w:t>
            </w:r>
          </w:p>
        </w:tc>
        <w:tc>
          <w:tcPr>
            <w:tcW w:w="283" w:type="dxa"/>
            <w:tcBorders/>
            <w:shd w:fill="CCEEFF" w:val="clear"/>
            <w:vAlign w:val="bottom"/>
          </w:tcPr>
          <w:p>
            <w:pPr>
              <w:pStyle w:val="TableContents"/>
              <w:spacing w:before="0" w:after="0"/>
              <w:ind w:left="0" w:right="0" w:hanging="0"/>
              <w:jc w:val="right"/>
              <w:rPr>
                <w:color w:val="000000"/>
              </w:rPr>
            </w:pPr>
            <w:r>
              <w:rPr>
                <w:color w:val="000000"/>
              </w:rPr>
              <w:t> </w:t>
            </w:r>
          </w:p>
        </w:tc>
        <w:tc>
          <w:tcPr>
            <w:tcW w:w="1549"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7,187,500</w:t>
            </w:r>
          </w:p>
        </w:tc>
        <w:tc>
          <w:tcPr>
            <w:tcW w:w="225" w:type="dxa"/>
            <w:tcBorders/>
            <w:shd w:fill="CCEEFF" w:val="clear"/>
            <w:vAlign w:val="bottom"/>
          </w:tcPr>
          <w:p>
            <w:pPr>
              <w:pStyle w:val="TableContents"/>
              <w:spacing w:before="0" w:after="0"/>
              <w:ind w:left="0" w:right="0" w:hanging="0"/>
              <w:jc w:val="left"/>
              <w:rPr>
                <w:color w:val="000000"/>
              </w:rPr>
            </w:pPr>
            <w:r>
              <w:rPr>
                <w:color w:val="000000"/>
              </w:rPr>
              <w:t> </w:t>
            </w:r>
          </w:p>
        </w:tc>
      </w:tr>
      <w:tr>
        <w:trPr/>
        <w:tc>
          <w:tcPr>
            <w:tcW w:w="6074" w:type="dxa"/>
            <w:tcBorders/>
            <w:shd w:fill="auto"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Class B ordinary shares forfeited if over-allotment is not exercised</w:t>
            </w:r>
          </w:p>
        </w:tc>
        <w:tc>
          <w:tcPr>
            <w:tcW w:w="283" w:type="dxa"/>
            <w:tcBorders/>
            <w:shd w:fill="auto" w:val="clear"/>
            <w:vAlign w:val="bottom"/>
          </w:tcPr>
          <w:p>
            <w:pPr>
              <w:pStyle w:val="TableContents"/>
              <w:spacing w:before="0" w:after="0"/>
              <w:ind w:left="0" w:right="0" w:hanging="0"/>
              <w:jc w:val="right"/>
              <w:rPr>
                <w:color w:val="000000"/>
              </w:rPr>
            </w:pPr>
            <w:r>
              <w:rPr>
                <w:color w:val="000000"/>
              </w:rPr>
              <w:t> </w:t>
            </w:r>
          </w:p>
        </w:tc>
        <w:tc>
          <w:tcPr>
            <w:tcW w:w="1549"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(937,500</w:t>
            </w:r>
          </w:p>
        </w:tc>
        <w:tc>
          <w:tcPr>
            <w:tcW w:w="242" w:type="dxa"/>
            <w:tcBorders/>
            <w:shd w:fill="auto"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w:t>
            </w:r>
          </w:p>
        </w:tc>
        <w:tc>
          <w:tcPr>
            <w:tcW w:w="283" w:type="dxa"/>
            <w:tcBorders/>
            <w:shd w:fill="auto" w:val="clear"/>
            <w:vAlign w:val="bottom"/>
          </w:tcPr>
          <w:p>
            <w:pPr>
              <w:pStyle w:val="TableContents"/>
              <w:spacing w:before="0" w:after="0"/>
              <w:ind w:left="0" w:right="0" w:hanging="0"/>
              <w:jc w:val="right"/>
              <w:rPr>
                <w:color w:val="000000"/>
              </w:rPr>
            </w:pPr>
            <w:r>
              <w:rPr>
                <w:color w:val="000000"/>
              </w:rPr>
              <w:t> </w:t>
            </w:r>
          </w:p>
        </w:tc>
        <w:tc>
          <w:tcPr>
            <w:tcW w:w="1549" w:type="dxa"/>
            <w:tcBorders/>
            <w:shd w:fill="auto" w:val="clear"/>
            <w:vAlign w:val="bottom"/>
          </w:tcPr>
          <w:p>
            <w:pPr>
              <w:pStyle w:val="TableContents"/>
              <w:spacing w:before="0" w:after="0"/>
              <w:ind w:left="0" w:right="0" w:hanging="0"/>
              <w:jc w:val="right"/>
              <w:rPr>
                <w:color w:val="000000"/>
              </w:rPr>
            </w:pPr>
            <w:r>
              <w:rPr>
                <w:color w:val="000000"/>
              </w:rPr>
              <w:t>—</w:t>
            </w:r>
          </w:p>
        </w:tc>
        <w:tc>
          <w:tcPr>
            <w:tcW w:w="225" w:type="dxa"/>
            <w:tcBorders/>
            <w:shd w:fill="auto" w:val="clear"/>
            <w:vAlign w:val="bottom"/>
          </w:tcPr>
          <w:p>
            <w:pPr>
              <w:pStyle w:val="TableContents"/>
              <w:spacing w:before="0" w:after="0"/>
              <w:ind w:left="0" w:right="0" w:hanging="0"/>
              <w:jc w:val="left"/>
              <w:rPr>
                <w:color w:val="000000"/>
              </w:rPr>
            </w:pPr>
            <w:r>
              <w:rPr>
                <w:color w:val="000000"/>
              </w:rPr>
              <w:t> </w:t>
            </w:r>
          </w:p>
        </w:tc>
      </w:tr>
      <w:tr>
        <w:trPr/>
        <w:tc>
          <w:tcPr>
            <w:tcW w:w="6074" w:type="dxa"/>
            <w:tcBorders/>
            <w:shd w:fill="CCEEFF"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Class A ordinary shares included in the units offered</w:t>
            </w:r>
          </w:p>
        </w:tc>
        <w:tc>
          <w:tcPr>
            <w:tcW w:w="283" w:type="dxa"/>
            <w:tcBorders/>
            <w:shd w:fill="CCEEFF" w:val="clear"/>
            <w:vAlign w:val="bottom"/>
          </w:tcPr>
          <w:p>
            <w:pPr>
              <w:pStyle w:val="TableContents"/>
              <w:spacing w:before="0" w:after="0"/>
              <w:ind w:left="0" w:right="0" w:hanging="0"/>
              <w:jc w:val="right"/>
              <w:rPr>
                <w:color w:val="000000"/>
              </w:rPr>
            </w:pPr>
            <w:r>
              <w:rPr>
                <w:color w:val="000000"/>
              </w:rPr>
              <w:t> </w:t>
            </w:r>
          </w:p>
        </w:tc>
        <w:tc>
          <w:tcPr>
            <w:tcW w:w="1549"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25,000,000</w:t>
            </w:r>
          </w:p>
        </w:tc>
        <w:tc>
          <w:tcPr>
            <w:tcW w:w="242" w:type="dxa"/>
            <w:tcBorders/>
            <w:shd w:fill="CCEEFF" w:val="clear"/>
            <w:vAlign w:val="bottom"/>
          </w:tcPr>
          <w:p>
            <w:pPr>
              <w:pStyle w:val="TableContents"/>
              <w:spacing w:before="0" w:after="0"/>
              <w:ind w:left="0" w:right="0" w:firstLine="75"/>
              <w:jc w:val="left"/>
              <w:rPr>
                <w:color w:val="000000"/>
              </w:rPr>
            </w:pPr>
            <w:r>
              <w:rPr>
                <w:color w:val="000000"/>
              </w:rPr>
              <w:t> </w:t>
            </w:r>
          </w:p>
        </w:tc>
        <w:tc>
          <w:tcPr>
            <w:tcW w:w="283" w:type="dxa"/>
            <w:tcBorders/>
            <w:shd w:fill="CCEEFF" w:val="clear"/>
            <w:vAlign w:val="bottom"/>
          </w:tcPr>
          <w:p>
            <w:pPr>
              <w:pStyle w:val="TableContents"/>
              <w:spacing w:before="0" w:after="0"/>
              <w:ind w:left="0" w:right="0" w:hanging="0"/>
              <w:jc w:val="right"/>
              <w:rPr>
                <w:color w:val="000000"/>
              </w:rPr>
            </w:pPr>
            <w:r>
              <w:rPr>
                <w:color w:val="000000"/>
              </w:rPr>
              <w:t> </w:t>
            </w:r>
          </w:p>
        </w:tc>
        <w:tc>
          <w:tcPr>
            <w:tcW w:w="1549"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28,750,000</w:t>
            </w:r>
          </w:p>
        </w:tc>
        <w:tc>
          <w:tcPr>
            <w:tcW w:w="225" w:type="dxa"/>
            <w:tcBorders/>
            <w:shd w:fill="CCEEFF" w:val="clear"/>
            <w:vAlign w:val="bottom"/>
          </w:tcPr>
          <w:p>
            <w:pPr>
              <w:pStyle w:val="TableContents"/>
              <w:spacing w:before="0" w:after="0"/>
              <w:ind w:left="0" w:right="0" w:hanging="0"/>
              <w:jc w:val="left"/>
              <w:rPr>
                <w:color w:val="000000"/>
              </w:rPr>
            </w:pPr>
            <w:r>
              <w:rPr>
                <w:color w:val="000000"/>
              </w:rPr>
              <w:t> </w:t>
            </w:r>
          </w:p>
        </w:tc>
      </w:tr>
      <w:tr>
        <w:trPr/>
        <w:tc>
          <w:tcPr>
            <w:tcW w:w="6074" w:type="dxa"/>
            <w:tcBorders/>
            <w:shd w:fill="auto"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Less: Ordinary shares subject to redemption/tender</w:t>
            </w:r>
          </w:p>
        </w:tc>
        <w:tc>
          <w:tcPr>
            <w:tcW w:w="283" w:type="dxa"/>
            <w:tcBorders/>
            <w:shd w:fill="auto" w:val="clear"/>
            <w:vAlign w:val="bottom"/>
          </w:tcPr>
          <w:p>
            <w:pPr>
              <w:pStyle w:val="TableContents"/>
              <w:spacing w:before="0" w:after="0"/>
              <w:ind w:left="0" w:right="0" w:hanging="0"/>
              <w:jc w:val="right"/>
              <w:rPr>
                <w:color w:val="000000"/>
                <w:bdr w:val="single" w:sz="8" w:space="1" w:color="000000"/>
              </w:rPr>
            </w:pPr>
            <w:r>
              <w:rPr>
                <w:color w:val="000000"/>
                <w:bdr w:val="single" w:sz="8" w:space="1" w:color="000000"/>
              </w:rPr>
              <w:t> </w:t>
            </w:r>
          </w:p>
        </w:tc>
        <w:tc>
          <w:tcPr>
            <w:tcW w:w="1549"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(23,726,999</w:t>
            </w:r>
          </w:p>
        </w:tc>
        <w:tc>
          <w:tcPr>
            <w:tcW w:w="242" w:type="dxa"/>
            <w:tcBorders/>
            <w:shd w:fill="auto"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w:t>
            </w:r>
          </w:p>
        </w:tc>
        <w:tc>
          <w:tcPr>
            <w:tcW w:w="283" w:type="dxa"/>
            <w:tcBorders/>
            <w:shd w:fill="auto" w:val="clear"/>
            <w:vAlign w:val="bottom"/>
          </w:tcPr>
          <w:p>
            <w:pPr>
              <w:pStyle w:val="TableContents"/>
              <w:spacing w:before="0" w:after="0"/>
              <w:ind w:left="0" w:right="0" w:hanging="0"/>
              <w:jc w:val="right"/>
              <w:rPr>
                <w:color w:val="000000"/>
                <w:bdr w:val="single" w:sz="8" w:space="1" w:color="000000"/>
              </w:rPr>
            </w:pPr>
            <w:r>
              <w:rPr>
                <w:color w:val="000000"/>
                <w:bdr w:val="single" w:sz="8" w:space="1" w:color="000000"/>
              </w:rPr>
              <w:t> </w:t>
            </w:r>
          </w:p>
        </w:tc>
        <w:tc>
          <w:tcPr>
            <w:tcW w:w="1549"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(27,345,749</w:t>
            </w:r>
          </w:p>
        </w:tc>
        <w:tc>
          <w:tcPr>
            <w:tcW w:w="225" w:type="dxa"/>
            <w:tcBorders/>
            <w:shd w:fill="auto" w:val="clear"/>
            <w:vAlign w:val="bottom"/>
          </w:tcPr>
          <w:p>
            <w:pPr>
              <w:pStyle w:val="TableContents"/>
              <w:spacing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p>
        </w:tc>
      </w:tr>
      <w:tr>
        <w:trPr/>
        <w:tc>
          <w:tcPr>
            <w:tcW w:w="6074" w:type="dxa"/>
            <w:tcBorders/>
            <w:shd w:fill="CCEEFF" w:val="clear"/>
            <w:vAlign w:val="bottom"/>
          </w:tcPr>
          <w:p>
            <w:pPr>
              <w:pStyle w:val="TableContents"/>
              <w:spacing w:before="0" w:after="0"/>
              <w:ind w:left="0" w:right="0" w:firstLine="75"/>
              <w:jc w:val="left"/>
              <w:rPr>
                <w:color w:val="000000"/>
              </w:rPr>
            </w:pPr>
            <w:r>
              <w:rPr>
                <w:color w:val="000000"/>
              </w:rPr>
              <w:t> </w:t>
            </w:r>
          </w:p>
        </w:tc>
        <w:tc>
          <w:tcPr>
            <w:tcW w:w="283" w:type="dxa"/>
            <w:tcBorders/>
            <w:shd w:fill="CCEEFF" w:val="clear"/>
            <w:vAlign w:val="bottom"/>
          </w:tcPr>
          <w:p>
            <w:pPr>
              <w:pStyle w:val="TableContents"/>
              <w:spacing w:before="0" w:after="0"/>
              <w:ind w:left="0" w:right="0" w:hanging="0"/>
              <w:jc w:val="right"/>
              <w:rPr>
                <w:color w:val="000000"/>
                <w:bdr w:val="double" w:sz="8" w:space="1" w:color="000000"/>
              </w:rPr>
            </w:pPr>
            <w:r>
              <w:rPr>
                <w:color w:val="000000"/>
                <w:bdr w:val="double" w:sz="8" w:space="1" w:color="000000"/>
              </w:rPr>
              <w:t> </w:t>
            </w:r>
          </w:p>
        </w:tc>
        <w:tc>
          <w:tcPr>
            <w:tcW w:w="1549"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7,523,001</w:t>
            </w:r>
          </w:p>
        </w:tc>
        <w:tc>
          <w:tcPr>
            <w:tcW w:w="242" w:type="dxa"/>
            <w:tcBorders/>
            <w:shd w:fill="CCEEFF" w:val="clear"/>
            <w:vAlign w:val="bottom"/>
          </w:tcPr>
          <w:p>
            <w:pPr>
              <w:pStyle w:val="TableContents"/>
              <w:spacing w:before="0" w:after="0"/>
              <w:ind w:left="0" w:right="0" w:firstLine="75"/>
              <w:jc w:val="left"/>
              <w:rPr>
                <w:color w:val="000000"/>
              </w:rPr>
            </w:pPr>
            <w:r>
              <w:rPr>
                <w:color w:val="000000"/>
              </w:rPr>
              <w:t> </w:t>
            </w:r>
          </w:p>
        </w:tc>
        <w:tc>
          <w:tcPr>
            <w:tcW w:w="283" w:type="dxa"/>
            <w:tcBorders/>
            <w:shd w:fill="CCEEFF" w:val="clear"/>
            <w:vAlign w:val="bottom"/>
          </w:tcPr>
          <w:p>
            <w:pPr>
              <w:pStyle w:val="TableContents"/>
              <w:spacing w:before="0" w:after="0"/>
              <w:ind w:left="0" w:right="0" w:hanging="0"/>
              <w:jc w:val="right"/>
              <w:rPr>
                <w:color w:val="000000"/>
                <w:bdr w:val="double" w:sz="8" w:space="1" w:color="000000"/>
              </w:rPr>
            </w:pPr>
            <w:r>
              <w:rPr>
                <w:color w:val="000000"/>
                <w:bdr w:val="double" w:sz="8" w:space="1" w:color="000000"/>
              </w:rPr>
              <w:t> </w:t>
            </w:r>
          </w:p>
        </w:tc>
        <w:tc>
          <w:tcPr>
            <w:tcW w:w="1549"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8,591,751</w:t>
            </w:r>
          </w:p>
        </w:tc>
        <w:tc>
          <w:tcPr>
            <w:tcW w:w="225" w:type="dxa"/>
            <w:tcBorders/>
            <w:shd w:fill="CCEEFF" w:val="clear"/>
            <w:vAlign w:val="bottom"/>
          </w:tcPr>
          <w:p>
            <w:pPr>
              <w:pStyle w:val="TableContents"/>
              <w:spacing w:before="0" w:after="0"/>
              <w:jc w:val="left"/>
              <w:rPr>
                <w:color w:val="000000"/>
              </w:rPr>
            </w:pPr>
            <w:r>
              <w:rPr>
                <w:color w:val="000000"/>
              </w:rPr>
              <w:t> </w:t>
            </w:r>
          </w:p>
        </w:tc>
      </w:tr>
    </w:tbl>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78</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before="240" w:after="0"/>
        <w:ind w:left="0" w:right="0" w:hanging="0"/>
        <w:jc w:val="center"/>
        <w:rPr>
          <w:rFonts w:ascii="Times New Roman;Times;Serif" w:hAnsi="Times New Roman;Times;Serif"/>
          <w:b/>
          <w:color w:val="000000"/>
          <w:sz w:val="17"/>
        </w:rPr>
      </w:pPr>
      <w:bookmarkStart w:id="11" w:name="tCAP"/>
      <w:bookmarkEnd w:id="11"/>
      <w:r>
        <w:rPr>
          <w:rFonts w:ascii="Times New Roman;Times;Serif" w:hAnsi="Times New Roman;Times;Serif"/>
          <w:b/>
          <w:color w:val="000000"/>
          <w:sz w:val="17"/>
        </w:rPr>
        <w:t>CAPITALIZATION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The following table sets forth our capitalization at June 30, 2019, and as adjusted to give effect to the sale of our 25,000,000 units in this offering for $250,000,000 (or $10.00 per unit) and the sale of 7,000,000 private placement warrants for $7,000,000 (or $1.00 per warrant) and the application of the estimated net proceeds derived from the sale of such securities: </w:t>
      </w:r>
    </w:p>
    <w:tbl>
      <w:tblPr>
        <w:tblW w:w="5000" w:type="pct"/>
        <w:jc w:val="center"/>
        <w:tblInd w:w="0" w:type="dxa"/>
        <w:tblCellMar>
          <w:top w:w="0" w:type="dxa"/>
          <w:left w:w="0" w:type="dxa"/>
          <w:bottom w:w="0" w:type="dxa"/>
          <w:right w:w="0" w:type="dxa"/>
        </w:tblCellMar>
      </w:tblPr>
      <w:tblGrid>
        <w:gridCol w:w="6161"/>
        <w:gridCol w:w="286"/>
        <w:gridCol w:w="1090"/>
        <w:gridCol w:w="245"/>
        <w:gridCol w:w="286"/>
        <w:gridCol w:w="1747"/>
        <w:gridCol w:w="390"/>
      </w:tblGrid>
      <w:tr>
        <w:trPr/>
        <w:tc>
          <w:tcPr>
            <w:tcW w:w="6161" w:type="dxa"/>
            <w:tcBorders/>
            <w:shd w:fill="auto" w:val="clear"/>
            <w:vAlign w:val="bottom"/>
          </w:tcPr>
          <w:p>
            <w:pPr>
              <w:pStyle w:val="TableContents"/>
              <w:spacing w:before="0" w:after="0"/>
              <w:ind w:left="0" w:right="0" w:firstLine="90"/>
              <w:jc w:val="left"/>
              <w:rPr>
                <w:color w:val="000000"/>
              </w:rPr>
            </w:pPr>
            <w:r>
              <w:rPr>
                <w:color w:val="000000"/>
              </w:rPr>
              <w:t> </w:t>
            </w:r>
          </w:p>
        </w:tc>
        <w:tc>
          <w:tcPr>
            <w:tcW w:w="4044" w:type="dxa"/>
            <w:gridSpan w:val="6"/>
            <w:tcBorders/>
            <w:shd w:fill="auto" w:val="clear"/>
            <w:vAlign w:val="bottom"/>
          </w:tcPr>
          <w:p>
            <w:pPr>
              <w:pStyle w:val="TableContents"/>
              <w:spacing w:before="0" w:after="0"/>
              <w:ind w:left="0" w:right="0" w:hanging="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June 30, 2019</w:t>
            </w:r>
          </w:p>
        </w:tc>
      </w:tr>
      <w:tr>
        <w:trPr/>
        <w:tc>
          <w:tcPr>
            <w:tcW w:w="6161" w:type="dxa"/>
            <w:tcBorders/>
            <w:shd w:fill="auto" w:val="clear"/>
            <w:vAlign w:val="bottom"/>
          </w:tcPr>
          <w:p>
            <w:pPr>
              <w:pStyle w:val="TableContents"/>
              <w:spacing w:before="0" w:after="0"/>
              <w:ind w:left="0" w:right="0" w:firstLine="90"/>
              <w:jc w:val="left"/>
              <w:rPr>
                <w:color w:val="000000"/>
              </w:rPr>
            </w:pPr>
            <w:r>
              <w:rPr>
                <w:color w:val="000000"/>
              </w:rPr>
              <w:t> </w:t>
            </w:r>
          </w:p>
        </w:tc>
        <w:tc>
          <w:tcPr>
            <w:tcW w:w="1621" w:type="dxa"/>
            <w:gridSpan w:val="3"/>
            <w:tcBorders/>
            <w:shd w:fill="auto" w:val="clear"/>
            <w:vAlign w:val="bottom"/>
          </w:tcPr>
          <w:p>
            <w:pPr>
              <w:pStyle w:val="TableContents"/>
              <w:spacing w:before="0" w:after="0"/>
              <w:ind w:left="0" w:right="0" w:firstLine="9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Actual</w:t>
            </w:r>
          </w:p>
        </w:tc>
        <w:tc>
          <w:tcPr>
            <w:tcW w:w="2423" w:type="dxa"/>
            <w:gridSpan w:val="3"/>
            <w:tcBorders/>
            <w:shd w:fill="auto" w:val="clear"/>
            <w:vAlign w:val="bottom"/>
          </w:tcPr>
          <w:p>
            <w:pPr>
              <w:pStyle w:val="TableContents"/>
              <w:spacing w:lineRule="auto" w:line="240" w:before="0" w:after="0"/>
              <w:ind w:left="0" w:right="0" w:hanging="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As Adjusted(2)</w:t>
            </w:r>
          </w:p>
        </w:tc>
      </w:tr>
      <w:tr>
        <w:trPr/>
        <w:tc>
          <w:tcPr>
            <w:tcW w:w="6161" w:type="dxa"/>
            <w:tcBorders/>
            <w:shd w:fill="CCEEFF" w:val="clear"/>
            <w:vAlign w:val="bottom"/>
          </w:tcPr>
          <w:p>
            <w:pPr>
              <w:pStyle w:val="TableContents"/>
              <w:spacing w:lineRule="auto" w:line="240"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Note payable to related party(1)</w:t>
            </w:r>
          </w:p>
        </w:tc>
        <w:tc>
          <w:tcPr>
            <w:tcW w:w="286"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w:t>
            </w:r>
          </w:p>
        </w:tc>
        <w:tc>
          <w:tcPr>
            <w:tcW w:w="1090"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68,625</w:t>
            </w:r>
          </w:p>
        </w:tc>
        <w:tc>
          <w:tcPr>
            <w:tcW w:w="245" w:type="dxa"/>
            <w:tcBorders/>
            <w:shd w:fill="CCEEFF" w:val="clear"/>
            <w:vAlign w:val="bottom"/>
          </w:tcPr>
          <w:p>
            <w:pPr>
              <w:pStyle w:val="TableContents"/>
              <w:spacing w:before="0" w:after="0"/>
              <w:ind w:left="0" w:right="0" w:firstLine="75"/>
              <w:jc w:val="left"/>
              <w:rPr>
                <w:color w:val="000000"/>
              </w:rPr>
            </w:pPr>
            <w:r>
              <w:rPr>
                <w:color w:val="000000"/>
              </w:rPr>
              <w:t> </w:t>
            </w:r>
          </w:p>
        </w:tc>
        <w:tc>
          <w:tcPr>
            <w:tcW w:w="286"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w:t>
            </w:r>
          </w:p>
        </w:tc>
        <w:tc>
          <w:tcPr>
            <w:tcW w:w="1747" w:type="dxa"/>
            <w:tcBorders/>
            <w:shd w:fill="CCEEFF" w:val="clear"/>
            <w:vAlign w:val="bottom"/>
          </w:tcPr>
          <w:p>
            <w:pPr>
              <w:pStyle w:val="TableContents"/>
              <w:spacing w:before="0" w:after="0"/>
              <w:ind w:left="0" w:right="0" w:hanging="0"/>
              <w:jc w:val="right"/>
              <w:rPr>
                <w:color w:val="000000"/>
              </w:rPr>
            </w:pPr>
            <w:r>
              <w:rPr>
                <w:color w:val="000000"/>
              </w:rPr>
              <w:t>—</w:t>
            </w:r>
          </w:p>
        </w:tc>
        <w:tc>
          <w:tcPr>
            <w:tcW w:w="390" w:type="dxa"/>
            <w:tcBorders/>
            <w:shd w:fill="CCEEFF" w:val="clear"/>
            <w:vAlign w:val="bottom"/>
          </w:tcPr>
          <w:p>
            <w:pPr>
              <w:pStyle w:val="TableContents"/>
              <w:spacing w:before="0" w:after="0"/>
              <w:ind w:left="0" w:right="0" w:hanging="0"/>
              <w:jc w:val="left"/>
              <w:rPr>
                <w:color w:val="000000"/>
              </w:rPr>
            </w:pPr>
            <w:r>
              <w:rPr>
                <w:color w:val="000000"/>
              </w:rPr>
              <w:t> </w:t>
            </w:r>
          </w:p>
        </w:tc>
      </w:tr>
      <w:tr>
        <w:trPr/>
        <w:tc>
          <w:tcPr>
            <w:tcW w:w="6161" w:type="dxa"/>
            <w:tcBorders/>
            <w:shd w:fill="auto"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Deferred underwriting commissions</w:t>
            </w:r>
          </w:p>
        </w:tc>
        <w:tc>
          <w:tcPr>
            <w:tcW w:w="286" w:type="dxa"/>
            <w:tcBorders/>
            <w:shd w:fill="auto" w:val="clear"/>
            <w:vAlign w:val="bottom"/>
          </w:tcPr>
          <w:p>
            <w:pPr>
              <w:pStyle w:val="TableContents"/>
              <w:spacing w:before="0" w:after="0"/>
              <w:ind w:left="0" w:right="0" w:hanging="0"/>
              <w:jc w:val="right"/>
              <w:rPr>
                <w:color w:val="000000"/>
              </w:rPr>
            </w:pPr>
            <w:r>
              <w:rPr>
                <w:color w:val="000000"/>
              </w:rPr>
              <w:t> </w:t>
            </w:r>
          </w:p>
        </w:tc>
        <w:tc>
          <w:tcPr>
            <w:tcW w:w="1090" w:type="dxa"/>
            <w:tcBorders/>
            <w:shd w:fill="auto" w:val="clear"/>
            <w:vAlign w:val="bottom"/>
          </w:tcPr>
          <w:p>
            <w:pPr>
              <w:pStyle w:val="TableContents"/>
              <w:spacing w:before="0" w:after="0"/>
              <w:ind w:left="0" w:right="0" w:hanging="0"/>
              <w:jc w:val="right"/>
              <w:rPr>
                <w:color w:val="000000"/>
              </w:rPr>
            </w:pPr>
            <w:r>
              <w:rPr>
                <w:color w:val="000000"/>
              </w:rPr>
              <w:t>—</w:t>
            </w:r>
          </w:p>
        </w:tc>
        <w:tc>
          <w:tcPr>
            <w:tcW w:w="245" w:type="dxa"/>
            <w:tcBorders/>
            <w:shd w:fill="auto" w:val="clear"/>
            <w:vAlign w:val="bottom"/>
          </w:tcPr>
          <w:p>
            <w:pPr>
              <w:pStyle w:val="TableContents"/>
              <w:spacing w:before="0" w:after="0"/>
              <w:ind w:left="0" w:right="0" w:firstLine="75"/>
              <w:jc w:val="left"/>
              <w:rPr>
                <w:color w:val="000000"/>
              </w:rPr>
            </w:pPr>
            <w:r>
              <w:rPr>
                <w:color w:val="000000"/>
              </w:rPr>
              <w:t> </w:t>
            </w:r>
          </w:p>
        </w:tc>
        <w:tc>
          <w:tcPr>
            <w:tcW w:w="286" w:type="dxa"/>
            <w:tcBorders/>
            <w:shd w:fill="auto" w:val="clear"/>
            <w:vAlign w:val="bottom"/>
          </w:tcPr>
          <w:p>
            <w:pPr>
              <w:pStyle w:val="TableContents"/>
              <w:spacing w:before="0" w:after="0"/>
              <w:ind w:left="0" w:right="0" w:hanging="0"/>
              <w:jc w:val="right"/>
              <w:rPr>
                <w:color w:val="000000"/>
                <w:bdr w:val="single" w:sz="8" w:space="1" w:color="000000"/>
              </w:rPr>
            </w:pPr>
            <w:r>
              <w:rPr>
                <w:color w:val="000000"/>
                <w:bdr w:val="single" w:sz="8" w:space="1" w:color="000000"/>
              </w:rPr>
              <w:t> </w:t>
            </w:r>
          </w:p>
        </w:tc>
        <w:tc>
          <w:tcPr>
            <w:tcW w:w="1747"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8,750,000</w:t>
            </w:r>
          </w:p>
        </w:tc>
        <w:tc>
          <w:tcPr>
            <w:tcW w:w="390" w:type="dxa"/>
            <w:tcBorders/>
            <w:shd w:fill="auto" w:val="clear"/>
            <w:vAlign w:val="bottom"/>
          </w:tcPr>
          <w:p>
            <w:pPr>
              <w:pStyle w:val="TableContents"/>
              <w:spacing w:before="0" w:after="0"/>
              <w:ind w:left="0" w:right="0" w:firstLine="195"/>
              <w:jc w:val="left"/>
              <w:rPr>
                <w:color w:val="000000"/>
              </w:rPr>
            </w:pPr>
            <w:r>
              <w:rPr>
                <w:color w:val="000000"/>
              </w:rPr>
              <w:t> </w:t>
            </w:r>
          </w:p>
        </w:tc>
      </w:tr>
      <w:tr>
        <w:trPr/>
        <w:tc>
          <w:tcPr>
            <w:tcW w:w="6161" w:type="dxa"/>
            <w:tcBorders/>
            <w:shd w:fill="CCEEFF" w:val="clear"/>
            <w:vAlign w:val="bottom"/>
          </w:tcPr>
          <w:p>
            <w:pPr>
              <w:pStyle w:val="TableContents"/>
              <w:spacing w:lineRule="auto" w:line="240"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Class A ordinary shares, subject to redemption; -0- shares actual and 23,726,999 shares as adjusted(3)</w:t>
            </w:r>
          </w:p>
        </w:tc>
        <w:tc>
          <w:tcPr>
            <w:tcW w:w="286" w:type="dxa"/>
            <w:tcBorders/>
            <w:shd w:fill="CCEEFF" w:val="clear"/>
            <w:vAlign w:val="bottom"/>
          </w:tcPr>
          <w:p>
            <w:pPr>
              <w:pStyle w:val="TableContents"/>
              <w:spacing w:before="0" w:after="0"/>
              <w:ind w:left="0" w:right="0" w:hanging="0"/>
              <w:jc w:val="right"/>
              <w:rPr>
                <w:color w:val="000000"/>
              </w:rPr>
            </w:pPr>
            <w:r>
              <w:rPr>
                <w:color w:val="000000"/>
              </w:rPr>
              <w:t> </w:t>
            </w:r>
          </w:p>
        </w:tc>
        <w:tc>
          <w:tcPr>
            <w:tcW w:w="1090" w:type="dxa"/>
            <w:tcBorders/>
            <w:shd w:fill="CCEEFF" w:val="clear"/>
            <w:vAlign w:val="bottom"/>
          </w:tcPr>
          <w:p>
            <w:pPr>
              <w:pStyle w:val="TableContents"/>
              <w:spacing w:before="0" w:after="0"/>
              <w:ind w:left="0" w:right="0" w:hanging="0"/>
              <w:jc w:val="right"/>
              <w:rPr>
                <w:color w:val="000000"/>
              </w:rPr>
            </w:pPr>
            <w:r>
              <w:rPr>
                <w:color w:val="000000"/>
              </w:rPr>
              <w:t>—</w:t>
            </w:r>
          </w:p>
        </w:tc>
        <w:tc>
          <w:tcPr>
            <w:tcW w:w="245" w:type="dxa"/>
            <w:tcBorders/>
            <w:shd w:fill="CCEEFF" w:val="clear"/>
            <w:vAlign w:val="bottom"/>
          </w:tcPr>
          <w:p>
            <w:pPr>
              <w:pStyle w:val="TableContents"/>
              <w:spacing w:before="0" w:after="0"/>
              <w:ind w:left="0" w:right="0" w:firstLine="75"/>
              <w:jc w:val="left"/>
              <w:rPr>
                <w:color w:val="000000"/>
              </w:rPr>
            </w:pPr>
            <w:r>
              <w:rPr>
                <w:color w:val="000000"/>
              </w:rPr>
              <w:t> </w:t>
            </w:r>
          </w:p>
        </w:tc>
        <w:tc>
          <w:tcPr>
            <w:tcW w:w="286" w:type="dxa"/>
            <w:tcBorders/>
            <w:shd w:fill="CCEEFF" w:val="clear"/>
            <w:vAlign w:val="bottom"/>
          </w:tcPr>
          <w:p>
            <w:pPr>
              <w:pStyle w:val="TableContents"/>
              <w:spacing w:before="0" w:after="0"/>
              <w:ind w:left="0" w:right="0" w:hanging="0"/>
              <w:jc w:val="right"/>
              <w:rPr>
                <w:color w:val="000000"/>
                <w:bdr w:val="single" w:sz="8" w:space="1" w:color="000000"/>
              </w:rPr>
            </w:pPr>
            <w:r>
              <w:rPr>
                <w:color w:val="000000"/>
                <w:bdr w:val="single" w:sz="8" w:space="1" w:color="000000"/>
              </w:rPr>
              <w:t> </w:t>
            </w:r>
          </w:p>
        </w:tc>
        <w:tc>
          <w:tcPr>
            <w:tcW w:w="1747"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237,269,990</w:t>
            </w:r>
          </w:p>
        </w:tc>
        <w:tc>
          <w:tcPr>
            <w:tcW w:w="390" w:type="dxa"/>
            <w:tcBorders/>
            <w:shd w:fill="CCEEFF" w:val="clear"/>
            <w:vAlign w:val="bottom"/>
          </w:tcPr>
          <w:p>
            <w:pPr>
              <w:pStyle w:val="TableContents"/>
              <w:spacing w:before="0" w:after="0"/>
              <w:ind w:left="0" w:right="0" w:hanging="0"/>
              <w:jc w:val="left"/>
              <w:rPr>
                <w:color w:val="000000"/>
              </w:rPr>
            </w:pPr>
            <w:r>
              <w:rPr>
                <w:color w:val="000000"/>
              </w:rPr>
              <w:t> </w:t>
            </w:r>
          </w:p>
        </w:tc>
      </w:tr>
      <w:tr>
        <w:trPr/>
        <w:tc>
          <w:tcPr>
            <w:tcW w:w="6161" w:type="dxa"/>
            <w:tcBorders/>
            <w:shd w:fill="auto" w:val="clear"/>
            <w:vAlign w:val="bottom"/>
          </w:tcPr>
          <w:p>
            <w:pPr>
              <w:pStyle w:val="TableContents"/>
              <w:spacing w:before="0" w:after="0"/>
              <w:ind w:left="0" w:right="0" w:firstLine="75"/>
              <w:jc w:val="left"/>
              <w:rPr>
                <w:rFonts w:ascii="Times New Roman;Times;Serif" w:hAnsi="Times New Roman;Times;Serif"/>
                <w:b/>
                <w:color w:val="000000"/>
                <w:sz w:val="17"/>
              </w:rPr>
            </w:pPr>
            <w:r>
              <w:rPr>
                <w:rFonts w:ascii="Times New Roman;Times;Serif" w:hAnsi="Times New Roman;Times;Serif"/>
                <w:b/>
                <w:color w:val="000000"/>
                <w:sz w:val="17"/>
              </w:rPr>
              <w:t>Shareholders’ equity:</w:t>
            </w:r>
          </w:p>
        </w:tc>
        <w:tc>
          <w:tcPr>
            <w:tcW w:w="286" w:type="dxa"/>
            <w:tcBorders/>
            <w:shd w:fill="auto" w:val="clear"/>
            <w:vAlign w:val="bottom"/>
          </w:tcPr>
          <w:p>
            <w:pPr>
              <w:pStyle w:val="TableContents"/>
              <w:spacing w:before="0" w:after="0"/>
              <w:ind w:left="0" w:right="0" w:hanging="0"/>
              <w:jc w:val="right"/>
              <w:rPr>
                <w:color w:val="000000"/>
              </w:rPr>
            </w:pPr>
            <w:r>
              <w:rPr>
                <w:color w:val="000000"/>
              </w:rPr>
              <w:t> </w:t>
            </w:r>
          </w:p>
        </w:tc>
        <w:tc>
          <w:tcPr>
            <w:tcW w:w="1090" w:type="dxa"/>
            <w:tcBorders/>
            <w:shd w:fill="auto" w:val="clear"/>
            <w:vAlign w:val="bottom"/>
          </w:tcPr>
          <w:p>
            <w:pPr>
              <w:pStyle w:val="TableContents"/>
              <w:spacing w:before="0" w:after="0"/>
              <w:ind w:left="0" w:right="0" w:hanging="0"/>
              <w:jc w:val="right"/>
              <w:rPr>
                <w:color w:val="000000"/>
              </w:rPr>
            </w:pPr>
            <w:r>
              <w:rPr>
                <w:color w:val="000000"/>
              </w:rPr>
              <w:t> </w:t>
            </w:r>
          </w:p>
        </w:tc>
        <w:tc>
          <w:tcPr>
            <w:tcW w:w="245" w:type="dxa"/>
            <w:tcBorders/>
            <w:shd w:fill="auto" w:val="clear"/>
            <w:vAlign w:val="bottom"/>
          </w:tcPr>
          <w:p>
            <w:pPr>
              <w:pStyle w:val="TableContents"/>
              <w:spacing w:before="0" w:after="0"/>
              <w:ind w:left="0" w:right="0" w:firstLine="75"/>
              <w:jc w:val="left"/>
              <w:rPr>
                <w:color w:val="000000"/>
              </w:rPr>
            </w:pPr>
            <w:r>
              <w:rPr>
                <w:color w:val="000000"/>
              </w:rPr>
              <w:t> </w:t>
            </w:r>
          </w:p>
        </w:tc>
        <w:tc>
          <w:tcPr>
            <w:tcW w:w="286" w:type="dxa"/>
            <w:tcBorders/>
            <w:shd w:fill="auto" w:val="clear"/>
            <w:vAlign w:val="bottom"/>
          </w:tcPr>
          <w:p>
            <w:pPr>
              <w:pStyle w:val="TableContents"/>
              <w:spacing w:before="0" w:after="0"/>
              <w:ind w:left="0" w:right="0" w:hanging="0"/>
              <w:jc w:val="right"/>
              <w:rPr>
                <w:color w:val="000000"/>
              </w:rPr>
            </w:pPr>
            <w:r>
              <w:rPr>
                <w:color w:val="000000"/>
              </w:rPr>
              <w:t> </w:t>
            </w:r>
          </w:p>
        </w:tc>
        <w:tc>
          <w:tcPr>
            <w:tcW w:w="1747" w:type="dxa"/>
            <w:tcBorders/>
            <w:shd w:fill="auto" w:val="clear"/>
            <w:vAlign w:val="bottom"/>
          </w:tcPr>
          <w:p>
            <w:pPr>
              <w:pStyle w:val="TableContents"/>
              <w:spacing w:before="0" w:after="0"/>
              <w:ind w:left="0" w:right="0" w:hanging="0"/>
              <w:jc w:val="right"/>
              <w:rPr>
                <w:color w:val="000000"/>
              </w:rPr>
            </w:pPr>
            <w:r>
              <w:rPr>
                <w:color w:val="000000"/>
              </w:rPr>
              <w:t> </w:t>
            </w:r>
          </w:p>
        </w:tc>
        <w:tc>
          <w:tcPr>
            <w:tcW w:w="390" w:type="dxa"/>
            <w:tcBorders/>
            <w:shd w:fill="auto" w:val="clear"/>
            <w:vAlign w:val="bottom"/>
          </w:tcPr>
          <w:p>
            <w:pPr>
              <w:pStyle w:val="TableContents"/>
              <w:spacing w:before="0" w:after="0"/>
              <w:ind w:left="0" w:right="0" w:firstLine="195"/>
              <w:jc w:val="left"/>
              <w:rPr>
                <w:color w:val="000000"/>
              </w:rPr>
            </w:pPr>
            <w:r>
              <w:rPr>
                <w:color w:val="000000"/>
              </w:rPr>
              <w:t> </w:t>
            </w:r>
          </w:p>
        </w:tc>
      </w:tr>
      <w:tr>
        <w:trPr/>
        <w:tc>
          <w:tcPr>
            <w:tcW w:w="6161" w:type="dxa"/>
            <w:tcBorders/>
            <w:shd w:fill="CCEEFF"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Preferred shares, $0.0001 par value, 1,000,000 shares authorized; none issued and outstanding, actual and as adjusted</w:t>
            </w:r>
          </w:p>
        </w:tc>
        <w:tc>
          <w:tcPr>
            <w:tcW w:w="286" w:type="dxa"/>
            <w:tcBorders/>
            <w:shd w:fill="CCEEFF" w:val="clear"/>
            <w:vAlign w:val="bottom"/>
          </w:tcPr>
          <w:p>
            <w:pPr>
              <w:pStyle w:val="TableContents"/>
              <w:spacing w:before="0" w:after="0"/>
              <w:ind w:left="0" w:right="0" w:hanging="0"/>
              <w:jc w:val="right"/>
              <w:rPr>
                <w:color w:val="000000"/>
              </w:rPr>
            </w:pPr>
            <w:r>
              <w:rPr>
                <w:color w:val="000000"/>
              </w:rPr>
              <w:t> </w:t>
            </w:r>
          </w:p>
        </w:tc>
        <w:tc>
          <w:tcPr>
            <w:tcW w:w="1090" w:type="dxa"/>
            <w:tcBorders/>
            <w:shd w:fill="CCEEFF" w:val="clear"/>
            <w:vAlign w:val="bottom"/>
          </w:tcPr>
          <w:p>
            <w:pPr>
              <w:pStyle w:val="TableContents"/>
              <w:spacing w:before="0" w:after="0"/>
              <w:ind w:left="0" w:right="0" w:hanging="0"/>
              <w:jc w:val="right"/>
              <w:rPr>
                <w:color w:val="000000"/>
              </w:rPr>
            </w:pPr>
            <w:r>
              <w:rPr>
                <w:color w:val="000000"/>
              </w:rPr>
              <w:t>—</w:t>
            </w:r>
          </w:p>
        </w:tc>
        <w:tc>
          <w:tcPr>
            <w:tcW w:w="245" w:type="dxa"/>
            <w:tcBorders/>
            <w:shd w:fill="CCEEFF" w:val="clear"/>
            <w:vAlign w:val="bottom"/>
          </w:tcPr>
          <w:p>
            <w:pPr>
              <w:pStyle w:val="TableContents"/>
              <w:spacing w:before="0" w:after="0"/>
              <w:ind w:left="0" w:right="0" w:firstLine="75"/>
              <w:jc w:val="left"/>
              <w:rPr>
                <w:color w:val="000000"/>
              </w:rPr>
            </w:pPr>
            <w:r>
              <w:rPr>
                <w:color w:val="000000"/>
              </w:rPr>
              <w:t> </w:t>
            </w:r>
          </w:p>
        </w:tc>
        <w:tc>
          <w:tcPr>
            <w:tcW w:w="286" w:type="dxa"/>
            <w:tcBorders/>
            <w:shd w:fill="CCEEFF" w:val="clear"/>
            <w:vAlign w:val="bottom"/>
          </w:tcPr>
          <w:p>
            <w:pPr>
              <w:pStyle w:val="TableContents"/>
              <w:spacing w:before="0" w:after="0"/>
              <w:ind w:left="0" w:right="0" w:hanging="0"/>
              <w:jc w:val="right"/>
              <w:rPr>
                <w:color w:val="000000"/>
              </w:rPr>
            </w:pPr>
            <w:r>
              <w:rPr>
                <w:color w:val="000000"/>
              </w:rPr>
              <w:t> </w:t>
            </w:r>
          </w:p>
        </w:tc>
        <w:tc>
          <w:tcPr>
            <w:tcW w:w="1747" w:type="dxa"/>
            <w:tcBorders/>
            <w:shd w:fill="CCEEFF" w:val="clear"/>
            <w:vAlign w:val="bottom"/>
          </w:tcPr>
          <w:p>
            <w:pPr>
              <w:pStyle w:val="TableContents"/>
              <w:spacing w:before="0" w:after="0"/>
              <w:ind w:left="0" w:right="0" w:hanging="0"/>
              <w:jc w:val="right"/>
              <w:rPr>
                <w:color w:val="000000"/>
              </w:rPr>
            </w:pPr>
            <w:r>
              <w:rPr>
                <w:color w:val="000000"/>
              </w:rPr>
              <w:t>—</w:t>
            </w:r>
          </w:p>
        </w:tc>
        <w:tc>
          <w:tcPr>
            <w:tcW w:w="390" w:type="dxa"/>
            <w:tcBorders/>
            <w:shd w:fill="CCEEFF" w:val="clear"/>
            <w:vAlign w:val="bottom"/>
          </w:tcPr>
          <w:p>
            <w:pPr>
              <w:pStyle w:val="TableContents"/>
              <w:spacing w:before="0" w:after="0"/>
              <w:ind w:left="0" w:right="0" w:firstLine="195"/>
              <w:jc w:val="left"/>
              <w:rPr>
                <w:color w:val="000000"/>
              </w:rPr>
            </w:pPr>
            <w:r>
              <w:rPr>
                <w:color w:val="000000"/>
              </w:rPr>
              <w:t> </w:t>
            </w:r>
          </w:p>
        </w:tc>
      </w:tr>
      <w:tr>
        <w:trPr/>
        <w:tc>
          <w:tcPr>
            <w:tcW w:w="6161" w:type="dxa"/>
            <w:tcBorders/>
            <w:shd w:fill="auto"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Class A ordinary shares, $0.0001 par value, 200,000,000 shares authorized; no shares issued and outstanding, actual; 1,273,001 shares issued and outstanding (excluding 23,726,999 shares subject to possible redemption), as adjusted</w:t>
            </w:r>
          </w:p>
        </w:tc>
        <w:tc>
          <w:tcPr>
            <w:tcW w:w="286" w:type="dxa"/>
            <w:tcBorders/>
            <w:shd w:fill="auto" w:val="clear"/>
            <w:vAlign w:val="bottom"/>
          </w:tcPr>
          <w:p>
            <w:pPr>
              <w:pStyle w:val="TableContents"/>
              <w:spacing w:before="0" w:after="0"/>
              <w:ind w:left="0" w:right="0" w:hanging="0"/>
              <w:jc w:val="right"/>
              <w:rPr>
                <w:color w:val="000000"/>
              </w:rPr>
            </w:pPr>
            <w:r>
              <w:rPr>
                <w:color w:val="000000"/>
              </w:rPr>
              <w:t> </w:t>
            </w:r>
          </w:p>
        </w:tc>
        <w:tc>
          <w:tcPr>
            <w:tcW w:w="1090" w:type="dxa"/>
            <w:tcBorders/>
            <w:shd w:fill="auto" w:val="clear"/>
            <w:vAlign w:val="bottom"/>
          </w:tcPr>
          <w:p>
            <w:pPr>
              <w:pStyle w:val="TableContents"/>
              <w:spacing w:before="0" w:after="0"/>
              <w:ind w:left="0" w:right="0" w:hanging="0"/>
              <w:jc w:val="right"/>
              <w:rPr>
                <w:color w:val="000000"/>
              </w:rPr>
            </w:pPr>
            <w:r>
              <w:rPr>
                <w:color w:val="000000"/>
              </w:rPr>
              <w:t>—</w:t>
            </w:r>
          </w:p>
        </w:tc>
        <w:tc>
          <w:tcPr>
            <w:tcW w:w="245" w:type="dxa"/>
            <w:tcBorders/>
            <w:shd w:fill="auto" w:val="clear"/>
            <w:vAlign w:val="bottom"/>
          </w:tcPr>
          <w:p>
            <w:pPr>
              <w:pStyle w:val="TableContents"/>
              <w:spacing w:before="0" w:after="0"/>
              <w:ind w:left="0" w:right="0" w:firstLine="75"/>
              <w:jc w:val="left"/>
              <w:rPr>
                <w:color w:val="000000"/>
              </w:rPr>
            </w:pPr>
            <w:r>
              <w:rPr>
                <w:color w:val="000000"/>
              </w:rPr>
              <w:t> </w:t>
            </w:r>
          </w:p>
        </w:tc>
        <w:tc>
          <w:tcPr>
            <w:tcW w:w="286" w:type="dxa"/>
            <w:tcBorders/>
            <w:shd w:fill="auto" w:val="clear"/>
            <w:vAlign w:val="bottom"/>
          </w:tcPr>
          <w:p>
            <w:pPr>
              <w:pStyle w:val="TableContents"/>
              <w:spacing w:before="0" w:after="0"/>
              <w:ind w:left="0" w:right="0" w:hanging="0"/>
              <w:jc w:val="right"/>
              <w:rPr>
                <w:color w:val="000000"/>
              </w:rPr>
            </w:pPr>
            <w:r>
              <w:rPr>
                <w:color w:val="000000"/>
              </w:rPr>
              <w:t> </w:t>
            </w:r>
          </w:p>
        </w:tc>
        <w:tc>
          <w:tcPr>
            <w:tcW w:w="1747"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127</w:t>
            </w:r>
          </w:p>
        </w:tc>
        <w:tc>
          <w:tcPr>
            <w:tcW w:w="390" w:type="dxa"/>
            <w:tcBorders/>
            <w:shd w:fill="auto" w:val="clear"/>
            <w:vAlign w:val="bottom"/>
          </w:tcPr>
          <w:p>
            <w:pPr>
              <w:pStyle w:val="TableContents"/>
              <w:spacing w:before="0" w:after="0"/>
              <w:ind w:left="0" w:right="0" w:firstLine="195"/>
              <w:jc w:val="left"/>
              <w:rPr>
                <w:color w:val="000000"/>
              </w:rPr>
            </w:pPr>
            <w:r>
              <w:rPr>
                <w:color w:val="000000"/>
              </w:rPr>
              <w:t> </w:t>
            </w:r>
          </w:p>
        </w:tc>
      </w:tr>
      <w:tr>
        <w:trPr/>
        <w:tc>
          <w:tcPr>
            <w:tcW w:w="6161" w:type="dxa"/>
            <w:tcBorders/>
            <w:shd w:fill="CCEEFF" w:val="clear"/>
            <w:vAlign w:val="bottom"/>
          </w:tcPr>
          <w:p>
            <w:pPr>
              <w:pStyle w:val="TableContents"/>
              <w:spacing w:lineRule="auto" w:line="240"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Class B ordinary shares, $0.0001 par value; 20,000,000 shares authorized; 7,187,500 and 6,250,000 shares issued and outstanding, actual and as adjusted, respectively(4)</w:t>
            </w:r>
          </w:p>
        </w:tc>
        <w:tc>
          <w:tcPr>
            <w:tcW w:w="286" w:type="dxa"/>
            <w:tcBorders/>
            <w:shd w:fill="CCEEFF" w:val="clear"/>
            <w:vAlign w:val="bottom"/>
          </w:tcPr>
          <w:p>
            <w:pPr>
              <w:pStyle w:val="TableContents"/>
              <w:spacing w:before="0" w:after="0"/>
              <w:ind w:left="0" w:right="0" w:hanging="0"/>
              <w:jc w:val="right"/>
              <w:rPr>
                <w:color w:val="000000"/>
              </w:rPr>
            </w:pPr>
            <w:r>
              <w:rPr>
                <w:color w:val="000000"/>
              </w:rPr>
              <w:t> </w:t>
            </w:r>
          </w:p>
        </w:tc>
        <w:tc>
          <w:tcPr>
            <w:tcW w:w="1090"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719</w:t>
            </w:r>
          </w:p>
        </w:tc>
        <w:tc>
          <w:tcPr>
            <w:tcW w:w="245" w:type="dxa"/>
            <w:tcBorders/>
            <w:shd w:fill="CCEEFF" w:val="clear"/>
            <w:vAlign w:val="bottom"/>
          </w:tcPr>
          <w:p>
            <w:pPr>
              <w:pStyle w:val="TableContents"/>
              <w:spacing w:before="0" w:after="0"/>
              <w:ind w:left="0" w:right="0" w:firstLine="75"/>
              <w:jc w:val="left"/>
              <w:rPr>
                <w:color w:val="000000"/>
              </w:rPr>
            </w:pPr>
            <w:r>
              <w:rPr>
                <w:color w:val="000000"/>
              </w:rPr>
              <w:t> </w:t>
            </w:r>
          </w:p>
        </w:tc>
        <w:tc>
          <w:tcPr>
            <w:tcW w:w="286" w:type="dxa"/>
            <w:tcBorders/>
            <w:shd w:fill="CCEEFF" w:val="clear"/>
            <w:vAlign w:val="bottom"/>
          </w:tcPr>
          <w:p>
            <w:pPr>
              <w:pStyle w:val="TableContents"/>
              <w:spacing w:before="0" w:after="0"/>
              <w:ind w:left="0" w:right="0" w:hanging="0"/>
              <w:jc w:val="right"/>
              <w:rPr>
                <w:color w:val="000000"/>
              </w:rPr>
            </w:pPr>
            <w:r>
              <w:rPr>
                <w:color w:val="000000"/>
              </w:rPr>
              <w:t> </w:t>
            </w:r>
          </w:p>
        </w:tc>
        <w:tc>
          <w:tcPr>
            <w:tcW w:w="1747"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625</w:t>
            </w:r>
          </w:p>
        </w:tc>
        <w:tc>
          <w:tcPr>
            <w:tcW w:w="390" w:type="dxa"/>
            <w:tcBorders/>
            <w:shd w:fill="CCEEFF" w:val="clear"/>
            <w:vAlign w:val="bottom"/>
          </w:tcPr>
          <w:p>
            <w:pPr>
              <w:pStyle w:val="TableContents"/>
              <w:spacing w:before="0" w:after="0"/>
              <w:ind w:left="0" w:right="0" w:hanging="0"/>
              <w:jc w:val="left"/>
              <w:rPr>
                <w:color w:val="000000"/>
              </w:rPr>
            </w:pPr>
            <w:r>
              <w:rPr>
                <w:color w:val="000000"/>
              </w:rPr>
              <w:t> </w:t>
            </w:r>
          </w:p>
        </w:tc>
      </w:tr>
      <w:tr>
        <w:trPr/>
        <w:tc>
          <w:tcPr>
            <w:tcW w:w="6161" w:type="dxa"/>
            <w:tcBorders/>
            <w:shd w:fill="auto" w:val="clear"/>
            <w:vAlign w:val="bottom"/>
          </w:tcPr>
          <w:p>
            <w:pPr>
              <w:pStyle w:val="TableContents"/>
              <w:spacing w:lineRule="auto" w:line="240"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Additional paid-in capital(5)</w:t>
            </w:r>
          </w:p>
        </w:tc>
        <w:tc>
          <w:tcPr>
            <w:tcW w:w="286" w:type="dxa"/>
            <w:tcBorders/>
            <w:shd w:fill="auto" w:val="clear"/>
            <w:vAlign w:val="bottom"/>
          </w:tcPr>
          <w:p>
            <w:pPr>
              <w:pStyle w:val="TableContents"/>
              <w:spacing w:before="0" w:after="0"/>
              <w:ind w:left="0" w:right="0" w:hanging="0"/>
              <w:jc w:val="right"/>
              <w:rPr>
                <w:color w:val="000000"/>
              </w:rPr>
            </w:pPr>
            <w:r>
              <w:rPr>
                <w:color w:val="000000"/>
              </w:rPr>
              <w:t> </w:t>
            </w:r>
          </w:p>
        </w:tc>
        <w:tc>
          <w:tcPr>
            <w:tcW w:w="1090"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24,281</w:t>
            </w:r>
          </w:p>
        </w:tc>
        <w:tc>
          <w:tcPr>
            <w:tcW w:w="245" w:type="dxa"/>
            <w:tcBorders/>
            <w:shd w:fill="auto" w:val="clear"/>
            <w:vAlign w:val="bottom"/>
          </w:tcPr>
          <w:p>
            <w:pPr>
              <w:pStyle w:val="TableContents"/>
              <w:spacing w:before="0" w:after="0"/>
              <w:ind w:left="0" w:right="0" w:firstLine="75"/>
              <w:jc w:val="left"/>
              <w:rPr>
                <w:color w:val="000000"/>
              </w:rPr>
            </w:pPr>
            <w:r>
              <w:rPr>
                <w:color w:val="000000"/>
              </w:rPr>
              <w:t> </w:t>
            </w:r>
          </w:p>
        </w:tc>
        <w:tc>
          <w:tcPr>
            <w:tcW w:w="286" w:type="dxa"/>
            <w:tcBorders/>
            <w:shd w:fill="auto" w:val="clear"/>
            <w:vAlign w:val="bottom"/>
          </w:tcPr>
          <w:p>
            <w:pPr>
              <w:pStyle w:val="TableContents"/>
              <w:spacing w:before="0" w:after="0"/>
              <w:ind w:left="0" w:right="0" w:hanging="0"/>
              <w:jc w:val="right"/>
              <w:rPr>
                <w:color w:val="000000"/>
              </w:rPr>
            </w:pPr>
            <w:r>
              <w:rPr>
                <w:color w:val="000000"/>
              </w:rPr>
              <w:t> </w:t>
            </w:r>
          </w:p>
        </w:tc>
        <w:tc>
          <w:tcPr>
            <w:tcW w:w="1747"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5,004,258</w:t>
            </w:r>
          </w:p>
        </w:tc>
        <w:tc>
          <w:tcPr>
            <w:tcW w:w="390" w:type="dxa"/>
            <w:tcBorders/>
            <w:shd w:fill="auto" w:val="clear"/>
            <w:vAlign w:val="bottom"/>
          </w:tcPr>
          <w:p>
            <w:pPr>
              <w:pStyle w:val="TableContents"/>
              <w:spacing w:before="0" w:after="0"/>
              <w:ind w:left="0" w:right="0" w:hanging="0"/>
              <w:jc w:val="left"/>
              <w:rPr>
                <w:color w:val="000000"/>
              </w:rPr>
            </w:pPr>
            <w:r>
              <w:rPr>
                <w:color w:val="000000"/>
              </w:rPr>
              <w:t> </w:t>
            </w:r>
          </w:p>
        </w:tc>
      </w:tr>
      <w:tr>
        <w:trPr/>
        <w:tc>
          <w:tcPr>
            <w:tcW w:w="6161" w:type="dxa"/>
            <w:tcBorders/>
            <w:shd w:fill="CCEEFF"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Accumulated deficit</w:t>
            </w:r>
          </w:p>
        </w:tc>
        <w:tc>
          <w:tcPr>
            <w:tcW w:w="286" w:type="dxa"/>
            <w:tcBorders/>
            <w:shd w:fill="CCEEFF" w:val="clear"/>
            <w:vAlign w:val="bottom"/>
          </w:tcPr>
          <w:p>
            <w:pPr>
              <w:pStyle w:val="TableContents"/>
              <w:spacing w:before="0" w:after="0"/>
              <w:ind w:left="0" w:right="0" w:hanging="0"/>
              <w:jc w:val="right"/>
              <w:rPr>
                <w:color w:val="000000"/>
                <w:bdr w:val="single" w:sz="8" w:space="1" w:color="000000"/>
              </w:rPr>
            </w:pPr>
            <w:r>
              <w:rPr>
                <w:color w:val="000000"/>
                <w:bdr w:val="single" w:sz="8" w:space="1" w:color="000000"/>
              </w:rPr>
              <w:t> </w:t>
            </w:r>
          </w:p>
        </w:tc>
        <w:tc>
          <w:tcPr>
            <w:tcW w:w="1090"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(5,000</w:t>
            </w:r>
          </w:p>
        </w:tc>
        <w:tc>
          <w:tcPr>
            <w:tcW w:w="245" w:type="dxa"/>
            <w:tcBorders/>
            <w:shd w:fill="CCEEFF"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w:t>
            </w:r>
          </w:p>
        </w:tc>
        <w:tc>
          <w:tcPr>
            <w:tcW w:w="286" w:type="dxa"/>
            <w:tcBorders/>
            <w:shd w:fill="CCEEFF" w:val="clear"/>
            <w:vAlign w:val="bottom"/>
          </w:tcPr>
          <w:p>
            <w:pPr>
              <w:pStyle w:val="TableContents"/>
              <w:spacing w:before="0" w:after="0"/>
              <w:ind w:left="0" w:right="0" w:hanging="0"/>
              <w:jc w:val="right"/>
              <w:rPr>
                <w:color w:val="000000"/>
                <w:bdr w:val="single" w:sz="8" w:space="1" w:color="000000"/>
              </w:rPr>
            </w:pPr>
            <w:r>
              <w:rPr>
                <w:color w:val="000000"/>
                <w:bdr w:val="single" w:sz="8" w:space="1" w:color="000000"/>
              </w:rPr>
              <w:t> </w:t>
            </w:r>
          </w:p>
        </w:tc>
        <w:tc>
          <w:tcPr>
            <w:tcW w:w="1747"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(5,000</w:t>
            </w:r>
          </w:p>
        </w:tc>
        <w:tc>
          <w:tcPr>
            <w:tcW w:w="390" w:type="dxa"/>
            <w:tcBorders/>
            <w:shd w:fill="CCEEFF" w:val="clear"/>
            <w:vAlign w:val="bottom"/>
          </w:tcPr>
          <w:p>
            <w:pPr>
              <w:pStyle w:val="TableContents"/>
              <w:spacing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p>
        </w:tc>
      </w:tr>
      <w:tr>
        <w:trPr/>
        <w:tc>
          <w:tcPr>
            <w:tcW w:w="6161" w:type="dxa"/>
            <w:tcBorders/>
            <w:shd w:fill="auto"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Total shareholders’ equity</w:t>
            </w:r>
          </w:p>
        </w:tc>
        <w:tc>
          <w:tcPr>
            <w:tcW w:w="286"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w:t>
            </w:r>
          </w:p>
        </w:tc>
        <w:tc>
          <w:tcPr>
            <w:tcW w:w="1090"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20,000</w:t>
            </w:r>
          </w:p>
        </w:tc>
        <w:tc>
          <w:tcPr>
            <w:tcW w:w="245" w:type="dxa"/>
            <w:tcBorders/>
            <w:shd w:fill="auto" w:val="clear"/>
            <w:vAlign w:val="bottom"/>
          </w:tcPr>
          <w:p>
            <w:pPr>
              <w:pStyle w:val="TableContents"/>
              <w:spacing w:before="0" w:after="0"/>
              <w:ind w:left="0" w:right="0" w:firstLine="75"/>
              <w:jc w:val="left"/>
              <w:rPr>
                <w:color w:val="000000"/>
              </w:rPr>
            </w:pPr>
            <w:r>
              <w:rPr>
                <w:color w:val="000000"/>
              </w:rPr>
              <w:t> </w:t>
            </w:r>
          </w:p>
        </w:tc>
        <w:tc>
          <w:tcPr>
            <w:tcW w:w="286"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w:t>
            </w:r>
          </w:p>
        </w:tc>
        <w:tc>
          <w:tcPr>
            <w:tcW w:w="1747"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5,000,010</w:t>
            </w:r>
          </w:p>
        </w:tc>
        <w:tc>
          <w:tcPr>
            <w:tcW w:w="390" w:type="dxa"/>
            <w:tcBorders/>
            <w:shd w:fill="auto" w:val="clear"/>
            <w:vAlign w:val="bottom"/>
          </w:tcPr>
          <w:p>
            <w:pPr>
              <w:pStyle w:val="TableContents"/>
              <w:spacing w:before="0" w:after="0"/>
              <w:ind w:left="0" w:right="0" w:hanging="0"/>
              <w:jc w:val="left"/>
              <w:rPr>
                <w:color w:val="000000"/>
              </w:rPr>
            </w:pPr>
            <w:r>
              <w:rPr>
                <w:color w:val="000000"/>
              </w:rPr>
              <w:t> </w:t>
            </w:r>
          </w:p>
        </w:tc>
      </w:tr>
      <w:tr>
        <w:trPr/>
        <w:tc>
          <w:tcPr>
            <w:tcW w:w="6161" w:type="dxa"/>
            <w:tcBorders/>
            <w:shd w:fill="CCEEFF"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Total capitalization</w:t>
            </w:r>
          </w:p>
        </w:tc>
        <w:tc>
          <w:tcPr>
            <w:tcW w:w="286"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w:t>
            </w:r>
          </w:p>
        </w:tc>
        <w:tc>
          <w:tcPr>
            <w:tcW w:w="1090"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88,625</w:t>
            </w:r>
          </w:p>
        </w:tc>
        <w:tc>
          <w:tcPr>
            <w:tcW w:w="245" w:type="dxa"/>
            <w:tcBorders/>
            <w:shd w:fill="CCEEFF" w:val="clear"/>
            <w:vAlign w:val="bottom"/>
          </w:tcPr>
          <w:p>
            <w:pPr>
              <w:pStyle w:val="TableContents"/>
              <w:spacing w:before="0" w:after="0"/>
              <w:ind w:left="0" w:right="0" w:firstLine="75"/>
              <w:jc w:val="left"/>
              <w:rPr>
                <w:color w:val="000000"/>
              </w:rPr>
            </w:pPr>
            <w:r>
              <w:rPr>
                <w:color w:val="000000"/>
              </w:rPr>
              <w:t> </w:t>
            </w:r>
          </w:p>
        </w:tc>
        <w:tc>
          <w:tcPr>
            <w:tcW w:w="286"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w:t>
            </w:r>
          </w:p>
        </w:tc>
        <w:tc>
          <w:tcPr>
            <w:tcW w:w="1747"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251,020,000</w:t>
            </w:r>
          </w:p>
        </w:tc>
        <w:tc>
          <w:tcPr>
            <w:tcW w:w="390" w:type="dxa"/>
            <w:tcBorders/>
            <w:shd w:fill="CCEEFF" w:val="clear"/>
            <w:vAlign w:val="bottom"/>
          </w:tcPr>
          <w:p>
            <w:pPr>
              <w:pStyle w:val="TableContents"/>
              <w:spacing w:before="0" w:after="0"/>
              <w:jc w:val="left"/>
              <w:rPr>
                <w:color w:val="000000"/>
              </w:rPr>
            </w:pPr>
            <w:r>
              <w:rPr>
                <w:color w:val="000000"/>
              </w:rPr>
              <w:t> </w:t>
            </w:r>
          </w:p>
        </w:tc>
      </w:tr>
    </w:tbl>
    <w:tbl>
      <w:tblPr>
        <w:tblW w:w="5000" w:type="pct"/>
        <w:jc w:val="left"/>
        <w:tblInd w:w="0" w:type="dxa"/>
        <w:tblCellMar>
          <w:top w:w="0" w:type="dxa"/>
          <w:left w:w="0" w:type="dxa"/>
          <w:bottom w:w="0" w:type="dxa"/>
          <w:right w:w="0" w:type="dxa"/>
        </w:tblCellMar>
      </w:tblPr>
      <w:tblGrid>
        <w:gridCol w:w="37"/>
        <w:gridCol w:w="304"/>
        <w:gridCol w:w="9864"/>
      </w:tblGrid>
      <w:tr>
        <w:trPr/>
        <w:tc>
          <w:tcPr>
            <w:tcW w:w="37"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jc w:val="left"/>
              <w:rPr>
                <w:rFonts w:ascii="Times New Roman;Times;Serif" w:hAnsi="Times New Roman;Times;Serif"/>
                <w:color w:val="000000"/>
                <w:sz w:val="12"/>
              </w:rPr>
            </w:pPr>
            <w:r>
              <w:rPr>
                <w:rFonts w:ascii="Times New Roman;Times;Serif" w:hAnsi="Times New Roman;Times;Serif"/>
                <w:color w:val="000000"/>
                <w:sz w:val="12"/>
              </w:rPr>
              <w:t>(1)</w:t>
            </w:r>
          </w:p>
        </w:tc>
        <w:tc>
          <w:tcPr>
            <w:tcW w:w="9864" w:type="dxa"/>
            <w:tcBorders/>
            <w:shd w:fill="auto" w:val="clear"/>
            <w:vAlign w:val="center"/>
          </w:tcPr>
          <w:p>
            <w:pPr>
              <w:pStyle w:val="TableContents"/>
              <w:spacing w:before="0" w:after="283"/>
              <w:jc w:val="left"/>
              <w:rPr>
                <w:rFonts w:ascii="Times New Roman;Times;Serif" w:hAnsi="Times New Roman;Times;Serif"/>
                <w:color w:val="000000"/>
                <w:sz w:val="12"/>
              </w:rPr>
            </w:pPr>
            <w:r>
              <w:rPr>
                <w:rFonts w:ascii="Times New Roman;Times;Serif" w:hAnsi="Times New Roman;Times;Serif"/>
                <w:color w:val="000000"/>
                <w:sz w:val="12"/>
              </w:rPr>
              <w:t xml:space="preserve">Our sponsor has agreed to loan us up to $250,000 under an unsecured promissory note to be used for a portion of the expenses of this offering. As of June 30, 2019, we had borrowed $68,625 under the promissory note with our sponsor to be used for a portion of the expenses of this offering. </w:t>
            </w:r>
          </w:p>
        </w:tc>
      </w:tr>
    </w:tbl>
    <w:tbl>
      <w:tblPr>
        <w:tblW w:w="5000" w:type="pct"/>
        <w:jc w:val="left"/>
        <w:tblInd w:w="0" w:type="dxa"/>
        <w:tblCellMar>
          <w:top w:w="0" w:type="dxa"/>
          <w:left w:w="0" w:type="dxa"/>
          <w:bottom w:w="0" w:type="dxa"/>
          <w:right w:w="0" w:type="dxa"/>
        </w:tblCellMar>
      </w:tblPr>
      <w:tblGrid>
        <w:gridCol w:w="37"/>
        <w:gridCol w:w="254"/>
        <w:gridCol w:w="9914"/>
      </w:tblGrid>
      <w:tr>
        <w:trPr/>
        <w:tc>
          <w:tcPr>
            <w:tcW w:w="37"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jc w:val="left"/>
              <w:rPr>
                <w:rFonts w:ascii="Times New Roman;Times;Serif" w:hAnsi="Times New Roman;Times;Serif"/>
                <w:color w:val="000000"/>
                <w:sz w:val="12"/>
              </w:rPr>
            </w:pPr>
            <w:r>
              <w:rPr>
                <w:rFonts w:ascii="Times New Roman;Times;Serif" w:hAnsi="Times New Roman;Times;Serif"/>
                <w:color w:val="000000"/>
                <w:sz w:val="12"/>
              </w:rPr>
              <w:t>(2)</w:t>
            </w:r>
          </w:p>
        </w:tc>
        <w:tc>
          <w:tcPr>
            <w:tcW w:w="9914" w:type="dxa"/>
            <w:tcBorders/>
            <w:shd w:fill="auto" w:val="clear"/>
            <w:vAlign w:val="center"/>
          </w:tcPr>
          <w:p>
            <w:pPr>
              <w:pStyle w:val="TableContents"/>
              <w:spacing w:before="0" w:after="283"/>
              <w:jc w:val="left"/>
              <w:rPr>
                <w:rFonts w:ascii="Times New Roman;Times;Serif" w:hAnsi="Times New Roman;Times;Serif"/>
                <w:color w:val="000000"/>
                <w:sz w:val="12"/>
              </w:rPr>
            </w:pPr>
            <w:r>
              <w:rPr>
                <w:rFonts w:ascii="Times New Roman;Times;Serif" w:hAnsi="Times New Roman;Times;Serif"/>
                <w:color w:val="000000"/>
                <w:sz w:val="12"/>
              </w:rPr>
              <w:t xml:space="preserve">Assumes the full forfeiture of 937,500 shares that are subject to forfeiture by our sponsor depending on the extent to which the underwriters’ over-allotment option is exercised. The proceeds of the sale of such shares will not be deposited into the trust account, the shares will not be eligible for redemption from the trust account nor will they be eligible to vote upon the initial business combination. </w:t>
            </w:r>
          </w:p>
        </w:tc>
      </w:tr>
    </w:tbl>
    <w:tbl>
      <w:tblPr>
        <w:tblW w:w="5000" w:type="pct"/>
        <w:jc w:val="left"/>
        <w:tblInd w:w="0" w:type="dxa"/>
        <w:tblCellMar>
          <w:top w:w="0" w:type="dxa"/>
          <w:left w:w="0" w:type="dxa"/>
          <w:bottom w:w="0" w:type="dxa"/>
          <w:right w:w="0" w:type="dxa"/>
        </w:tblCellMar>
      </w:tblPr>
      <w:tblGrid>
        <w:gridCol w:w="37"/>
        <w:gridCol w:w="163"/>
        <w:gridCol w:w="10005"/>
      </w:tblGrid>
      <w:tr>
        <w:trPr/>
        <w:tc>
          <w:tcPr>
            <w:tcW w:w="37"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jc w:val="left"/>
              <w:rPr>
                <w:rFonts w:ascii="Times New Roman;Times;Serif" w:hAnsi="Times New Roman;Times;Serif"/>
                <w:color w:val="000000"/>
                <w:sz w:val="12"/>
              </w:rPr>
            </w:pPr>
            <w:r>
              <w:rPr>
                <w:rFonts w:ascii="Times New Roman;Times;Serif" w:hAnsi="Times New Roman;Times;Serif"/>
                <w:color w:val="000000"/>
                <w:sz w:val="12"/>
              </w:rPr>
              <w:t>(3)</w:t>
            </w:r>
          </w:p>
        </w:tc>
        <w:tc>
          <w:tcPr>
            <w:tcW w:w="10005" w:type="dxa"/>
            <w:tcBorders/>
            <w:shd w:fill="auto" w:val="clear"/>
            <w:vAlign w:val="center"/>
          </w:tcPr>
          <w:p>
            <w:pPr>
              <w:pStyle w:val="TableContents"/>
              <w:spacing w:before="0" w:after="283"/>
              <w:jc w:val="left"/>
              <w:rPr>
                <w:rFonts w:ascii="Times New Roman;Times;Serif" w:hAnsi="Times New Roman;Times;Serif"/>
                <w:color w:val="000000"/>
                <w:sz w:val="12"/>
              </w:rPr>
            </w:pPr>
            <w:r>
              <w:rPr>
                <w:rFonts w:ascii="Times New Roman;Times;Serif" w:hAnsi="Times New Roman;Times;Serif"/>
                <w:color w:val="000000"/>
                <w:sz w:val="12"/>
              </w:rPr>
              <w:t>Upon the completion of our initial business combination, we will provide our public shareholders with the opportunity to redeem their public shares for cash equal to their pro rata share of the aggregate amount then on deposit in the trust account as of two business days prior to the consummation of the initial business combination, including interest (which interest shall be net of taxes payable), subject to the limitations described herein whereby our net tangible assets, after payment of the deferred underwriting commission, will be maintained at a minimum of $5,000,001 upon our initial business combination and any limitations (including, but not limited to, cash requirements) created by the terms of the proposed business combination. The as adjusted amount of Class A ordinary shares, subject to redemption equals the as adjusted total assets of $251,020,000, less the as adjusted total liabilities of $8,750,000, less the as adjusted total shareholder’s equity. The value of Class A ordinary shares that may be redeemed is equal to $10.00 per share (which is the assumed redemption price) multiplied by 23,726,999 Class A ordinary shares, which is the maximum number of Class A ordinary shares that may be redeemed for a $10.00 purchase price per share and still maintain at least $5,000,001 of net tangible assets.</w:t>
            </w:r>
          </w:p>
        </w:tc>
      </w:tr>
    </w:tbl>
    <w:tbl>
      <w:tblPr>
        <w:tblW w:w="5000" w:type="pct"/>
        <w:jc w:val="left"/>
        <w:tblInd w:w="0" w:type="dxa"/>
        <w:tblCellMar>
          <w:top w:w="0" w:type="dxa"/>
          <w:left w:w="0" w:type="dxa"/>
          <w:bottom w:w="0" w:type="dxa"/>
          <w:right w:w="0" w:type="dxa"/>
        </w:tblCellMar>
      </w:tblPr>
      <w:tblGrid>
        <w:gridCol w:w="42"/>
        <w:gridCol w:w="442"/>
        <w:gridCol w:w="9721"/>
      </w:tblGrid>
      <w:tr>
        <w:trPr/>
        <w:tc>
          <w:tcPr>
            <w:tcW w:w="42"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jc w:val="left"/>
              <w:rPr>
                <w:rFonts w:ascii="Times New Roman;Times;Serif" w:hAnsi="Times New Roman;Times;Serif"/>
                <w:color w:val="000000"/>
                <w:sz w:val="12"/>
              </w:rPr>
            </w:pPr>
            <w:r>
              <w:rPr>
                <w:rFonts w:ascii="Times New Roman;Times;Serif" w:hAnsi="Times New Roman;Times;Serif"/>
                <w:color w:val="000000"/>
                <w:sz w:val="12"/>
              </w:rPr>
              <w:t>(4)</w:t>
            </w:r>
          </w:p>
        </w:tc>
        <w:tc>
          <w:tcPr>
            <w:tcW w:w="9721" w:type="dxa"/>
            <w:tcBorders/>
            <w:shd w:fill="auto" w:val="clear"/>
            <w:vAlign w:val="center"/>
          </w:tcPr>
          <w:p>
            <w:pPr>
              <w:pStyle w:val="TableContents"/>
              <w:spacing w:before="0" w:after="283"/>
              <w:jc w:val="left"/>
              <w:rPr>
                <w:rFonts w:ascii="Times New Roman;Times;Serif" w:hAnsi="Times New Roman;Times;Serif"/>
                <w:color w:val="000000"/>
                <w:sz w:val="12"/>
              </w:rPr>
            </w:pPr>
            <w:r>
              <w:rPr>
                <w:rFonts w:ascii="Times New Roman;Times;Serif" w:hAnsi="Times New Roman;Times;Serif"/>
                <w:color w:val="000000"/>
                <w:sz w:val="12"/>
              </w:rPr>
              <w:t xml:space="preserve">Actual share amount is prior to any forfeiture of founder shares by our sponsor and as adjusted share amount assumes no exercise of the underwriters’ over-allotment option. </w:t>
            </w:r>
          </w:p>
        </w:tc>
      </w:tr>
    </w:tbl>
    <w:tbl>
      <w:tblPr>
        <w:tblW w:w="5000" w:type="pct"/>
        <w:jc w:val="left"/>
        <w:tblInd w:w="0" w:type="dxa"/>
        <w:tblCellMar>
          <w:top w:w="0" w:type="dxa"/>
          <w:left w:w="0" w:type="dxa"/>
          <w:bottom w:w="0" w:type="dxa"/>
          <w:right w:w="0" w:type="dxa"/>
        </w:tblCellMar>
      </w:tblPr>
      <w:tblGrid>
        <w:gridCol w:w="37"/>
        <w:gridCol w:w="348"/>
        <w:gridCol w:w="9820"/>
      </w:tblGrid>
      <w:tr>
        <w:trPr/>
        <w:tc>
          <w:tcPr>
            <w:tcW w:w="37"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jc w:val="left"/>
              <w:rPr>
                <w:rFonts w:ascii="Times New Roman;Times;Serif" w:hAnsi="Times New Roman;Times;Serif"/>
                <w:color w:val="000000"/>
                <w:sz w:val="12"/>
              </w:rPr>
            </w:pPr>
            <w:r>
              <w:rPr>
                <w:rFonts w:ascii="Times New Roman;Times;Serif" w:hAnsi="Times New Roman;Times;Serif"/>
                <w:color w:val="000000"/>
                <w:sz w:val="12"/>
              </w:rPr>
              <w:t>(5)</w:t>
            </w:r>
          </w:p>
        </w:tc>
        <w:tc>
          <w:tcPr>
            <w:tcW w:w="9820" w:type="dxa"/>
            <w:tcBorders/>
            <w:shd w:fill="auto" w:val="clear"/>
            <w:vAlign w:val="center"/>
          </w:tcPr>
          <w:p>
            <w:pPr>
              <w:pStyle w:val="TableContents"/>
              <w:spacing w:before="0" w:after="283"/>
              <w:jc w:val="left"/>
              <w:rPr>
                <w:rFonts w:ascii="Times New Roman;Times;Serif" w:hAnsi="Times New Roman;Times;Serif"/>
                <w:color w:val="000000"/>
                <w:sz w:val="12"/>
              </w:rPr>
            </w:pPr>
            <w:r>
              <w:rPr>
                <w:rFonts w:ascii="Times New Roman;Times;Serif" w:hAnsi="Times New Roman;Times;Serif"/>
                <w:color w:val="000000"/>
                <w:sz w:val="12"/>
              </w:rPr>
              <w:t>The as adjusted additional paid-in capital calculation is equal to the as adjusted total shareholder’s equity of $5,000,010, minus Class A and Class B ordinary shares (par value) of $752, minus the accumulated deficit of $(5,000).</w:t>
            </w:r>
          </w:p>
        </w:tc>
      </w:tr>
    </w:tbl>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79</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25" w:before="240" w:after="0"/>
        <w:ind w:left="0" w:right="0" w:hanging="0"/>
        <w:jc w:val="center"/>
        <w:rPr>
          <w:rFonts w:ascii="Times New Roman;Times;Serif" w:hAnsi="Times New Roman;Times;Serif"/>
          <w:b/>
          <w:color w:val="000000"/>
          <w:sz w:val="17"/>
        </w:rPr>
      </w:pPr>
      <w:bookmarkStart w:id="12" w:name="tMDA"/>
      <w:bookmarkEnd w:id="12"/>
      <w:r>
        <w:rPr>
          <w:rFonts w:ascii="Times New Roman;Times;Serif" w:hAnsi="Times New Roman;Times;Serif"/>
          <w:b/>
          <w:color w:val="000000"/>
          <w:sz w:val="17"/>
        </w:rPr>
        <w:t>MANAGEMENT’S DISCUSSION AND ANALYSIS OF FINANCIAL CONDITION</w:t>
        <w:br/>
        <w:t>AND RESULTS OF OPERATIONS</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Overview</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are a blank check company incorporated as a Cayman Islands exempted company and formed for the purpose of effecting a merger, amalgamation, share exchange, asset acquisition, share purchase, reorganization or similar business combination with one or more businesses. We have not selected any business combination target and we have not, nor has anyone on our behalf, initiated any substantive discussions, directly or indirectly, with any business combination target. We intend to effectuate our initial business combination using cash from the proceeds of this offering and the sale of the private placement warrants, our shares, debt or a combination of cash, shares and debt.</w:t>
      </w:r>
    </w:p>
    <w:p>
      <w:pPr>
        <w:pStyle w:val="TextBody"/>
        <w:spacing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issuance of additional shares in a business combination:</w:t>
      </w:r>
    </w:p>
    <w:tbl>
      <w:tblPr>
        <w:tblW w:w="5000" w:type="pct"/>
        <w:jc w:val="left"/>
        <w:tblInd w:w="0" w:type="dxa"/>
        <w:tblCellMar>
          <w:top w:w="0" w:type="dxa"/>
          <w:left w:w="0" w:type="dxa"/>
          <w:bottom w:w="0" w:type="dxa"/>
          <w:right w:w="0" w:type="dxa"/>
        </w:tblCellMar>
      </w:tblPr>
      <w:tblGrid>
        <w:gridCol w:w="202"/>
        <w:gridCol w:w="236"/>
        <w:gridCol w:w="9767"/>
      </w:tblGrid>
      <w:tr>
        <w:trPr/>
        <w:tc>
          <w:tcPr>
            <w:tcW w:w="202"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jc w:val="left"/>
              <w:rPr>
                <w:color w:val="000000"/>
              </w:rPr>
            </w:pPr>
            <w:r>
              <w:rPr>
                <w:color w:val="000000"/>
              </w:rPr>
              <w:t>•</w:t>
            </w:r>
          </w:p>
        </w:tc>
        <w:tc>
          <w:tcPr>
            <w:tcW w:w="9767"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 xml:space="preserve">may significantly dilute the equity interest of investors in this offering, which dilution would increase if the anti-dilution provisions of the Class B ordinary shares resulted in the issuance of Class A ordinary shares on a greater than one-to-one basis upon conversion of the Class B ordinary shares; </w:t>
            </w:r>
          </w:p>
        </w:tc>
      </w:tr>
    </w:tbl>
    <w:tbl>
      <w:tblPr>
        <w:tblW w:w="5000" w:type="pct"/>
        <w:jc w:val="left"/>
        <w:tblInd w:w="0" w:type="dxa"/>
        <w:tblCellMar>
          <w:top w:w="0" w:type="dxa"/>
          <w:left w:w="0" w:type="dxa"/>
          <w:bottom w:w="0" w:type="dxa"/>
          <w:right w:w="0" w:type="dxa"/>
        </w:tblCellMar>
      </w:tblPr>
      <w:tblGrid>
        <w:gridCol w:w="350"/>
        <w:gridCol w:w="349"/>
        <w:gridCol w:w="9506"/>
      </w:tblGrid>
      <w:tr>
        <w:trPr/>
        <w:tc>
          <w:tcPr>
            <w:tcW w:w="350"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jc w:val="left"/>
              <w:rPr>
                <w:color w:val="000000"/>
              </w:rPr>
            </w:pPr>
            <w:r>
              <w:rPr>
                <w:color w:val="000000"/>
              </w:rPr>
              <w:t>•</w:t>
            </w:r>
          </w:p>
        </w:tc>
        <w:tc>
          <w:tcPr>
            <w:tcW w:w="9506"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may subordinate the rights of holders of Class A ordinary shares if preferred shares are issued with rights senior to those afforded our Class A ordinary shares;</w:t>
            </w:r>
          </w:p>
        </w:tc>
      </w:tr>
    </w:tbl>
    <w:tbl>
      <w:tblPr>
        <w:tblW w:w="5000" w:type="pct"/>
        <w:jc w:val="left"/>
        <w:tblInd w:w="0" w:type="dxa"/>
        <w:tblCellMar>
          <w:top w:w="0" w:type="dxa"/>
          <w:left w:w="0" w:type="dxa"/>
          <w:bottom w:w="0" w:type="dxa"/>
          <w:right w:w="0" w:type="dxa"/>
        </w:tblCellMar>
      </w:tblPr>
      <w:tblGrid>
        <w:gridCol w:w="216"/>
        <w:gridCol w:w="246"/>
        <w:gridCol w:w="9743"/>
      </w:tblGrid>
      <w:tr>
        <w:trPr/>
        <w:tc>
          <w:tcPr>
            <w:tcW w:w="216"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jc w:val="left"/>
              <w:rPr>
                <w:color w:val="000000"/>
              </w:rPr>
            </w:pPr>
            <w:r>
              <w:rPr>
                <w:color w:val="000000"/>
              </w:rPr>
              <w:t>•</w:t>
            </w:r>
          </w:p>
        </w:tc>
        <w:tc>
          <w:tcPr>
            <w:tcW w:w="9743"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could cause a change of control if a substantial number of our ordinary shares are issued, which may affect, among other things, our ability to use our net operating loss carry forwards, if any, and could result in the resignation or removal of our present officers and directors;</w:t>
            </w:r>
          </w:p>
        </w:tc>
      </w:tr>
    </w:tbl>
    <w:tbl>
      <w:tblPr>
        <w:tblW w:w="5000" w:type="pct"/>
        <w:jc w:val="left"/>
        <w:tblInd w:w="0" w:type="dxa"/>
        <w:tblCellMar>
          <w:top w:w="0" w:type="dxa"/>
          <w:left w:w="0" w:type="dxa"/>
          <w:bottom w:w="0" w:type="dxa"/>
          <w:right w:w="0" w:type="dxa"/>
        </w:tblCellMar>
      </w:tblPr>
      <w:tblGrid>
        <w:gridCol w:w="331"/>
        <w:gridCol w:w="334"/>
        <w:gridCol w:w="9540"/>
      </w:tblGrid>
      <w:tr>
        <w:trPr/>
        <w:tc>
          <w:tcPr>
            <w:tcW w:w="331"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jc w:val="left"/>
              <w:rPr>
                <w:color w:val="000000"/>
              </w:rPr>
            </w:pPr>
            <w:r>
              <w:rPr>
                <w:color w:val="000000"/>
              </w:rPr>
              <w:t>•</w:t>
            </w:r>
          </w:p>
        </w:tc>
        <w:tc>
          <w:tcPr>
            <w:tcW w:w="9540"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may have the effect of delaying or preventing a change of control of us by diluting the share ownership or voting rights of a person seeking to obtain control of us; and</w:t>
            </w:r>
          </w:p>
        </w:tc>
      </w:tr>
    </w:tbl>
    <w:tbl>
      <w:tblPr>
        <w:tblW w:w="5000" w:type="pct"/>
        <w:jc w:val="left"/>
        <w:tblInd w:w="0" w:type="dxa"/>
        <w:tblCellMar>
          <w:top w:w="0" w:type="dxa"/>
          <w:left w:w="0" w:type="dxa"/>
          <w:bottom w:w="0" w:type="dxa"/>
          <w:right w:w="0" w:type="dxa"/>
        </w:tblCellMar>
      </w:tblPr>
      <w:tblGrid>
        <w:gridCol w:w="560"/>
        <w:gridCol w:w="540"/>
        <w:gridCol w:w="9105"/>
      </w:tblGrid>
      <w:tr>
        <w:trPr/>
        <w:tc>
          <w:tcPr>
            <w:tcW w:w="560"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jc w:val="left"/>
              <w:rPr>
                <w:color w:val="000000"/>
              </w:rPr>
            </w:pPr>
            <w:r>
              <w:rPr>
                <w:color w:val="000000"/>
              </w:rPr>
              <w:t>•</w:t>
            </w:r>
          </w:p>
        </w:tc>
        <w:tc>
          <w:tcPr>
            <w:tcW w:w="9105"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may adversely affect prevailing market prices for our Class A ordinary shares and/or warrants.</w:t>
            </w:r>
          </w:p>
        </w:tc>
      </w:tr>
    </w:tbl>
    <w:p>
      <w:pPr>
        <w:pStyle w:val="TextBody"/>
        <w:spacing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Similarly, if we issue debt securities or otherwise incur significant indebtedness, it could result in:</w:t>
      </w:r>
    </w:p>
    <w:tbl>
      <w:tblPr>
        <w:tblW w:w="5000" w:type="pct"/>
        <w:jc w:val="left"/>
        <w:tblInd w:w="0" w:type="dxa"/>
        <w:tblCellMar>
          <w:top w:w="0" w:type="dxa"/>
          <w:left w:w="0" w:type="dxa"/>
          <w:bottom w:w="0" w:type="dxa"/>
          <w:right w:w="0" w:type="dxa"/>
        </w:tblCellMar>
      </w:tblPr>
      <w:tblGrid>
        <w:gridCol w:w="378"/>
        <w:gridCol w:w="370"/>
        <w:gridCol w:w="9457"/>
      </w:tblGrid>
      <w:tr>
        <w:trPr/>
        <w:tc>
          <w:tcPr>
            <w:tcW w:w="378"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jc w:val="left"/>
              <w:rPr>
                <w:color w:val="000000"/>
              </w:rPr>
            </w:pPr>
            <w:r>
              <w:rPr>
                <w:color w:val="000000"/>
              </w:rPr>
              <w:t>•</w:t>
            </w:r>
          </w:p>
        </w:tc>
        <w:tc>
          <w:tcPr>
            <w:tcW w:w="9457"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default and foreclosure on our assets if our operating revenues after an initial business combination are insufficient to repay our debt obligations;</w:t>
            </w:r>
          </w:p>
        </w:tc>
      </w:tr>
    </w:tbl>
    <w:tbl>
      <w:tblPr>
        <w:tblW w:w="5000" w:type="pct"/>
        <w:jc w:val="left"/>
        <w:tblInd w:w="0" w:type="dxa"/>
        <w:tblCellMar>
          <w:top w:w="0" w:type="dxa"/>
          <w:left w:w="0" w:type="dxa"/>
          <w:bottom w:w="0" w:type="dxa"/>
          <w:right w:w="0" w:type="dxa"/>
        </w:tblCellMar>
      </w:tblPr>
      <w:tblGrid>
        <w:gridCol w:w="220"/>
        <w:gridCol w:w="249"/>
        <w:gridCol w:w="9736"/>
      </w:tblGrid>
      <w:tr>
        <w:trPr/>
        <w:tc>
          <w:tcPr>
            <w:tcW w:w="220"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jc w:val="left"/>
              <w:rPr>
                <w:color w:val="000000"/>
              </w:rPr>
            </w:pPr>
            <w:r>
              <w:rPr>
                <w:color w:val="000000"/>
              </w:rPr>
              <w:t>•</w:t>
            </w:r>
          </w:p>
        </w:tc>
        <w:tc>
          <w:tcPr>
            <w:tcW w:w="9736"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tc>
      </w:tr>
    </w:tbl>
    <w:tbl>
      <w:tblPr>
        <w:tblW w:w="5000" w:type="pct"/>
        <w:jc w:val="left"/>
        <w:tblInd w:w="0" w:type="dxa"/>
        <w:tblCellMar>
          <w:top w:w="0" w:type="dxa"/>
          <w:left w:w="0" w:type="dxa"/>
          <w:bottom w:w="0" w:type="dxa"/>
          <w:right w:w="0" w:type="dxa"/>
        </w:tblCellMar>
      </w:tblPr>
      <w:tblGrid>
        <w:gridCol w:w="525"/>
        <w:gridCol w:w="506"/>
        <w:gridCol w:w="9174"/>
      </w:tblGrid>
      <w:tr>
        <w:trPr/>
        <w:tc>
          <w:tcPr>
            <w:tcW w:w="525"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jc w:val="left"/>
              <w:rPr>
                <w:color w:val="000000"/>
              </w:rPr>
            </w:pPr>
            <w:r>
              <w:rPr>
                <w:color w:val="000000"/>
              </w:rPr>
              <w:t>•</w:t>
            </w:r>
          </w:p>
        </w:tc>
        <w:tc>
          <w:tcPr>
            <w:tcW w:w="9174"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our immediate payment of all principal and accrued interest, if any, if the debt is payable on demand;</w:t>
            </w:r>
          </w:p>
        </w:tc>
      </w:tr>
    </w:tbl>
    <w:tbl>
      <w:tblPr>
        <w:tblW w:w="5000" w:type="pct"/>
        <w:jc w:val="left"/>
        <w:tblInd w:w="0" w:type="dxa"/>
        <w:tblCellMar>
          <w:top w:w="0" w:type="dxa"/>
          <w:left w:w="0" w:type="dxa"/>
          <w:bottom w:w="0" w:type="dxa"/>
          <w:right w:w="0" w:type="dxa"/>
        </w:tblCellMar>
      </w:tblPr>
      <w:tblGrid>
        <w:gridCol w:w="347"/>
        <w:gridCol w:w="346"/>
        <w:gridCol w:w="9512"/>
      </w:tblGrid>
      <w:tr>
        <w:trPr/>
        <w:tc>
          <w:tcPr>
            <w:tcW w:w="347"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jc w:val="left"/>
              <w:rPr>
                <w:color w:val="000000"/>
              </w:rPr>
            </w:pPr>
            <w:r>
              <w:rPr>
                <w:color w:val="000000"/>
              </w:rPr>
              <w:t>•</w:t>
            </w:r>
          </w:p>
        </w:tc>
        <w:tc>
          <w:tcPr>
            <w:tcW w:w="9512"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our inability to obtain necessary additional financing if the debt contains covenants restricting our ability to obtain such financing while the debt is outstanding;</w:t>
            </w:r>
          </w:p>
        </w:tc>
      </w:tr>
    </w:tbl>
    <w:tbl>
      <w:tblPr>
        <w:tblW w:w="5000" w:type="pct"/>
        <w:jc w:val="left"/>
        <w:tblInd w:w="0" w:type="dxa"/>
        <w:tblCellMar>
          <w:top w:w="0" w:type="dxa"/>
          <w:left w:w="0" w:type="dxa"/>
          <w:bottom w:w="0" w:type="dxa"/>
          <w:right w:w="0" w:type="dxa"/>
        </w:tblCellMar>
      </w:tblPr>
      <w:tblGrid>
        <w:gridCol w:w="809"/>
        <w:gridCol w:w="780"/>
        <w:gridCol w:w="8616"/>
      </w:tblGrid>
      <w:tr>
        <w:trPr/>
        <w:tc>
          <w:tcPr>
            <w:tcW w:w="809"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jc w:val="left"/>
              <w:rPr>
                <w:color w:val="000000"/>
              </w:rPr>
            </w:pPr>
            <w:r>
              <w:rPr>
                <w:color w:val="000000"/>
              </w:rPr>
              <w:t>•</w:t>
            </w:r>
          </w:p>
        </w:tc>
        <w:tc>
          <w:tcPr>
            <w:tcW w:w="8616"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our inability to pay dividends on our Class A ordinary shares;</w:t>
            </w:r>
          </w:p>
        </w:tc>
      </w:tr>
    </w:tbl>
    <w:tbl>
      <w:tblPr>
        <w:tblW w:w="5000" w:type="pct"/>
        <w:jc w:val="left"/>
        <w:tblInd w:w="0" w:type="dxa"/>
        <w:tblCellMar>
          <w:top w:w="0" w:type="dxa"/>
          <w:left w:w="0" w:type="dxa"/>
          <w:bottom w:w="0" w:type="dxa"/>
          <w:right w:w="0" w:type="dxa"/>
        </w:tblCellMar>
      </w:tblPr>
      <w:tblGrid>
        <w:gridCol w:w="223"/>
        <w:gridCol w:w="252"/>
        <w:gridCol w:w="9730"/>
      </w:tblGrid>
      <w:tr>
        <w:trPr/>
        <w:tc>
          <w:tcPr>
            <w:tcW w:w="223"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jc w:val="left"/>
              <w:rPr>
                <w:color w:val="000000"/>
              </w:rPr>
            </w:pPr>
            <w:r>
              <w:rPr>
                <w:color w:val="000000"/>
              </w:rPr>
              <w:t>•</w:t>
            </w:r>
          </w:p>
        </w:tc>
        <w:tc>
          <w:tcPr>
            <w:tcW w:w="9730"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using a substantial portion of our cash flow to pay principal and interest on our debt, which will reduce the funds available for dividends on our Class A ordinary shares if declared, expenses, capital expenditures, acquisitions and other general corporate purposes;</w:t>
            </w:r>
          </w:p>
        </w:tc>
      </w:tr>
    </w:tbl>
    <w:tbl>
      <w:tblPr>
        <w:tblW w:w="5000" w:type="pct"/>
        <w:jc w:val="left"/>
        <w:tblInd w:w="0" w:type="dxa"/>
        <w:tblCellMar>
          <w:top w:w="0" w:type="dxa"/>
          <w:left w:w="0" w:type="dxa"/>
          <w:bottom w:w="0" w:type="dxa"/>
          <w:right w:w="0" w:type="dxa"/>
        </w:tblCellMar>
      </w:tblPr>
      <w:tblGrid>
        <w:gridCol w:w="436"/>
        <w:gridCol w:w="420"/>
        <w:gridCol w:w="9349"/>
      </w:tblGrid>
      <w:tr>
        <w:trPr/>
        <w:tc>
          <w:tcPr>
            <w:tcW w:w="436"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jc w:val="left"/>
              <w:rPr>
                <w:color w:val="000000"/>
              </w:rPr>
            </w:pPr>
            <w:r>
              <w:rPr>
                <w:color w:val="000000"/>
              </w:rPr>
              <w:t>•</w:t>
            </w:r>
          </w:p>
        </w:tc>
        <w:tc>
          <w:tcPr>
            <w:tcW w:w="9349"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limitations on our flexibility in planning for and reacting to changes in our business and in the industry in which we operate;</w:t>
            </w:r>
          </w:p>
        </w:tc>
      </w:tr>
    </w:tbl>
    <w:tbl>
      <w:tblPr>
        <w:tblW w:w="5000" w:type="pct"/>
        <w:jc w:val="left"/>
        <w:tblInd w:w="0" w:type="dxa"/>
        <w:tblCellMar>
          <w:top w:w="0" w:type="dxa"/>
          <w:left w:w="0" w:type="dxa"/>
          <w:bottom w:w="0" w:type="dxa"/>
          <w:right w:w="0" w:type="dxa"/>
        </w:tblCellMar>
      </w:tblPr>
      <w:tblGrid>
        <w:gridCol w:w="360"/>
        <w:gridCol w:w="357"/>
        <w:gridCol w:w="9488"/>
      </w:tblGrid>
      <w:tr>
        <w:trPr/>
        <w:tc>
          <w:tcPr>
            <w:tcW w:w="360"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jc w:val="left"/>
              <w:rPr>
                <w:color w:val="000000"/>
              </w:rPr>
            </w:pPr>
            <w:r>
              <w:rPr>
                <w:color w:val="000000"/>
              </w:rPr>
              <w:t>•</w:t>
            </w:r>
          </w:p>
        </w:tc>
        <w:tc>
          <w:tcPr>
            <w:tcW w:w="9488"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increased vulnerability to adverse changes in general economic, industry and competitive conditions and adverse changes in government regulation; and</w:t>
            </w:r>
          </w:p>
        </w:tc>
      </w:tr>
    </w:tbl>
    <w:tbl>
      <w:tblPr>
        <w:tblW w:w="5000" w:type="pct"/>
        <w:jc w:val="left"/>
        <w:tblInd w:w="0" w:type="dxa"/>
        <w:tblCellMar>
          <w:top w:w="0" w:type="dxa"/>
          <w:left w:w="0" w:type="dxa"/>
          <w:bottom w:w="0" w:type="dxa"/>
          <w:right w:w="0" w:type="dxa"/>
        </w:tblCellMar>
      </w:tblPr>
      <w:tblGrid>
        <w:gridCol w:w="232"/>
        <w:gridCol w:w="259"/>
        <w:gridCol w:w="9714"/>
      </w:tblGrid>
      <w:tr>
        <w:trPr/>
        <w:tc>
          <w:tcPr>
            <w:tcW w:w="232"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jc w:val="left"/>
              <w:rPr>
                <w:color w:val="000000"/>
              </w:rPr>
            </w:pPr>
            <w:r>
              <w:rPr>
                <w:color w:val="000000"/>
              </w:rPr>
              <w:t>•</w:t>
            </w:r>
          </w:p>
        </w:tc>
        <w:tc>
          <w:tcPr>
            <w:tcW w:w="9714"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limitations on our ability to borrow additional amounts for expenses, capital expenditures, acquisitions, debt service requirements, execution of our strategy and other purposes and other disadvantages compared to our competitors who have less debt.</w:t>
            </w:r>
          </w:p>
        </w:tc>
      </w:tr>
    </w:tbl>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As indicated in the accompanying financial statements, at June 30, 2019, we had deferred offering costs of approximately $315,281. Further, we expect to continue to incur significant costs in the pursuit of our acquisition plans. </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80</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cannot assure you that our plans to raise capital or to complete our initial business combination will be successful.</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Results of Operations and Known Trends or Future Events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for due diligence expenses. We expect our expenses to increase substantially after the closing of this offering.</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Liquidity and Capital Resources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Our liquidity needs have been satisfied prior to the completion of this offering from the availability of up to $250,000 in loans from our sponsor under an unsecured promissory note. As of June 30, 2019, we have borrowed $68,625 under the promissory note. Further, we have incurred and expect to continue to incur significant costs in pursuit of our financing and acquisition plans. Managements plans to address this uncertainty through this offering are discussed above. We cannot assure you that our plans to raise capital or to consummate an initial business combination will be successful. These factors, among others, raise substantial doubt about our ability to continue as a going concern.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We estimate that the net proceeds from (1) the sale of the units in this offering, after deducting offering expenses of approximately $1,000,000 and underwriting commissions of $5,000,000 ($5,750,000 if the underwriters over-allotment option is exercised in full) (excluding deferred underwriting commissions of $8,750,000 (or up to $10,062,500 if the underwriters over-allotment option is exercised in full)), and (2) the sale of the private placement warrants for a purchase price of $7,000,000 (or $7,750,000 if the underwriters over-allotment option is exercised in full), will be $251,000,000 (or $288,500,000 if the underwriters over-allotment option is exercised in full). Of this amount, $250,000,000 or $287,500,000 if the underwriters over-allotment option is exercised in full, including $8,750,000 (or up to $10,062,500 if the underwriters over-allotment option is exercised in full) in deferred underwriting commissions will be deposited into the trust account. The funds in the trust account will be invested only in U.S. government treasury bills with a maturity of 180 days or less or in money market funds investing solely in U.S. Treasuries. The remaining $1,000,000 will not be held in the trust account. In the event that our offering expenses exceed our estimate of $1,000,000 we may fund such excess with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 </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intend to use substantially all of the funds held in the trust account, including any amounts representing interest earned on the trust account (which interest shall be net of taxes payable and excluding deferred underwriting commissions) to complete our initial business combination. We may withdraw interest to pay taxes, if any. Our annual income tax obligations will depend on the amount of interest and other income earned on the amounts held in the trust account. We expect the interest earned on the amount in the trust account will be sufficient to pay our taxes. We expect the only taxes payable by us out of the funds in the trust account will be income and franchise taxes, if any. To the extent that our ordinary shares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Prior to the completion of our initial business combination, we will have available to us $1,000,000 of proceeds held outside the trust account. We will use these funds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structure, negotiate and complete a business combination, and to pay taxes to the extent the interest earned on the trust account is not sufficient to pay our taxes.</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81</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25"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In order to fund working capital deficiencies or finance transaction costs in connection with an intended initial business combination, our sponsor or an affiliate of our sponsor or certain of our officers and directors may, but are not obligated to, loan us funds as may be required. Any such loans may be repaid only from funds held outside the trust account or from funds released to us upon completion of our initial business combination. Up to $1,500,000 of such loans may be convertible into warrants at a price of $1.00 per warrant at the option of the lender. The warrants would be identical to the private placement warrants issued to our sponsor. The terms of such loans, if any, have not been determined and no written agreements exist with respect to such loans. We do not expect to seek loans from parties other than our sponsor or an affiliate of our sponsor as we do not believe third parties will be willing to loan such funds and provide a waiver against any and all rights to seek access to funds in our trust account.</w:t>
      </w:r>
    </w:p>
    <w:p>
      <w:pPr>
        <w:pStyle w:val="TextBody"/>
        <w:spacing w:lineRule="atLeast" w:line="225"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We expect our primary liquidity requirements during that period to include approximately $450,000 for legal, accounting, due diligence, travel and other expenses in connection with any business combinations; $150,000 for legal and accounting fees related to regulatory reporting requirements; $75,000 for Nasdaq continued listing fees; $100,000 as a reserve for liquidation expenses and approximately $225,000 for general working capital that will be used for miscellaneous expenses, including overhead, and reserves net of estimated interest income. </w:t>
      </w:r>
    </w:p>
    <w:p>
      <w:pPr>
        <w:pStyle w:val="TextBody"/>
        <w:spacing w:lineRule="atLeast" w:line="225"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These amounts are estimates and may differ materially from our actual expenses. In addition, we could use a portion of the funds not being placed in trust to pay commitment fees for financing, fees to consultants to assist us with our search for a target business or as a down payment or to fund a no-shop provision (a provision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an agreement where we paid for the right to receive exclusivity from a target business, the amount that would be used as a down payment or to fund a no-shop provision would be determined based on the terms of the specific business combination and the amount of our available funds at the time. Our forfeiture of such funds (whether as a result of our breach or otherwise) could result in our not having sufficient funds to continue searching for, or conducting due diligence with respect to, prospective target businesses.</w:t>
      </w:r>
    </w:p>
    <w:p>
      <w:pPr>
        <w:pStyle w:val="TextBody"/>
        <w:spacing w:lineRule="atLeast" w:line="225"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do not believe we will need to raise additional funds following this offering in order to meet the expenditures required for operating our business.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initial business combination. Moreover, we may need to obtain additional financing either to complete our initial business combination or because we become obligated to redeem a significant number of our public shares upon completion of our initial business combination, in which case we may issue additional securities or incur debt in connection with such business combination.</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Controls and Procedures</w:t>
      </w:r>
    </w:p>
    <w:p>
      <w:pPr>
        <w:pStyle w:val="TextBody"/>
        <w:spacing w:lineRule="atLeast" w:line="225"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are not currently required to maintain an effective system of internal controls as defined by Section 404 of the Sarbanes-Oxley Act. We will be required to comply with the internal control requirements of the Sarbanes-Oxley Act for the fiscal year ending December 31, 2020. Only in the event that we are deemed to be a large accelerated filer or an accelerated filer, and no longer qualify as an emerging growth company, would we be required to comply with the independent registered public accounting firm attestation requirement. Further,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w:t>
      </w:r>
    </w:p>
    <w:p>
      <w:pPr>
        <w:pStyle w:val="TextBody"/>
        <w:spacing w:lineRule="atLeast" w:line="225"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Prior to the closing of this offering, we have not completed an assessment, nor have our auditors tested our systems, of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 Many small and mid-sized target businesses we may consider for our initial business combination may have internal controls that need improvement in areas such as:</w:t>
      </w:r>
    </w:p>
    <w:tbl>
      <w:tblPr>
        <w:tblW w:w="5000" w:type="pct"/>
        <w:jc w:val="left"/>
        <w:tblInd w:w="0" w:type="dxa"/>
        <w:tblCellMar>
          <w:top w:w="0" w:type="dxa"/>
          <w:left w:w="0" w:type="dxa"/>
          <w:bottom w:w="0" w:type="dxa"/>
          <w:right w:w="0" w:type="dxa"/>
        </w:tblCellMar>
      </w:tblPr>
      <w:tblGrid>
        <w:gridCol w:w="560"/>
        <w:gridCol w:w="540"/>
        <w:gridCol w:w="9105"/>
      </w:tblGrid>
      <w:tr>
        <w:trPr/>
        <w:tc>
          <w:tcPr>
            <w:tcW w:w="560"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jc w:val="left"/>
              <w:rPr>
                <w:color w:val="000000"/>
              </w:rPr>
            </w:pPr>
            <w:r>
              <w:rPr>
                <w:color w:val="000000"/>
              </w:rPr>
              <w:t>•</w:t>
            </w:r>
          </w:p>
        </w:tc>
        <w:tc>
          <w:tcPr>
            <w:tcW w:w="9105"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staffing for financial, accounting and external reporting areas, including segregation of duties;</w:t>
            </w:r>
          </w:p>
        </w:tc>
      </w:tr>
    </w:tbl>
    <w:tbl>
      <w:tblPr>
        <w:tblW w:w="5000" w:type="pct"/>
        <w:jc w:val="left"/>
        <w:tblInd w:w="0" w:type="dxa"/>
        <w:tblCellMar>
          <w:top w:w="0" w:type="dxa"/>
          <w:left w:w="0" w:type="dxa"/>
          <w:bottom w:w="0" w:type="dxa"/>
          <w:right w:w="0" w:type="dxa"/>
        </w:tblCellMar>
      </w:tblPr>
      <w:tblGrid>
        <w:gridCol w:w="1553"/>
        <w:gridCol w:w="1496"/>
        <w:gridCol w:w="7156"/>
      </w:tblGrid>
      <w:tr>
        <w:trPr/>
        <w:tc>
          <w:tcPr>
            <w:tcW w:w="1553" w:type="dxa"/>
            <w:tcBorders/>
            <w:shd w:fill="auto" w:val="clear"/>
            <w:vAlign w:val="center"/>
          </w:tcPr>
          <w:p>
            <w:pPr>
              <w:pStyle w:val="TableContents"/>
              <w:spacing w:before="0" w:after="283"/>
              <w:rPr>
                <w:sz w:val="4"/>
                <w:szCs w:val="4"/>
              </w:rPr>
            </w:pPr>
            <w:r>
              <w:rPr>
                <w:sz w:val="4"/>
                <w:szCs w:val="4"/>
              </w:rPr>
            </w:r>
          </w:p>
        </w:tc>
        <w:tc>
          <w:tcPr>
            <w:tcW w:w="1496" w:type="dxa"/>
            <w:tcBorders/>
            <w:shd w:fill="auto" w:val="clear"/>
            <w:vAlign w:val="center"/>
          </w:tcPr>
          <w:p>
            <w:pPr>
              <w:pStyle w:val="TableContents"/>
              <w:spacing w:before="0" w:after="283"/>
              <w:jc w:val="left"/>
              <w:rPr>
                <w:color w:val="000000"/>
              </w:rPr>
            </w:pPr>
            <w:r>
              <w:rPr>
                <w:color w:val="000000"/>
              </w:rPr>
              <w:t>•</w:t>
            </w:r>
          </w:p>
        </w:tc>
        <w:tc>
          <w:tcPr>
            <w:tcW w:w="7156"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reconciliation of accounts;</w:t>
            </w:r>
          </w:p>
        </w:tc>
      </w:tr>
    </w:tbl>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82</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tbl>
      <w:tblPr>
        <w:tblW w:w="5000" w:type="pct"/>
        <w:jc w:val="left"/>
        <w:tblInd w:w="0" w:type="dxa"/>
        <w:tblCellMar>
          <w:top w:w="0" w:type="dxa"/>
          <w:left w:w="0" w:type="dxa"/>
          <w:bottom w:w="0" w:type="dxa"/>
          <w:right w:w="0" w:type="dxa"/>
        </w:tblCellMar>
      </w:tblPr>
      <w:tblGrid>
        <w:gridCol w:w="664"/>
        <w:gridCol w:w="641"/>
        <w:gridCol w:w="8900"/>
      </w:tblGrid>
      <w:tr>
        <w:trPr/>
        <w:tc>
          <w:tcPr>
            <w:tcW w:w="664"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jc w:val="left"/>
              <w:rPr>
                <w:color w:val="000000"/>
              </w:rPr>
            </w:pPr>
            <w:r>
              <w:rPr>
                <w:color w:val="000000"/>
              </w:rPr>
              <w:t>•</w:t>
            </w:r>
          </w:p>
        </w:tc>
        <w:tc>
          <w:tcPr>
            <w:tcW w:w="8900"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proper recording of expenses and liabilities in the period to which they relate;</w:t>
            </w:r>
          </w:p>
        </w:tc>
      </w:tr>
    </w:tbl>
    <w:tbl>
      <w:tblPr>
        <w:tblW w:w="5000" w:type="pct"/>
        <w:jc w:val="left"/>
        <w:tblInd w:w="0" w:type="dxa"/>
        <w:tblCellMar>
          <w:top w:w="0" w:type="dxa"/>
          <w:left w:w="0" w:type="dxa"/>
          <w:bottom w:w="0" w:type="dxa"/>
          <w:right w:w="0" w:type="dxa"/>
        </w:tblCellMar>
      </w:tblPr>
      <w:tblGrid>
        <w:gridCol w:w="739"/>
        <w:gridCol w:w="713"/>
        <w:gridCol w:w="8753"/>
      </w:tblGrid>
      <w:tr>
        <w:trPr/>
        <w:tc>
          <w:tcPr>
            <w:tcW w:w="739"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jc w:val="left"/>
              <w:rPr>
                <w:color w:val="000000"/>
              </w:rPr>
            </w:pPr>
            <w:r>
              <w:rPr>
                <w:color w:val="000000"/>
              </w:rPr>
              <w:t>•</w:t>
            </w:r>
          </w:p>
        </w:tc>
        <w:tc>
          <w:tcPr>
            <w:tcW w:w="8753"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evidence of internal review and approval of accounting transactions;</w:t>
            </w:r>
          </w:p>
        </w:tc>
      </w:tr>
    </w:tbl>
    <w:tbl>
      <w:tblPr>
        <w:tblW w:w="5000" w:type="pct"/>
        <w:jc w:val="left"/>
        <w:tblInd w:w="0" w:type="dxa"/>
        <w:tblCellMar>
          <w:top w:w="0" w:type="dxa"/>
          <w:left w:w="0" w:type="dxa"/>
          <w:bottom w:w="0" w:type="dxa"/>
          <w:right w:w="0" w:type="dxa"/>
        </w:tblCellMar>
      </w:tblPr>
      <w:tblGrid>
        <w:gridCol w:w="557"/>
        <w:gridCol w:w="536"/>
        <w:gridCol w:w="9112"/>
      </w:tblGrid>
      <w:tr>
        <w:trPr/>
        <w:tc>
          <w:tcPr>
            <w:tcW w:w="557"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jc w:val="left"/>
              <w:rPr>
                <w:color w:val="000000"/>
              </w:rPr>
            </w:pPr>
            <w:r>
              <w:rPr>
                <w:color w:val="000000"/>
              </w:rPr>
              <w:t>•</w:t>
            </w:r>
          </w:p>
        </w:tc>
        <w:tc>
          <w:tcPr>
            <w:tcW w:w="9112"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documentation of processes, assumptions and conclusions underlying significant estimates; and</w:t>
            </w:r>
          </w:p>
        </w:tc>
      </w:tr>
    </w:tbl>
    <w:tbl>
      <w:tblPr>
        <w:tblW w:w="5000" w:type="pct"/>
        <w:jc w:val="left"/>
        <w:tblInd w:w="0" w:type="dxa"/>
        <w:tblCellMar>
          <w:top w:w="0" w:type="dxa"/>
          <w:left w:w="0" w:type="dxa"/>
          <w:bottom w:w="0" w:type="dxa"/>
          <w:right w:w="0" w:type="dxa"/>
        </w:tblCellMar>
      </w:tblPr>
      <w:tblGrid>
        <w:gridCol w:w="899"/>
        <w:gridCol w:w="866"/>
        <w:gridCol w:w="8440"/>
      </w:tblGrid>
      <w:tr>
        <w:trPr/>
        <w:tc>
          <w:tcPr>
            <w:tcW w:w="899"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jc w:val="left"/>
              <w:rPr>
                <w:color w:val="000000"/>
              </w:rPr>
            </w:pPr>
            <w:r>
              <w:rPr>
                <w:color w:val="000000"/>
              </w:rPr>
              <w:t>•</w:t>
            </w:r>
          </w:p>
        </w:tc>
        <w:tc>
          <w:tcPr>
            <w:tcW w:w="8440"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documentation of accounting policies and procedures.</w:t>
            </w:r>
          </w:p>
        </w:tc>
      </w:tr>
    </w:tbl>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expenses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Once our managements report on internal controls is complete, we will retain our independent auditors to audit and render an opinion on such report when required by Section 404 of the Sarbanes-Oxley Act. The independent auditors may identify additional issues concerning a target businesss internal controls while performing their audit of internal control over financial reporting.</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Quantitative and Qualitative Disclosures about Market Risk</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net proceeds of this offering and the sale of the private placement warrants held in the trust account will be invested in U.S. government treasury bills with a maturity of 180 days or less or in money market funds investing solely in U.S. Treasuries and meeting certain conditions under Rule 2a-7 under the Investment Company Act. Due to the short-term nature of these investments, we believe there will be no associated material exposure to interest rate risk.</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Related Party Transactions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In June 2019, our sponsor purchased 7,187,500 founder shares for an aggregate purchase price of $25,000, or $0.004 per share (assuming the over-allotment option is not exercised and the forfeiture by our sponsor of 937,500 founder shares). In connection with closing of this offering, our sponsor intends to grant sponsor LLC equity interests to our independent director nominees that collectively comprise approximately 1% of the outstanding equity interests in our sponsor. Our initial shareholders will collectively own 20% of our issued and outstanding shares after this offering (assuming our initial shareholders do not purchase any units in this offering). </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We will enter into an Administrative Services Agreement pursuant to which we will pay our sponsor up to $20,000 per month for office space, administrative and support services. Upon completion of our initial business combination or our liquidation, we will cease paying any of these monthly fees. </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Our sponsor,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directors or our or any of their affiliates and will determine which expenses and the amount of expenses that will be reimbursed. There is no cap or ceiling on the reimbursement of out-of-pocket expenses incurred by such persons in connection with activities on our behalf.</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Our sponsor has agreed to loan us up to $250,000 under an unsecured promissory note to be used for a portion of the expenses of this offering. As of June 30, 2019, we had borrowed $68,625 under the promissory note with our sponsor to be used for a portion of the expenses of this offering. These loans are non-interest bearing, unsecured and are due at the earlier of January 31, 2020 or the closing of this offering. These loans will be repaid upon completion of this offering out of the $1,000,000 of offering proceeds that has been allocated for the payment of offering expenses (other than underwriting commissions) not held in the trust account.</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In addition, in order to finance transaction costs in connection with an intended initial business combination, our sponsor or an affiliate of our sponsor or certain of our officers and directors may, but are not obligated to, loan us funds as may be required. Any such loans may be repaid only from funds held outside the trust account or from funds released to us upon completion of our initial business combination. Up to $1,500,000 of such loans may be convertible into warrants at a price of $1.00 per warrant at the option of the lender. The warrants would be identical to the private placement warrants issued to our sponsor. The terms of such loans, if any, have not </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83</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been determined and no written agreements exist with respect to such loans. We do not expect to seek loans from parties other than our sponsor or an affiliate of our sponsor as we do not believe third parties will be willing to loan such funds and provide a waiver against any and all rights to seek access to funds in our trust account.</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Our sponsor has committed to purchase an aggregate of 7,000,000 (or 7,750,000 if the underwriters over-allotment option is exercised in full) private placement warrants at a price of $1.00 per warrant ($7,000,000 in the aggregate or $7,750,000 in the aggregate if the underwriters over-allotment option is exercised in full) in a private placement that will occur simultaneously with the closing of this offering. Each private placement warrant entitles the holder to purchase one Class A ordinary share at a price of $11.50 per share, subject to adjustment as provided herein. Our sponsor will be permitted to transfer the private placement warrants held by it to certain permitted transferees, including our officers and directors and other persons or entities affiliated with or related to them, but the transferees receiving such securities will be subject to the same agreements with respect to such securities as our sponsor. Otherwise, these warrants will not, subject to certain limited exceptions, be transferable or salable until 30 days after the completion of our initial business combination. The private placement warrants will be non-redeemable so long as they are held by our sponsor or its permitted transferees. The private placement warrants may also be exercised by our sponsor or its permitted transferees for cash or on a cashless basis and our sponsor and its permitted transferees will also have certain registration rights related to the private placement warrants, as described below. Otherwise, the private placement warrants have terms and provisions that are identical to those of the warrants being sold as part of the units in this offering. </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Pursuant to a registration rights agreement that we will enter into with our initial shareholders on or prior to the closing of this offering, we may be required to register certain securities for sale under the Securities Act. These holders, and holders of warrants issued upon conversion of working capital loans, if any, are entitled under the registration rights agreement to make up to three demands that we register certain of our securities held by them for sale under the Securities Act and to have the securities covered thereby registered for resale pursuant to Rule 415 under the Securities Act. In addition, these holders have the right to include their securities in other registration statements filed by us. However, the registration rights agreement provides that we will not permit any registration statement filed under the Securities Act to become effective until the securities covered thereby are released from their lock-up restrictions, as described herein. We will bear the costs and expenses of filing any such registration statements. See Principal Shareholders—Registration Rights.</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Off-Balance Sheet Arrangements; Commitments and Contractual Obligations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As of June 30, 2019, we did not have any off-balance sheet arrangements as defined in Item 303(a)(4)(ii) of Regulation S-K and did not have any commitments or contractual obligations. </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JOBS Act</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On April 5, 2012, the JOBS Act was signed into law. 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(1) provide an auditors attestation report on our system of internal controls over financial reporting pursuant to Section 404 of the Sarbanes-Oxley Act; (2) provide all of the compensation disclosure that may be required of non-emerging growth public companies under the Dodd-Frank Wall Street Reform and Consumer Protection Act; (3) comply with any requirement that may be adopted by the PCAOB regarding mandatory audit firm rotation or a supplement to the auditors report providing additional information about the audit and the financial statements (auditor discussion and analysis); and (4) disclose certain executive compensation-related items such as the correlation between executive compensation and performance and comparisons of the CEOs compensation to median employee compensation. These exemptions will apply for a period of five years following the completion of our initial public offering or until we are no longer an emerging growth company, whichever is earlier.</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84</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before="240" w:after="0"/>
        <w:ind w:left="0" w:right="0" w:hanging="0"/>
        <w:jc w:val="center"/>
        <w:rPr>
          <w:rFonts w:ascii="Times New Roman;Times;Serif" w:hAnsi="Times New Roman;Times;Serif"/>
          <w:b/>
          <w:color w:val="000000"/>
          <w:sz w:val="17"/>
        </w:rPr>
      </w:pPr>
      <w:bookmarkStart w:id="13" w:name="tPBU"/>
      <w:bookmarkEnd w:id="13"/>
      <w:r>
        <w:rPr>
          <w:rFonts w:ascii="Times New Roman;Times;Serif" w:hAnsi="Times New Roman;Times;Serif"/>
          <w:b/>
          <w:color w:val="000000"/>
          <w:sz w:val="17"/>
        </w:rPr>
        <w:t>PROPOSED BUSINESS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are a newly incorporated blank check company incorporated as a Cayman Islands exempted company and formed for the purpose of effecting a merger, amalgamation, share exchange, asset acquisition, share purchase, reorganization or similar business combination with one or more businesses, which we refer to throughout this prospectus as our initial business combination. To date, our efforts have been limited to organizational activities and activities related to this offering. We have not selected any business combination target and we have not, nor has anyone on our behalf, initiated any substantive discussions, directly or indirectly, with any business combination target.</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Our sponsor is an affiliate of Silver Spike Capital. Silver Spike Capital is an asset management fund focused on the burgeoning cannabis and related health &amp; wellness industries. Silver Spike was formed in 2019 with an executive team consisting of seasoned investment professionals, many of whom have extensive experience in emerging and frontier markets as well as cannabis industry investors and entrepreneurs with proven track records. With this team, Silver Spike is positioning to become the leading institutional-quality asset manager in this nascent, fragmented sector.</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While we may pursue a business combination target in any business, industry or geographical location, we intend to focus our search for businesses in the cannabis industry that are compliant with all applicable laws and regulations within the jurisdictions in which they are located or operate and, in particular, we will not invest in, or consummate a business combination with, a target business that we determine has been operating, or whose business plan is to operate, in violation of U.S. federal laws, including the U.S. Controlled Substances Act. The cannabis industry has experienced significant growth over the last several years. With full federal legalization in Canada and 36 states in the United States allowing for some type of legal use under state law, the cannabis industry is amongst the fastest growing industries in the world. We believe that the normalization of cannabis and its many uses - both therapeutic and recreational - is creating a rarely seen opportunity to invest in related businesses. At the same time, the cannabis industry is highly fragmented and subject to a complex regulatory framework, creating significant barriers to entry. The cannabis-related investment space is currently dominated by small funds which we believe lack both the capital and experience to see their investments through multiple rounds of funding.</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believe that there are several target businesses that could benefit from our partnership and are compliant with all applicable laws and regulations within the jurisdictions in which they are located or operate. In the United States, this would currently include non-plant touching businesses that support the functioning of cannabis activity but are not directly related to cultivation, manufacturing, processing, branding, transportation, distribution, storage or sale of cannabis and cannabis-based products. Another set of eligible targets in the U.S. would include hemp derived CBD businesses that are compliant with the Farm Bill Act, which would include targets engaged in cultivation, manufacturing, processing, branding, transportation, distribution, storage or sale of hemp-derived CBD. We may also consider companies pursuing an FDA track for pharmaceutical applications and treatments that entail compounds found in cannabis. There are also a number of qualifying cannabis-related licensed operators in industries outside of the United States. This includes companies currently operating in jurisdictions where cannabis has been decriminalized for recreational use, such as Canada, Colombia and Uruguay. Globally, more than 50 countries have legalized some form of medical cannabis. Over the next 18 months, we believe that legislative activity in certain jurisdictions will further broaden our opportunity set for eligible acquisitions.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transition of the cannabis and derivative products industries to a regulated and legal marketplace has been happening at a rapid pace over recent years. Many countries have or are contemplating some form of legalized use, including Canada and the United States. For example, on June 28, 2018, the Marijuana Freedom and Opportunity Act was introduced in the United States Senate, which would remove marijuana from the schedule of controlled substances under the Controlled Substances Act and decriminalize its use. We believe that this momentum will continue to accelerate worldwide, generating tremendous opportunity in the industry, with both broader legislative acceptance and an evolving regulatory environment. There have already been hundreds of businesses launched across various sub-sectors of the cannabis industry, many of which are located in Canada or the United States. These businesses have raised billions of dollars from investors in public and private markets; including strategic investments from major multinational companies that are altering or broadening their core business focus. Many of these businesses have valuations in excess of a billion dollars. However, the cannabis industry is still in its infancy.</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85</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In order to succeed under the new legislative and regulatory frameworks, we believe that businesses will need strong management teams with deep operational expertise and financial acumen.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As this industry evolves from a nascent industry cycle, often with high levels of return, we believe that investors will become more discerning and will focus on business models that can scale profitably. Despite high profile recent investments, we believe the total quantum of invested capital in the space is scant relative to other major industry sectors. As the industry evolves and legislative and regulatory hurdles are addressed, we anticipate an institutionalization of capital investment, with reduced reliance on high net worth individuals, family offices and select hedge funds. We believe that this will be manifested by new investors providing sources of liquidity that will resemble more mature markets, including increased breadth of financial instruments across the capital structure.</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believe that the cannabis industry will continue to grow at a rapid pace in the coming years – with the potential to reach several hundred billion dollars of sales within the next ten years. Unlike other emerging industries, which have been driven by massive technological advances, cannabis has supported therapeutic treatments for thousands of years across a variety of cultures. The evolution of public perception is being sustained by consumers seeking cannabis-based treatments for a variety of health and wellness needs. We believe that there will be growth via the broader adoption of cannabis for non-recreational use. Potential sources for additional growth include the disruption of a variety of health-related market segments including pain management, sleep, skin care and cosmetics and anxiety, as well as many other applications that are being explored.</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Scott Gordon, our founder, is the founder and Chief Executive Officer of Silver Spike Capital, a newly formed investment platform dedicated to the cannabis industry. Mr. Gordon began investing in the cannabis industry in 2014 and in 2016 co-founded and became Chairman of Egg Rock Holdings, parent company of the Papa &amp; Barkley family of cannabis products with related subsidiary assets in manufacturing, processing, and logistics. Egg Rock Holdings also is the parent company of Papa &amp; Barkley Essentials, a hemp-derived CBD business based in Colorado. Mr. Gordon has spent his career investing in emerging markets globally and has formed and managed a number of large global platforms. Prior to the formation of Silver Spike Capital, Mr. Gordon was President of Fintech Advisory Inc., investment manager for a multibillion dollar family office fund focused on long-term and opportunistic investments in emerging markets. Previously, Mr. Gordon held leadership positions at several asset management firms including Marathon Asset Management, Caxton and Taconic Capital. Earlier in his career, Mr. Gordon led the Global Special Situations Group at Bank of America, the Emerging Markets business at ING Capital and was a founding member of the Emerging Markets business at JP Morgan.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Mr. Gordon is joined at Silver Spike by a number of investment professionals who have experience spanning cannabis, consumer products, medical and scientific research and investment management. See Management for additional information about our management team.</w:t>
      </w:r>
    </w:p>
    <w:p>
      <w:pPr>
        <w:pStyle w:val="TextBody"/>
        <w:spacing w:before="240" w:after="0"/>
        <w:ind w:left="0" w:right="0" w:hanging="0"/>
        <w:jc w:val="center"/>
        <w:rPr>
          <w:rFonts w:ascii="Times New Roman;Times;Serif" w:hAnsi="Times New Roman;Times;Serif"/>
          <w:b/>
          <w:color w:val="000000"/>
          <w:sz w:val="17"/>
        </w:rPr>
      </w:pPr>
      <w:r>
        <w:rPr>
          <w:rFonts w:ascii="Times New Roman;Times;Serif" w:hAnsi="Times New Roman;Times;Serif"/>
          <w:b/>
          <w:color w:val="000000"/>
          <w:sz w:val="17"/>
        </w:rPr>
        <w:t>Business Strategy</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Our business strategy is to identify and complete our initial business combination with a target operating in the cannabis industry that is compliant with all applicable laws and regulations within the jurisdictions in which it is located or operates. We believe that there is an opportunity to take advantage of a newly emerging industry, with a variety of established operators seeking access to capital and managerial expertise. We intend to leverage our teams collective operating, technical, regulatory and legal expertise to build a strong business with competitive advantages to emerge as a leading public company in the space.</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As the industry continues to transition to a new legislative and regulatory framework, we believe that many companies will need a partner that can assist in providing a level of operational and financial expertise to support their growth. Our team includes a variety of investment, operational and healthcare professionals who will provide operating, technical, regulatory and legal expertise to assist a target business access the public markets, and our team includes Scott Gordon and Orrin Devinsky, both of whom have extensive expertise in cannabis. Our team consists of professionals who have decades of experience in capital markets globally, have extensive scientific and medical knowledge of the plant and its many compounds and includes entrepreneurs and founders of consumer facing businesses. </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Our acquisition plan is to leverage our management teams networks of potential transaction sources where we believe a combination of our management teams industry relationships, knowledge and experience could effect a </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86</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positive transformation or augmentation of existing businesses or assets. Over the course of their careers, the members of our management team have developed a broad network of contacts and corporate relationships that we believe will serve as a useful source of acquisition opportunities. We plan to leverage relationships with management teams of public and private companies, investment professionals at private equity firms and other financial sponsors, owners of private businesses, investment bankers, restructuring advisers, consultants, attorneys and accountants, which we believe should provide us with a number of business combination opportunities.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Following the completion of this offering, the members of our management team plan to communicate with their networks of relationships to articulate the parameters for our search for a target business and a potential business combination and begin the process of pursuing and reviewing potentially interesting leads.</w:t>
      </w:r>
    </w:p>
    <w:p>
      <w:pPr>
        <w:pStyle w:val="TextBody"/>
        <w:spacing w:before="240" w:after="0"/>
        <w:ind w:left="0" w:right="0" w:hanging="0"/>
        <w:jc w:val="center"/>
        <w:rPr>
          <w:rFonts w:ascii="Times New Roman;Times;Serif" w:hAnsi="Times New Roman;Times;Serif"/>
          <w:b/>
          <w:color w:val="000000"/>
          <w:sz w:val="17"/>
        </w:rPr>
      </w:pPr>
      <w:r>
        <w:rPr>
          <w:rFonts w:ascii="Times New Roman;Times;Serif" w:hAnsi="Times New Roman;Times;Serif"/>
          <w:b/>
          <w:color w:val="000000"/>
          <w:sz w:val="17"/>
        </w:rPr>
        <w:t>Acquisition Criteria</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Consistent with our business strategy, we have identified the following general, non-exclusive criteria and guidelines that we believe are important in evaluating prospective targets for our initial business combination. We will use these criteria and guidelines in evaluating acquisition opportunities, but we may decide to enter into our initial business combination with a target that does not meet one or more of these criteria and guidelines. We expect to weigh potential upside from growth in the target business and an improved capital structure against any identified downside risks. We intend to focus on target businesses that we believe:</w:t>
      </w:r>
    </w:p>
    <w:tbl>
      <w:tblPr>
        <w:tblW w:w="5000" w:type="pct"/>
        <w:jc w:val="left"/>
        <w:tblInd w:w="0" w:type="dxa"/>
        <w:tblCellMar>
          <w:top w:w="0" w:type="dxa"/>
          <w:left w:w="0" w:type="dxa"/>
          <w:bottom w:w="0" w:type="dxa"/>
          <w:right w:w="0" w:type="dxa"/>
        </w:tblCellMar>
      </w:tblPr>
      <w:tblGrid>
        <w:gridCol w:w="235"/>
        <w:gridCol w:w="261"/>
        <w:gridCol w:w="9709"/>
      </w:tblGrid>
      <w:tr>
        <w:trPr/>
        <w:tc>
          <w:tcPr>
            <w:tcW w:w="235"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jc w:val="left"/>
              <w:rPr>
                <w:color w:val="000000"/>
              </w:rPr>
            </w:pPr>
            <w:r>
              <w:rPr>
                <w:color w:val="000000"/>
              </w:rPr>
              <w:t>•</w:t>
            </w:r>
          </w:p>
        </w:tc>
        <w:tc>
          <w:tcPr>
            <w:tcW w:w="9709"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b/>
                <w:color w:val="000000"/>
                <w:sz w:val="17"/>
              </w:rPr>
              <w:t xml:space="preserve">exhibit institutional-level operations and financial controls. </w:t>
            </w:r>
            <w:r>
              <w:rPr>
                <w:rFonts w:ascii="Times New Roman;Times;Serif" w:hAnsi="Times New Roman;Times;Serif"/>
                <w:color w:val="000000"/>
                <w:sz w:val="17"/>
              </w:rPr>
              <w:t>We intend to seek a target in the cannabis space that not only has a leading competitive position, but also has the underlying infrastructure and operations to build a public platform;</w:t>
            </w:r>
          </w:p>
        </w:tc>
      </w:tr>
    </w:tbl>
    <w:tbl>
      <w:tblPr>
        <w:tblW w:w="5000" w:type="pct"/>
        <w:jc w:val="left"/>
        <w:tblInd w:w="0" w:type="dxa"/>
        <w:tblCellMar>
          <w:top w:w="0" w:type="dxa"/>
          <w:left w:w="0" w:type="dxa"/>
          <w:bottom w:w="0" w:type="dxa"/>
          <w:right w:w="0" w:type="dxa"/>
        </w:tblCellMar>
      </w:tblPr>
      <w:tblGrid>
        <w:gridCol w:w="236"/>
        <w:gridCol w:w="262"/>
        <w:gridCol w:w="9707"/>
      </w:tblGrid>
      <w:tr>
        <w:trPr/>
        <w:tc>
          <w:tcPr>
            <w:tcW w:w="236"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jc w:val="left"/>
              <w:rPr>
                <w:color w:val="000000"/>
              </w:rPr>
            </w:pPr>
            <w:r>
              <w:rPr>
                <w:color w:val="000000"/>
              </w:rPr>
              <w:t>•</w:t>
            </w:r>
          </w:p>
        </w:tc>
        <w:tc>
          <w:tcPr>
            <w:tcW w:w="9707"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b/>
                <w:color w:val="000000"/>
                <w:sz w:val="17"/>
              </w:rPr>
              <w:t>have durable competitive advantages that are differentiated in the sector.</w:t>
            </w:r>
            <w:r>
              <w:rPr>
                <w:rFonts w:ascii="Times New Roman;Times;Serif" w:hAnsi="Times New Roman;Times;Serif"/>
                <w:color w:val="000000"/>
                <w:sz w:val="17"/>
              </w:rPr>
              <w:t xml:space="preserve"> We intend to acquire an asset that not only benefits from secular tailwinds in the industry, but also exhibit hard-to-replicate competitive advantages amongst its peers;</w:t>
            </w:r>
          </w:p>
        </w:tc>
      </w:tr>
    </w:tbl>
    <w:tbl>
      <w:tblPr>
        <w:tblW w:w="5000" w:type="pct"/>
        <w:jc w:val="left"/>
        <w:tblInd w:w="0" w:type="dxa"/>
        <w:tblCellMar>
          <w:top w:w="0" w:type="dxa"/>
          <w:left w:w="0" w:type="dxa"/>
          <w:bottom w:w="0" w:type="dxa"/>
          <w:right w:w="0" w:type="dxa"/>
        </w:tblCellMar>
      </w:tblPr>
      <w:tblGrid>
        <w:gridCol w:w="187"/>
        <w:gridCol w:w="224"/>
        <w:gridCol w:w="9794"/>
      </w:tblGrid>
      <w:tr>
        <w:trPr/>
        <w:tc>
          <w:tcPr>
            <w:tcW w:w="187"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jc w:val="left"/>
              <w:rPr>
                <w:color w:val="000000"/>
              </w:rPr>
            </w:pPr>
            <w:r>
              <w:rPr>
                <w:color w:val="000000"/>
              </w:rPr>
              <w:t>•</w:t>
            </w:r>
          </w:p>
        </w:tc>
        <w:tc>
          <w:tcPr>
            <w:tcW w:w="9794"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b/>
                <w:color w:val="000000"/>
                <w:sz w:val="17"/>
              </w:rPr>
              <w:t>are fundamentally sound with consistent operational performance and free cash flow generation.</w:t>
            </w:r>
            <w:r>
              <w:rPr>
                <w:rFonts w:ascii="Times New Roman;Times;Serif" w:hAnsi="Times New Roman;Times;Serif"/>
                <w:color w:val="000000"/>
                <w:sz w:val="17"/>
              </w:rPr>
              <w:t xml:space="preserve"> We expect to target a business that has historically exhibited profitability and strong cash flow generation. Our management team has a proven track record accelerating growth of companies with strong past performance;</w:t>
            </w:r>
          </w:p>
        </w:tc>
      </w:tr>
    </w:tbl>
    <w:tbl>
      <w:tblPr>
        <w:tblW w:w="5000" w:type="pct"/>
        <w:jc w:val="left"/>
        <w:tblInd w:w="0" w:type="dxa"/>
        <w:tblCellMar>
          <w:top w:w="0" w:type="dxa"/>
          <w:left w:w="0" w:type="dxa"/>
          <w:bottom w:w="0" w:type="dxa"/>
          <w:right w:w="0" w:type="dxa"/>
        </w:tblCellMar>
      </w:tblPr>
      <w:tblGrid>
        <w:gridCol w:w="225"/>
        <w:gridCol w:w="253"/>
        <w:gridCol w:w="9727"/>
      </w:tblGrid>
      <w:tr>
        <w:trPr/>
        <w:tc>
          <w:tcPr>
            <w:tcW w:w="225"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jc w:val="left"/>
              <w:rPr>
                <w:color w:val="000000"/>
              </w:rPr>
            </w:pPr>
            <w:r>
              <w:rPr>
                <w:color w:val="000000"/>
              </w:rPr>
              <w:t>•</w:t>
            </w:r>
          </w:p>
        </w:tc>
        <w:tc>
          <w:tcPr>
            <w:tcW w:w="9727"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b/>
                <w:color w:val="000000"/>
                <w:sz w:val="17"/>
              </w:rPr>
              <w:t>are at an inflection point, such as requiring additional capital to achieve a growth strategy.</w:t>
            </w:r>
            <w:r>
              <w:rPr>
                <w:rFonts w:ascii="Times New Roman;Times;Serif" w:hAnsi="Times New Roman;Times;Serif"/>
                <w:color w:val="000000"/>
                <w:sz w:val="17"/>
              </w:rPr>
              <w:t xml:space="preserve"> We intend to look for targets that have clear opportunities for long-term sustainable growth, but which require our capital or expertise to achieve a growth strategy;</w:t>
            </w:r>
          </w:p>
        </w:tc>
      </w:tr>
    </w:tbl>
    <w:tbl>
      <w:tblPr>
        <w:tblW w:w="5000" w:type="pct"/>
        <w:jc w:val="left"/>
        <w:tblInd w:w="0" w:type="dxa"/>
        <w:tblCellMar>
          <w:top w:w="0" w:type="dxa"/>
          <w:left w:w="0" w:type="dxa"/>
          <w:bottom w:w="0" w:type="dxa"/>
          <w:right w:w="0" w:type="dxa"/>
        </w:tblCellMar>
      </w:tblPr>
      <w:tblGrid>
        <w:gridCol w:w="147"/>
        <w:gridCol w:w="194"/>
        <w:gridCol w:w="9864"/>
      </w:tblGrid>
      <w:tr>
        <w:trPr/>
        <w:tc>
          <w:tcPr>
            <w:tcW w:w="147"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jc w:val="left"/>
              <w:rPr>
                <w:color w:val="000000"/>
              </w:rPr>
            </w:pPr>
            <w:r>
              <w:rPr>
                <w:color w:val="000000"/>
              </w:rPr>
              <w:t>•</w:t>
            </w:r>
          </w:p>
        </w:tc>
        <w:tc>
          <w:tcPr>
            <w:tcW w:w="9864"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b/>
                <w:color w:val="000000"/>
                <w:sz w:val="17"/>
              </w:rPr>
              <w:t xml:space="preserve">have the potential to further improve their performance under our ownership. </w:t>
            </w:r>
            <w:r>
              <w:rPr>
                <w:rFonts w:ascii="Times New Roman;Times;Serif" w:hAnsi="Times New Roman;Times;Serif"/>
                <w:color w:val="000000"/>
                <w:sz w:val="17"/>
              </w:rPr>
              <w:t>We intend to seek targets where we believe we can improve company results by leveraging our transactional, financial, managerial and investment experience as well as our extensive networks and insights. We believe our management team has the right skills and capabilities to enhance companies’ results and consolidate competitive positions in their sectors;</w:t>
            </w:r>
          </w:p>
        </w:tc>
      </w:tr>
    </w:tbl>
    <w:tbl>
      <w:tblPr>
        <w:tblW w:w="5000" w:type="pct"/>
        <w:jc w:val="left"/>
        <w:tblInd w:w="0" w:type="dxa"/>
        <w:tblCellMar>
          <w:top w:w="0" w:type="dxa"/>
          <w:left w:w="0" w:type="dxa"/>
          <w:bottom w:w="0" w:type="dxa"/>
          <w:right w:w="0" w:type="dxa"/>
        </w:tblCellMar>
      </w:tblPr>
      <w:tblGrid>
        <w:gridCol w:w="214"/>
        <w:gridCol w:w="245"/>
        <w:gridCol w:w="9746"/>
      </w:tblGrid>
      <w:tr>
        <w:trPr/>
        <w:tc>
          <w:tcPr>
            <w:tcW w:w="214"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jc w:val="left"/>
              <w:rPr>
                <w:color w:val="000000"/>
              </w:rPr>
            </w:pPr>
            <w:r>
              <w:rPr>
                <w:color w:val="000000"/>
              </w:rPr>
              <w:t>•</w:t>
            </w:r>
          </w:p>
        </w:tc>
        <w:tc>
          <w:tcPr>
            <w:tcW w:w="9746"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b/>
                <w:color w:val="000000"/>
                <w:sz w:val="17"/>
              </w:rPr>
              <w:t>may benefit from capital markets access.</w:t>
            </w:r>
            <w:r>
              <w:rPr>
                <w:rFonts w:ascii="Times New Roman;Times;Serif" w:hAnsi="Times New Roman;Times;Serif"/>
                <w:color w:val="000000"/>
                <w:sz w:val="17"/>
              </w:rPr>
              <w:t xml:space="preserve"> We intend to seek a target that may benefit from being, or has the potential to become, a public company with an increased public profile, enhanced corporate governance and increased access to a more diversified pool of capital; and</w:t>
            </w:r>
          </w:p>
        </w:tc>
      </w:tr>
    </w:tbl>
    <w:tbl>
      <w:tblPr>
        <w:tblW w:w="5000" w:type="pct"/>
        <w:jc w:val="left"/>
        <w:tblInd w:w="0" w:type="dxa"/>
        <w:tblCellMar>
          <w:top w:w="0" w:type="dxa"/>
          <w:left w:w="0" w:type="dxa"/>
          <w:bottom w:w="0" w:type="dxa"/>
          <w:right w:w="0" w:type="dxa"/>
        </w:tblCellMar>
      </w:tblPr>
      <w:tblGrid>
        <w:gridCol w:w="289"/>
        <w:gridCol w:w="302"/>
        <w:gridCol w:w="9614"/>
      </w:tblGrid>
      <w:tr>
        <w:trPr/>
        <w:tc>
          <w:tcPr>
            <w:tcW w:w="289"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jc w:val="left"/>
              <w:rPr>
                <w:color w:val="000000"/>
              </w:rPr>
            </w:pPr>
            <w:r>
              <w:rPr>
                <w:color w:val="000000"/>
              </w:rPr>
              <w:t>•</w:t>
            </w:r>
          </w:p>
        </w:tc>
        <w:tc>
          <w:tcPr>
            <w:tcW w:w="9614"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b/>
                <w:color w:val="000000"/>
                <w:sz w:val="17"/>
              </w:rPr>
              <w:t>exhibit unrecognized value and desirable returns on capital.</w:t>
            </w:r>
            <w:r>
              <w:rPr>
                <w:rFonts w:ascii="Times New Roman;Times;Serif" w:hAnsi="Times New Roman;Times;Serif"/>
                <w:color w:val="000000"/>
                <w:sz w:val="17"/>
              </w:rPr>
              <w:t xml:space="preserve"> We will look for targets that we believe have been undervalued by the marketplace based on our analysis and due diligence review.</w:t>
            </w:r>
          </w:p>
        </w:tc>
      </w:tr>
    </w:tbl>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These criteria are not intended to be exhaustive. Any evaluation relating to the merits of a particular initial business combination may be based, to the extent relevant, on these general criteria and guidelines as well as other considerations, factors and criteria that our management may deem relevant. In the event that we decide to enter into our initial business combination with a target business that does not meet the above criteria and guidelines, we will disclose that the target business does not meet the above criteria and guidelines in our shareholder communications related to our initial business combination, which, as discussed in this prospectus, would be in the form of proxy solicitation or tender offer materials that we would file with the SEC.</w:t>
      </w:r>
    </w:p>
    <w:p>
      <w:pPr>
        <w:pStyle w:val="TextBody"/>
        <w:spacing w:before="240" w:after="0"/>
        <w:ind w:left="0" w:right="0" w:hanging="0"/>
        <w:jc w:val="center"/>
        <w:rPr>
          <w:rFonts w:ascii="Times New Roman;Times;Serif" w:hAnsi="Times New Roman;Times;Serif"/>
          <w:b/>
          <w:color w:val="000000"/>
          <w:sz w:val="17"/>
        </w:rPr>
      </w:pPr>
      <w:r>
        <w:rPr>
          <w:rFonts w:ascii="Times New Roman;Times;Serif" w:hAnsi="Times New Roman;Times;Serif"/>
          <w:b/>
          <w:color w:val="000000"/>
          <w:sz w:val="17"/>
        </w:rPr>
        <w:t>Acquisition Process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have not selected any business combination target and we have not, nor has anyone on our behalf, initiated any substantive discussions, directly or indirectly, with any business combination target.</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87</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Certain of our officers and directors presently have, and any of them in the future may have, additional, fiduciary or contractual obligations to other entities pursuant to which such officer or director is or will be required to present a business combination opportunity to such entity. Accordingly, if any of our officers or directors becomes aware of a business combination opportunity that is suitable for an entity to which he or she has then-current fiduciary or contractual obligations, he or she may need to honor these fiduciary or contractual obligations to present such business combination opportunity to such entity, subject to their fiduciary duties under Cayman Islands law. We do not believe, however, that the fiduciary duties or contractual obligations of our officers or directors will materially affect our ability to complete our initial business combination.</w:t>
      </w:r>
    </w:p>
    <w:p>
      <w:pPr>
        <w:pStyle w:val="TextBody"/>
        <w:spacing w:before="240" w:after="0"/>
        <w:ind w:left="0" w:right="0" w:hanging="0"/>
        <w:jc w:val="center"/>
        <w:rPr>
          <w:rFonts w:ascii="Times New Roman;Times;Serif" w:hAnsi="Times New Roman;Times;Serif"/>
          <w:b/>
          <w:color w:val="000000"/>
          <w:sz w:val="17"/>
        </w:rPr>
      </w:pPr>
      <w:r>
        <w:rPr>
          <w:rFonts w:ascii="Times New Roman;Times;Serif" w:hAnsi="Times New Roman;Times;Serif"/>
          <w:b/>
          <w:color w:val="000000"/>
          <w:sz w:val="17"/>
        </w:rPr>
        <w:t>Initial Business Combination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rules of Nasdaq require that our initial business combination occur with one or more target businesses that together have an aggregate fair market value of at least 80% of the assets held in the trust account (excluding the deferred underwriting commissions and taxes payable on the income earned on the trust account) at the time of the agreement to enter into the initial business combination. We refer to this as the 80% fair market value test. The fair market value of the target or targets will be determined by our board of directors based upon one or more standards generally accepted by the financial community (such as actual and potential sales, earnings, cash flow and/or book value). Even though our board of directors will rely on generally accepted standards, our board of directors will have discretion to select the standards employed. In addition, the application of the standards generally involves a substantial degree of judgment. Accordingly, investors will be relying on the business judgment of the board of directors in evaluating the fair market value of the target or targets. The proxy solicitation materials or tender offer documents used by us in connection with any proposed transaction will provide public shareholders with our analysis of our satisfaction of the 80% fair market value test, as well as the basis for our determinations. If our board is not able independently to determine the fair market value of the target business or businesses, we will obtain an opinion from an independent investment banking firm, or another independent entity that commonly renders valuation opinions, with respect to the satisfaction of such criteria. We do not currently intend to purchase multiple businesses in unrelated industries in conjunction with our initial business combination, although there is no restriction on our doing so.</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anticipate structuring our initial business combination so that the post-transaction company in which our public shareholders own shares will own or acquire 100% of the issued and outstanding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target management team or shareholders or for other reasons, but we will only complete such business combination if the post-transaction company owns or acquires 50% or more of the issued and outstanding voting securities of the target or otherwise acquires a controlling interest in the target business sufficient for it not to be required to register as an investment company under the Investment Company Act of 1940, as amended, or the Investment Company Act. Even if the post-transaction company owns or acquires 50% or more of the voting securities of the target, our shareholders prior to our initial business combination may collectively own a minority interest in the post-transaction company, depending on valuations ascribed to the target and us in our initial business combination transaction. For example, we could pursue a transaction in which we issue a substantial number of new shares in exchange for all of the issued and outstanding capital stock or shares of a target. In this case, we would acquire a 100% controlling interest in the target. However, as a result of the issuance of a substantial number of new shares, our shareholders immediately prior to our initial business combination could own less than a majority of our issued and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fair market value test. If our initial business combination involves more than one target business, the 80% fair market value test will be based on the aggregate value of all of the target businesses. Notwithstanding the foregoing, if we are not then listed on Nasdaq for whatever reason, we would no longer be required to meet the foregoing 80% fair market value test. We have filed a Registration Statement on Form 8-A with the SEC to voluntarily register our securities under Section 12 of the Exchange Act. As a result, we are subject to the rules and regulations promulgated under the Exchange Act. We have no current intention of filing a Form 15 to suspend our reporting or other obligations under the Exchange Act prior or subsequent to the completion of our initial business combination.</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88</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Emerging Growth Company Status and Other Corporate Information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are an emerging growth company, as defined in Section 2(a) of the Securities Act of 1933, as amended, or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ordinary shares that is held by non-affiliates exceeds $700 million as of the end of the prior fiscal years second fiscal quarter and (2) the date on which we have issued more than $1.00 billion in non-convertible debt securities during the prior three-year period. References herein to emerging growth company shall have the meaning associated with it in the JOBS Act.</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Exempted companies are Cayman Islands companies wishing to conduct business outside the Cayman Islands and, as such, are exempted from complying with certain provisions of the Companies Law. As an exempted company, we have applied for and received a tax exemption undertaking from the Cayman Islands government that, in accordance with Section 6 of the Tax Concessions Law (2018 Revision) of the Cayman Islands, for a period of 30 years from the date of the undertaking, no law which is enacted in the Cayman Islands imposing any tax to be levied on profits, income, gains or appreciations shall apply to us or our operations and, in addition, that no tax to be levied on profits, income, gains or appreciations or which is in the nature of estate duty or inheritance tax shall be payable (1) on or in respect of our shares, debentures or other obligations or (2) by way of the withholding in whole or in part of a payment of dividend or other distribution of income or capital by us to our shareholders or a payment of principal or interest or other sums due under a debenture or other obligation of us.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are a Cayman Islands exempted company incorporated on June 7, 2019. Our executive offices are located at 1114 6th Ave, 41st Floor New York, New York, 10036 and our telephone number is (212) 905-4923.</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Status as a Public Company</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believe our structure will make us an attractive business combination partner to target businesses. As an existing public company, we offer target businesses an alternative to the traditional initial public offering through a merger, amalgamation, share exchange, asset acquisition, share purchase, reorganization or similar business combination. In this situation, the owners of the target business would exchange their shares or shares of stock in the target business for our shares or for a combination of our shares and cash, allowing us to tailor the consideration to the specific needs of the sellers. Although there are various costs and obligations associated with being a public company, we believe target businesses will find this method a more certain and cost effective method to becoming a public company than the typical initial public offering. In a typical initial public offering, there are additional expenses incurred in marketing, road show and public reporting efforts that may not be present to the same extent in connection with a business combination with us.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Furthermore, once a proposed business combination is completed, the target business will have effectively become public, whereas an initial public offering is always subject to the underwriters ability to complete the offering, as well as general market conditions, which could delay or prevent the offering from occurring. Once </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89</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public, we believe the target business would then have greater access to capital and an additional means of providing management incentives consistent with shareholders interests. It can offer further benefits by augmenting a companys profile among potential new customers and vendors and aid in attracting talented employees.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are an emerging growth company, as defined in the JOBS Act. 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ordinary shares that is held by non-affiliates exceeds $700 million as of the end of the prior fiscal years second fiscal quarter, and (2) the date on which we have issued more than $1.00 billion in non-convertible debt securities during the prior three-year period.</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Financial Position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With funds available for a business combination initially in the amount of $241,250,000 assuming no redemptions and after payment of $8,750,000 of deferred underwriting fees (or $277,437,500 assuming no redemptions and after payment of up to $10,062,500 of deferred underwriting fees if the underwriters over-allotment option is exercised in full), we offer a target business a variety of options such as creating a liquidity event for its owners, providing capital for the potential growth and expansion of its operations or strengthening its balance sheet by reducing its debt ratio. Because we are able to complete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we have not taken any steps to secure third-party financing and there can be no assurance it will be available to us. </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Effecting Our Initial Business Combination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are not presently engaged in, and we will not engage in, any operations for an indefinite period of time following this offering. We intend to effectuate our initial business combination using cash from the proceeds of this offering and the sale of the private placement warrants, our shares, debt or a combination of these as the consideration to be paid in our initial business combination. We may seek to complete our initial business combination with a company or business that may be financially unstable or in its early stages of development or growth, which would subject us to the numerous risks inherent in such companies and businesses.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If our initial business combination is paid for using equity or debt, or not all of the funds released from the trust account are used for payment of the consideration in connection with our initial business combination or the redemption of our public shares, we may apply the balance of the cash released to us from the trust account for general corporate purposes, including for maintenance or expansion of operations of the post-transaction company, the payment of principal or interest due on indebtedness incurred in completing our initial business combination, to fund the purchase of other companies or for working capital.</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have not selected any business combination target and we have not, nor has anyone on our behalf, initiated any substantive discussions, directly or indirectly, with any business combination target.</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may seek to raise additional funds through a private offering of debt or equity securities in connection with the completion of our initial business combination, and we may effectuate our initial business combination using the proceeds of such offering rather than using the amounts held in the trust account.</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In the case of an initial business combination funded with assets other than the trust account assets, our tender offer documents or proxy materials disclosing the business combination would disclose the terms of the financing and, only if required by law or we decide to do so for business or other reasons, we would seek shareholder approval of such financing. There are no prohibitions on our ability to raise funds privately or through loans in connection with our initial business combination. At this time, we are not a party to any arrangement or understanding with any third party with respect to raising any additional funds through the sale of securities or otherwise.</w:t>
      </w:r>
    </w:p>
    <w:p>
      <w:pPr>
        <w:pStyle w:val="TextBody"/>
        <w:spacing w:before="12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Selection of a target business and structuring of our initial business combination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The rules of Nasdaq require that our initial business combination occur with one or more target businesses that together have an aggregate fair market value of at least 80% of the assets held in the trust account (excluding the </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90</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deferred underwriting commissions and taxes payable on the income earned on the trust account) at the time of the agreement to enter into the initial business combination. We refer to this as the 80% fair market value test. The fair market value of the target or targets will be determined by our board of directors based upon one or more standards generally accepted by the financial community (such as actual and potential sales, earnings, cash flow and/or book value). Even though our board of directors will rely on generally accepted standards, our board of directors will have discretion to select the standards employed. In addition, the application of the standards generally involves a substantial degree of judgment. Accordingly, investors will be relying on the business judgment of the board of directors in evaluating the fair market value of the target or targets. The proxy solicitation materials or tender offer documents used by us in connection with any proposed transaction will provide public shareholders with our analysis of our satisfaction of the 80% fair market value test, as well as the basis for our determinations. If our board is not able independently to determine the fair market value of the target business or businesses, we will obtain an opinion from an independent investment banking firm, or another independent entity that commonly renders valuation opinions, with respect to the satisfaction of such criteria. We do not currently intend to purchase multiple businesses in unrelated industries in conjunction with our initial business combination, although there is no restriction on our doing so.</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anticipate structuring our initial business combination so that the post-transaction company in which our public shareholders own shares will own or acquire 100% of the issued and outstanding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target management team or shareholders or for other reasons, but we will only complete such business combination if the post-transaction company owns or acquires 50% or more of the issued and outstanding voting securities of the target or otherwise acquires a controlling interest in the target business sufficient for it not to be required to register as an investment company under the Investment Company Act of 1940, as amended, or the Investment Company Act. Even if the post-transaction company owns or acquires 50% or more of the voting securities of the target, our shareholders prior to our initial business combination may collectively own a minority interest in the post-transaction company, depending on valuations ascribed to the target and us in our initial business combination transaction. For example, we could pursue a transaction in which we issue a substantial number of new shares in exchange for all of the issued and outstanding capital stock or shares of a target. In this case, we would acquire a 100% controlling interest in the target. However, as a result of the issuance of a substantial number of new shares, our shareholders immediately prior to our initial business combination could own less than a majority of our issued and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fair market value test. If our initial business combination involves more than one target business, the 80% fair market value test will be based on the aggregate value of all of the target businesses. Notwithstanding the foregoing, if we are not then listed on Nasdaq for whatever reason, we would no longer be required to meet the foregoing 80% fair market value test.</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To the extent we effect our initial business combination with a company or business that may be financially unstable or in its early stages of development or growth we may be affected by numerous risks inherent in such company or business. Although our management will endeavor to evaluate the risks inherent in a particular target business, we cannot assure you that we will properly ascertain or assess all significant risk factors.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In evaluating a prospective target business, we expect to conduct a thorough due diligence review which will encompass, among other things, meetings with incumbent management and employees, document reviews, inspection of facilities, as well as a review of financial, operational, legal and other information, which will be made available to us.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our initial business combination is not ultimately completed will result in our incurring losses and will reduce the funds we can use to complete another business combination.</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91</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before="12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Lack of business diversification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For an indefinite period of time after the completion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completing our initial business combination with only a single entity, our lack of diversification may:</w:t>
      </w:r>
    </w:p>
    <w:tbl>
      <w:tblPr>
        <w:tblW w:w="5000" w:type="pct"/>
        <w:jc w:val="left"/>
        <w:tblInd w:w="0" w:type="dxa"/>
        <w:tblCellMar>
          <w:top w:w="0" w:type="dxa"/>
          <w:left w:w="0" w:type="dxa"/>
          <w:bottom w:w="0" w:type="dxa"/>
          <w:right w:w="0" w:type="dxa"/>
        </w:tblCellMar>
      </w:tblPr>
      <w:tblGrid>
        <w:gridCol w:w="256"/>
        <w:gridCol w:w="277"/>
        <w:gridCol w:w="9672"/>
      </w:tblGrid>
      <w:tr>
        <w:trPr/>
        <w:tc>
          <w:tcPr>
            <w:tcW w:w="256"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jc w:val="left"/>
              <w:rPr>
                <w:color w:val="000000"/>
              </w:rPr>
            </w:pPr>
            <w:r>
              <w:rPr>
                <w:color w:val="000000"/>
              </w:rPr>
              <w:t>•</w:t>
            </w:r>
          </w:p>
        </w:tc>
        <w:tc>
          <w:tcPr>
            <w:tcW w:w="9672"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subject us to negative economic, competitive and regulatory developments, any or all of which may have a substantial adverse impact on the particular industry in which we operate after our initial business combination; and</w:t>
            </w:r>
          </w:p>
        </w:tc>
      </w:tr>
    </w:tbl>
    <w:tbl>
      <w:tblPr>
        <w:tblW w:w="5000" w:type="pct"/>
        <w:jc w:val="left"/>
        <w:tblInd w:w="0" w:type="dxa"/>
        <w:tblCellMar>
          <w:top w:w="0" w:type="dxa"/>
          <w:left w:w="0" w:type="dxa"/>
          <w:bottom w:w="0" w:type="dxa"/>
          <w:right w:w="0" w:type="dxa"/>
        </w:tblCellMar>
      </w:tblPr>
      <w:tblGrid>
        <w:gridCol w:w="498"/>
        <w:gridCol w:w="481"/>
        <w:gridCol w:w="9226"/>
      </w:tblGrid>
      <w:tr>
        <w:trPr/>
        <w:tc>
          <w:tcPr>
            <w:tcW w:w="498"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jc w:val="left"/>
              <w:rPr>
                <w:color w:val="000000"/>
              </w:rPr>
            </w:pPr>
            <w:r>
              <w:rPr>
                <w:color w:val="000000"/>
              </w:rPr>
              <w:t>•</w:t>
            </w:r>
          </w:p>
        </w:tc>
        <w:tc>
          <w:tcPr>
            <w:tcW w:w="9226"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cause us to depend on the marketing and sale of a single product or limited number of products or services.</w:t>
            </w:r>
          </w:p>
        </w:tc>
      </w:tr>
    </w:tbl>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Limited ability to evaluate the targets management team</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Although we intend to closely scrutinize the management of a prospective target business when evaluating the desirability of effecting our initial business combination with that business, our assessment of the target businesss management may not prove to be correct. In addition, the future management may not have the necessary skills, qualifications or abilities to manage a public company. Furthermore, the future role of members of our management team, if any, in the target business cannot presently be stated with any certainty. While it is possible that one or more of our directors will remain associated in some capacity with us following our initial business combination, it is unlikely that any of them will devote their full efforts to our affairs subsequent to our initial business combination. Moreover, we cannot assure you that members of our management team will have significant experience or knowledge relating to the operations of the particular target business.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cannot assure you that any of our key personnel will remain in senior management or advisory positions with the combined company. The determination as to whether any of our key personnel will remain with the combined company will be made at the time of our initial business combination.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Following our initial business combination, we may seek to recruit additional managers to supplement the incumbent management of the target business. We cannot assure you that we will have the ability to recruit additional managers, or that additional managers will have the requisite skills, knowledge or experience necessary to enhance the incumbent management.</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Shareholders may not have the ability to approve our initial business combination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may conduct redemptions without a shareholder vote pursuant to the tender offer rules of the SEC subject to the provisions of our amended and restated memorandum and articles of association. However, we will seek shareholder approval if it is required by applicable law or stock exchange listing requirement, or we may decide to seek shareholder approval for business or other reasons.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Under Nasdaqs listing rules, shareholder approval would be required for our initial business combination if, for example:</w:t>
      </w:r>
    </w:p>
    <w:tbl>
      <w:tblPr>
        <w:tblW w:w="5000" w:type="pct"/>
        <w:jc w:val="left"/>
        <w:tblInd w:w="0" w:type="dxa"/>
        <w:tblCellMar>
          <w:top w:w="0" w:type="dxa"/>
          <w:left w:w="0" w:type="dxa"/>
          <w:bottom w:w="0" w:type="dxa"/>
          <w:right w:w="0" w:type="dxa"/>
        </w:tblCellMar>
      </w:tblPr>
      <w:tblGrid>
        <w:gridCol w:w="295"/>
        <w:gridCol w:w="307"/>
        <w:gridCol w:w="9603"/>
      </w:tblGrid>
      <w:tr>
        <w:trPr/>
        <w:tc>
          <w:tcPr>
            <w:tcW w:w="295"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jc w:val="left"/>
              <w:rPr>
                <w:color w:val="000000"/>
              </w:rPr>
            </w:pPr>
            <w:r>
              <w:rPr>
                <w:color w:val="000000"/>
              </w:rPr>
              <w:t>•</w:t>
            </w:r>
          </w:p>
        </w:tc>
        <w:tc>
          <w:tcPr>
            <w:tcW w:w="9603"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we issue ordinary shares that will be equal to or in excess of 20% of the number of shares or voting power of our ordinary shares then issued and outstanding (other than in a public offering);</w:t>
            </w:r>
          </w:p>
        </w:tc>
      </w:tr>
    </w:tbl>
    <w:tbl>
      <w:tblPr>
        <w:tblW w:w="5000" w:type="pct"/>
        <w:jc w:val="left"/>
        <w:tblInd w:w="0" w:type="dxa"/>
        <w:tblCellMar>
          <w:top w:w="0" w:type="dxa"/>
          <w:left w:w="0" w:type="dxa"/>
          <w:bottom w:w="0" w:type="dxa"/>
          <w:right w:w="0" w:type="dxa"/>
        </w:tblCellMar>
      </w:tblPr>
      <w:tblGrid>
        <w:gridCol w:w="158"/>
        <w:gridCol w:w="202"/>
        <w:gridCol w:w="9845"/>
      </w:tblGrid>
      <w:tr>
        <w:trPr/>
        <w:tc>
          <w:tcPr>
            <w:tcW w:w="158"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jc w:val="left"/>
              <w:rPr>
                <w:color w:val="000000"/>
              </w:rPr>
            </w:pPr>
            <w:r>
              <w:rPr>
                <w:color w:val="000000"/>
              </w:rPr>
              <w:t>•</w:t>
            </w:r>
          </w:p>
        </w:tc>
        <w:tc>
          <w:tcPr>
            <w:tcW w:w="9845"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any of our directors, officers or substantial shareholders (as defined by Nasdaq rules) has a 5% or greater interest (or such persons collectively have a 10% or greater interest), directly or indirectly, in the target business or assets to be acquired or otherwise and the present or potential issuance of ordinary shares could result in an increase in outstanding common shares or voting power of 5% or more; or</w:t>
            </w:r>
          </w:p>
        </w:tc>
      </w:tr>
    </w:tbl>
    <w:tbl>
      <w:tblPr>
        <w:tblW w:w="5000" w:type="pct"/>
        <w:jc w:val="left"/>
        <w:tblInd w:w="0" w:type="dxa"/>
        <w:tblCellMar>
          <w:top w:w="0" w:type="dxa"/>
          <w:left w:w="0" w:type="dxa"/>
          <w:bottom w:w="0" w:type="dxa"/>
          <w:right w:w="0" w:type="dxa"/>
        </w:tblCellMar>
      </w:tblPr>
      <w:tblGrid>
        <w:gridCol w:w="523"/>
        <w:gridCol w:w="504"/>
        <w:gridCol w:w="9178"/>
      </w:tblGrid>
      <w:tr>
        <w:trPr/>
        <w:tc>
          <w:tcPr>
            <w:tcW w:w="523"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jc w:val="left"/>
              <w:rPr>
                <w:color w:val="000000"/>
              </w:rPr>
            </w:pPr>
            <w:r>
              <w:rPr>
                <w:color w:val="000000"/>
              </w:rPr>
              <w:t>•</w:t>
            </w:r>
          </w:p>
        </w:tc>
        <w:tc>
          <w:tcPr>
            <w:tcW w:w="9178"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the issuance or potential issuance of ordinary shares will result in our undergoing a change of control.</w:t>
            </w:r>
          </w:p>
        </w:tc>
      </w:tr>
    </w:tbl>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Companies Law and Cayman Islands law do not currently require, and we are not aware of any other applicable law that will require, shareholder approval of our initial business combination.</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92</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before="12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Permitted purchases of our securities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In the event we seek shareholder approval of our initial business combination and we do not conduct redemptions in connection with our initial business combination pursuant to the tender offer rules, our initial shareholders, directors, officers, advisors or any of their affiliates may purchase public shares or public warrants or a combination thereof in privately negotiated transactions or in the open market either prior to or following the completion of our initial business combination, although they are under no obligation or duty to do so. There is no limit on the number of shares or warrants such persons may purchase, or any restriction on the price that they may pay. Any such price per share may be different than the amount per share a public shareholder would receive if it elected to redeem its shares in connection with our initial business combination. However, such persons have no current commitments, plans or intentions to engage in such transactions and have not formulated any terms or conditions for any such transactions. In the event our initial shareholders, directors, officers, advisors or any of their affiliates determine to make any such purchases at the time of a shareholder vote relating to our initial business combination, such purchases could have the effect of influencing the vote necessary to approve such transaction. None of the funds in the trust account will be used to purchase public shares or public warrants in such transactions. If they engage in such transactions, they will be restricted from making any such purchases when they are in possession of any material non-public information not disclosed to the seller or if such purchases are prohibited by Regulation M under the Exchange Act. Subsequent to the consummation of this offering, we will adopt an insider trading policy which will require insiders to (1) refrain from purchasing securities during certain blackout periods and when they are in possession of any material non-public information and (2) to clear certain trades prior to execution. We cannot currently determine whether our insiders will make such purchases pursuant to a Rule 10b5-1 plan, as it will be dependent upon several factors, including but not limited to, the timing and size of such purchases. Depending on such circumstances, our insiders may either make such purchases pursuant to a Rule 10b5-1 plan or determine that such a plan is not necessary.</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In the event that our sponsor, directors, officers, advisors or any of their affiliates purchase public shares in privately negotiated transactions from public shareholders who have already elected to exercise their redemption rights or submitted a proxy to vote against our initial business combination, such selling shareholders would be required to revoke their prior elections to redeem their shares and any proxy to vote against our initial business combination.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purpose of such purchases could be to (1) vote such shares in favor of the business combination and thereby increase the likelihood of obtaining shareholder approval of our initial business combination or (2) to satisfy a closing condition in an agreement with a target that requires us to have a minimum net worth or a certain amount of cash at the closing of our initial business combination, where it appears that such requirement would otherwise not be met. This may result in the completion of our initial business combination that may not otherwise have been possible.</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In addition, if such purchases are made, the public float of our securities may be reduced and the number of beneficial holders of our securities may be reduced, which may make it difficult to maintain or obtain the quotation, listing or trading of our securities on a national securities exchange.</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Our sponsor, officers, directors, advisors and/or any of their affiliates anticipate that they may identify the shareholders with whom our sponsor, officers, directors, advisors or any of their affiliates may pursue privately negotiated purchases by either the shareholders contacting us directly or by our receipt of redemption requests submitted by shareholders following our mailing of proxy materials in connection with our initial business combination. To the extent that our sponsor, officers, directors, advisors or any of their affiliates enter into a private purchase, they would identify and contact only potential selling shareholders who have expressed their election to redeem their shares for a pro rata share of the trust account or vote against our initial business combination. Such persons would select the shareholders from whom to acquire shares based on the number of shares available, the negotiated price per share and such other factors as any such person may deem relevant at the time of purchase. The price per share paid in any such transaction may be different than the amount per share a public shareholder would receive if it elected to redeem its shares in connection with our initial business combination. Our sponsor, officers, directors, advisors or any of their affiliates will purchase shares only if such purchases comply with Regulation M under the Exchange Act and the other federal securities laws.</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93</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Any purchases by our sponsor, officers, directors and/or any of their affiliates who are affiliated purchasers under Rule 10b-18 under the Exchange Act will be made only to the extent such purchases are able to be made in compliance with Rule 10b-18, which is a safe harbor from liability for manipulation under Section 9(a)(2) and Rule 10b-5 of the Exchange Act. Rule 10b-18 has certain technical requirements that must be complied with in order for the safe harbor to be available to the purchaser. Our sponsor, officers, directors and/or any of their affiliates will be restricted from making purchases of ordinary shares if such purchases would violate Section 9(a)(2) or Rule 10b-5 of the Exchange Act.</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Redemption rights for public shareholders upon completion of our initial business combination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We will provide our public shareholders with the opportunity to redeem all or a portion of their Class A ordinary shares upon the completion of our initial business combination at a per-share price, payable in cash, equal to the aggregate amount then on deposit in the trust account as of two business days prior to the consummation of the initial business combination, including interest (which interest shall be net of taxes payable), divided by the number of then issued and outstanding public shares, subject to the limitations described herein. At the completion of our initial business combination, we will be required to purchase any Class A ordinary shares properly delivered for redemption and not withdrawn. The amount in the trust account is initially anticipated to be $10.00 per public share. The per-share amount we will distribute to investors who properly redeem their shares will not be reduced by the deferred underwriting commissions we will pay to the underwriters. Our initial shareholders have entered into a letter agreement with us, pursuant to which they have agreed to waive their redemption rights with respect to their founder shares and any public shares held by them in connection with the completion of our initial business combination. Our directors and officers have also entered into the letter agreement, imposing similar obligations on them with respect to public shares acquired by them, if any. Permitted transferees of our initial shareholders, officers or directors will be subject to the same obligations. </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Manner of Conducting Redemptions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will provide our public shareholders with the opportunity to redeem all or a portion of their public shares upon the completion of our initial business combination either (1) in connection with a shareholder meeting called to approve the business combination or (2) by means of a tender offer. The decision as to whether we will seek shareholder approval of a proposed business combination or conduct a tender offer will be made by us, solely in our discretion, and will be based on a variety of factors such as the timing of the transaction and whether the terms of the transaction would require us to seek shareholder approval under applicable law or stock exchange listing requirement. Asset acquisitions and share purchases would not typically require shareholder approval while direct mergers with our company where we do not survive, amalgamations pursuant to a scheme of arrangement and any transactions where we issue more than 20% of our issued and outstanding ordinary shares or seek to amend our amended and restated memorandum and articles of association would typically require shareholder approval. We intend to conduct redemptions without a shareholder vote pursuant to the tender offer rules of the SEC unless shareholder approval is required by applicable law or stock exchange listing requirement or we choose to seek shareholder approval for business or other reasons.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If a shareholder vote is not required and we do not decide to hold a shareholder vote for business or other reasons, we will, pursuant to our amended and restated memorandum and articles of association:</w:t>
      </w:r>
    </w:p>
    <w:tbl>
      <w:tblPr>
        <w:tblW w:w="5000" w:type="pct"/>
        <w:jc w:val="left"/>
        <w:tblInd w:w="0" w:type="dxa"/>
        <w:tblCellMar>
          <w:top w:w="0" w:type="dxa"/>
          <w:left w:w="0" w:type="dxa"/>
          <w:bottom w:w="0" w:type="dxa"/>
          <w:right w:w="0" w:type="dxa"/>
        </w:tblCellMar>
      </w:tblPr>
      <w:tblGrid>
        <w:gridCol w:w="417"/>
        <w:gridCol w:w="403"/>
        <w:gridCol w:w="9385"/>
      </w:tblGrid>
      <w:tr>
        <w:trPr/>
        <w:tc>
          <w:tcPr>
            <w:tcW w:w="417"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jc w:val="left"/>
              <w:rPr>
                <w:color w:val="000000"/>
              </w:rPr>
            </w:pPr>
            <w:r>
              <w:rPr>
                <w:color w:val="000000"/>
              </w:rPr>
              <w:t>•</w:t>
            </w:r>
          </w:p>
        </w:tc>
        <w:tc>
          <w:tcPr>
            <w:tcW w:w="9385"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conduct the redemptions pursuant to Rule 13e-4 and Regulation 14E of the Exchange Act, which regulate issuer tender offers; and</w:t>
            </w:r>
          </w:p>
        </w:tc>
      </w:tr>
    </w:tbl>
    <w:tbl>
      <w:tblPr>
        <w:tblW w:w="5000" w:type="pct"/>
        <w:jc w:val="left"/>
        <w:tblInd w:w="0" w:type="dxa"/>
        <w:tblCellMar>
          <w:top w:w="0" w:type="dxa"/>
          <w:left w:w="0" w:type="dxa"/>
          <w:bottom w:w="0" w:type="dxa"/>
          <w:right w:w="0" w:type="dxa"/>
        </w:tblCellMar>
      </w:tblPr>
      <w:tblGrid>
        <w:gridCol w:w="185"/>
        <w:gridCol w:w="223"/>
        <w:gridCol w:w="9797"/>
      </w:tblGrid>
      <w:tr>
        <w:trPr/>
        <w:tc>
          <w:tcPr>
            <w:tcW w:w="185"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jc w:val="left"/>
              <w:rPr>
                <w:color w:val="000000"/>
              </w:rPr>
            </w:pPr>
            <w:r>
              <w:rPr>
                <w:color w:val="000000"/>
              </w:rPr>
              <w:t>•</w:t>
            </w:r>
          </w:p>
        </w:tc>
        <w:tc>
          <w:tcPr>
            <w:tcW w:w="9797"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tc>
      </w:tr>
    </w:tbl>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Upon the public announcement of our initial business combination, if we elect to conduct redemptions pursuant to the tender offer rules, we and our sponsor will terminate any plan established in accordance with Rule 10b5-1 to purchase our Class A ordinary shares in the open market, in order to comply with Rule 14e-5 under the Exchange Act.</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In the event we conduct redemptions pursuant to the tender offer rules, our offer to redeem will remain open for at least 20 business days, in accordance with Rule 14e-1(a) under the Exchange Act, and we will not be </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94</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permitted to complete our initial business combination until the expiration of the tender offer period. In addition, the tender offer will be conditioned on public shareholders not tendering more than a specified number of public shares, which number will be based on the requirement that we may not redeem public shares in an amount that would cause our net tangible assets, after payment of the deferred underwriting commission, to be less than $5,000,001 upon completion of our initial business combination (so that we do not then become subject to the SECs penny stock rules), or any greater net tangible asset or cash requirement that may be contained in the agreement relating to our initial business combination. If public shareholders tender more shares than we have offered to purchase, we will withdraw the tender offer and not complete such initial business combination.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If, however, shareholder approval of the transaction is required by applicable law or stock exchange listing requirement, or we decide to obtain shareholder approval for business or other reasons, we will, pursuant to our amended and restated memorandum and articles of association:</w:t>
      </w:r>
    </w:p>
    <w:tbl>
      <w:tblPr>
        <w:tblW w:w="5000" w:type="pct"/>
        <w:jc w:val="left"/>
        <w:tblInd w:w="0" w:type="dxa"/>
        <w:tblCellMar>
          <w:top w:w="0" w:type="dxa"/>
          <w:left w:w="0" w:type="dxa"/>
          <w:bottom w:w="0" w:type="dxa"/>
          <w:right w:w="0" w:type="dxa"/>
        </w:tblCellMar>
      </w:tblPr>
      <w:tblGrid>
        <w:gridCol w:w="277"/>
        <w:gridCol w:w="293"/>
        <w:gridCol w:w="9635"/>
      </w:tblGrid>
      <w:tr>
        <w:trPr/>
        <w:tc>
          <w:tcPr>
            <w:tcW w:w="277"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jc w:val="left"/>
              <w:rPr>
                <w:color w:val="000000"/>
              </w:rPr>
            </w:pPr>
            <w:r>
              <w:rPr>
                <w:color w:val="000000"/>
              </w:rPr>
              <w:t>•</w:t>
            </w:r>
          </w:p>
        </w:tc>
        <w:tc>
          <w:tcPr>
            <w:tcW w:w="9635"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conduct the redemptions in conjunction with a proxy solicitation pursuant to Regulation 14A of the Exchange Act, which regulates the solicitation of proxies, and not pursuant to the tender offer rules; and</w:t>
            </w:r>
          </w:p>
        </w:tc>
      </w:tr>
    </w:tbl>
    <w:tbl>
      <w:tblPr>
        <w:tblW w:w="5000" w:type="pct"/>
        <w:jc w:val="left"/>
        <w:tblInd w:w="0" w:type="dxa"/>
        <w:tblCellMar>
          <w:top w:w="0" w:type="dxa"/>
          <w:left w:w="0" w:type="dxa"/>
          <w:bottom w:w="0" w:type="dxa"/>
          <w:right w:w="0" w:type="dxa"/>
        </w:tblCellMar>
      </w:tblPr>
      <w:tblGrid>
        <w:gridCol w:w="1303"/>
        <w:gridCol w:w="1256"/>
        <w:gridCol w:w="7646"/>
      </w:tblGrid>
      <w:tr>
        <w:trPr/>
        <w:tc>
          <w:tcPr>
            <w:tcW w:w="1303" w:type="dxa"/>
            <w:tcBorders/>
            <w:shd w:fill="auto" w:val="clear"/>
            <w:vAlign w:val="center"/>
          </w:tcPr>
          <w:p>
            <w:pPr>
              <w:pStyle w:val="TableContents"/>
              <w:spacing w:before="0" w:after="283"/>
              <w:rPr>
                <w:sz w:val="4"/>
                <w:szCs w:val="4"/>
              </w:rPr>
            </w:pPr>
            <w:r>
              <w:rPr>
                <w:sz w:val="4"/>
                <w:szCs w:val="4"/>
              </w:rPr>
            </w:r>
          </w:p>
        </w:tc>
        <w:tc>
          <w:tcPr>
            <w:tcW w:w="1256" w:type="dxa"/>
            <w:tcBorders/>
            <w:shd w:fill="auto" w:val="clear"/>
            <w:vAlign w:val="center"/>
          </w:tcPr>
          <w:p>
            <w:pPr>
              <w:pStyle w:val="TableContents"/>
              <w:spacing w:before="0" w:after="283"/>
              <w:jc w:val="left"/>
              <w:rPr>
                <w:color w:val="000000"/>
              </w:rPr>
            </w:pPr>
            <w:r>
              <w:rPr>
                <w:color w:val="000000"/>
              </w:rPr>
              <w:t>•</w:t>
            </w:r>
          </w:p>
        </w:tc>
        <w:tc>
          <w:tcPr>
            <w:tcW w:w="7646"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file proxy materials with the SEC.</w:t>
            </w:r>
          </w:p>
        </w:tc>
      </w:tr>
    </w:tbl>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expect that a final proxy statement would be mailed to public shareholders at least 10 days prior to the shareholder vote. However, we expect that a draft proxy statement would be made available to such shareholders well in advance of such time, providing additional notice of redemption if we conduct redemptions in conjunction with a proxy solicitation. Although we are not required to do so, we currently intend to comply with the substantive and procedural requirements of Regulation 14A in connection with any shareholder vote even if we are not able to maintain our Nasdaq listing or Exchange Act registration.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In the event that we seek shareholder approval of our initial business combination, we will distribute proxy materials and, in connection therewith, provide our public shareholders with the redemption rights described above upon completion of the initial business combination.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If we seek shareholder approval, we will complete our initial business combination only if we receive an ordinary resolution under Cayman Islands law, which requires the affirmative vote of a majority of the shareholders who attend and vote at a general meeting of the company. In such case, pursuant to the terms of a letter agreement entered into with us, our initial shareholders have agreed (and their permitted transferees will agree) to vote their founder shares and any public shares held by them in favor of our initial business combination. Our directors and officers also have agreed to vote in favor of our initial business combination with respect to public shares acquired by them, if any. We expect that at the time of any shareholder vote relating to our initial business combination, our initial shareholders and their permitted transferees will own at least 20% of our issued and outstanding ordinary shares entitled to vote thereon. Each public shareholder may elect to redeem their public shares without voting and, if they do vote, irrespective of whether they vote for or against the proposed business combination. In addition, our initial shareholders have entered into a letter agreement with us, pursuant to which they have agreed to waive their redemption rights with respect to their founder shares and any public shares held by them in connection with the completion of a business combination. Our directors and officers have also entered into the letter agreement, imposing similar obligations on them with respect to public shares acquired by them, if any.</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Our amended and restated memorandum and articles of association will provide that in no event will we redeem our public shares in an amount that would cause our net tangible assets, after payment of the deferred underwriting commissions, to be less than $5,000,001 upon completion of our initial business combination (so that we do not then become subject to the SECs penny stock rules). Redemptions of our public shares may also be subject to a higher net tangible asset test or cash requirement pursuant to an agreement relating to our initial business combination. For example, the proposed business combination may require: (1) cash consideration to be paid to the target or its owners; (2) cash to be transferred to the target for working capital or other general corporate purposes; or (3) the retention of cash to satisfy other conditions in accordance with the terms of the proposed business combination. In the event the aggregate cash consideration we would be required to pay for all public shares that are validly submitted for redemption plus any amount required to satisfy cash conditions pursuant to the terms of the proposed business combination exceed the aggregate amount of cash available to us, we will not complete such business combination or redeem any shares in connection therewith, and all public shares submitted for redemption will be returned to the holders thereof.</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95</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10" w:before="12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Limitation on redemption upon completion of our initial business combination if we seek shareholder approval</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Notwithstanding the foregoing redemption rights, 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redeeming its shares with respect to Excess Shares without our prior consent. We believe this restriction will discourage shareholders from accumulating large blocks of shares, and subsequent attempts by such holders to use their ability to exercise their redemption rights against a proposed business combination as a means to force us or our sponsor or its affiliates to purchase their shares at a significant premium to the then-current market price or on other undesirable terms. Absent this provision, a public shareholder holding more than an aggregate of 15% of the shares sold in this offering could threaten to exercise its redemption rights if such holders shares are not purchased by us or our sponsor or its affiliates at a premium to the then-current market price or on other undesirable terms. By limiting our shareholders ability to redeem to no more than 15% of the shares sold in this offering, we believe we will limit the ability of a small group of shareholders to unreasonably attempt to block our ability to complete our initial business combination, particularly in connection with a business combination with a target that requires as a closing condition that we have a minimum net worth or a certain amount of cash. However, we would not be restricting our shareholders ability to vote all of their shares (including Excess Shares) for or against our initial business combination.</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Tendering share certificates in connection with a tender offer or redemption rights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may require our public shareholders seeking to exercise their redemption rights, whether they are record holders or hold their shares in street name, to either tender their certificates to our transfer agent prior to the date set forth in the tender offer documents or proxy materials mailed to such holders, or up to two business days prior to the vote on the proposal to approve our initial business combination in the event we distribute proxy materials, or to deliver their shares to the transfer agent electronically using The Depository Trust Companys DWAC (Deposit/Withdrawal At Custodian) System at the holders option, rather than simply voting against the initial business combination. The tender offer or proxy materials, as applicable, that we will furnish to holders of our public shares in connection with our initial business combination will indicate whether we are requiring public shareholders to satisfy such delivery requirements. Accordingly, a public shareholder would have from the time we send out our tender offer materials until the close of the tender offer period, or up to two days prior to the vote on the business combination if we distribute proxy materials, as applicable, to tender its shares if it wishes to seek to exercise its redemption rights. Pursuant to the tender offer rules, the tender offer period will be not less than 20 business days and, in the case of a shareholder vote, a final proxy statement would be mailed to public shareholders at least 10 days prior to the shareholder vote. However, we expect that a draft proxy statement would be made available to such shareholders well in advance of such time, providing additional notice of redemption if we conduct redemptions in conjunction with a proxy solicitation. Given the relatively short exercise period, it is advisable for shareholders to use electronic delivery of their public shares.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There is a nominal cost associated with the above-referenced tendering process and the act of certificating the shares or delivering them through the DWAC System. The transfer agent will typically charge the tendering broker $80.00 and it would be up to the broker whether or not to pass this cost on to the redeeming holder. However, this fee would be incurred regardless of whether or not we require holders seeking to exercise redemption rights to tender their shares. The need to deliver shares is a requirement of exercising redemption rights regardless of the timing of when such delivery must be effectuated.</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The foregoing is different from the procedures used by many blank check companies. In order to perfect redemption rights in connection with their business combinations, many blank check companies would distribute proxy materials for the shareholders vote on an initial business combination, and a holder could simply vote against a proposed business combination and check a box on the proxy card indicating such holder was seeking to exercise his or her redemption rights. After the business combination was approved, the company would contact such shareholder to arrange for him or her to deliver his or her certificate to verify ownership. As a result, the shareholder then had an option window after the completion of our initial business combination during which he or she could monitor the price of the companys shares in the market. If the price rose above the redemption price, he or she could sell his or her shares in the open market before actually delivering his or </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96</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her shares to the company for cancellation. As a result, the redemption rights, to which shareholders were aware they needed to commit before the shareholder meeting, would become option rights surviving past the completion of our initial business combination until the redeeming holder delivered its certificate. The requirement for physical or electronic delivery prior to the meeting ensures that a redeeming holders election to redeem is irrevocable once the business combination is approved.</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Any request to redeem such shares, once made, may be withdrawn at any time up to the date set forth in the tender offer materials or the date of the shareholder meeting set forth in our proxy materials, as applicable. Furthermore, if a holder of a public share delivered its certificate in connection with an election of redemption rights and subsequently decides prior to the applicable date not to elect to exercise such rights, such holder may simply request that the transfer agent return the certificate (physically or electronically). It is anticipated that the funds to be distributed to holders of our public shares electing to redeem their shares will be distributed promptly after the completion of our initial business combination.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If our initial business combination is not approved or completed for any reason, then our public shareholders who elected to exercise their redemption rights would not be entitled to redeem their shares for the applicable pro rata share of the trust account. In such case, we will promptly return any certificates delivered by public holders who elected to redeem their shares.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If our initial proposed business combination is not completed, we may continue to try to complete a business combination with a different target until 18 months from the closing of this offering.</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Redemption of public shares and liquidation if no initial business combination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Our sponsor, officers and directors have agreed that we will have only 18 months from the closing of this offering to complete our initial business combination. If we are unable to complete our initial business combination within such 18-month period, we will: (1) cease all operations except for the purpose of winding up; (2) as promptly as reasonably possible but not more than 10 business days thereafter, redeem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 (3) as promptly as reasonably possible following such redemption, subject to the approval of our remaining shareholders and our board of directors, dissolve and liquidate, subject in each case to our obligations under Cayman Islands law to provide for claims of creditors and the requirements of other applicable law. There will be no redemption rights or liquidating distributions with respect to our warrants, which will expire worthless if we fail to complete our initial business combination within the 18-month time period.</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Our initial shareholders have entered into a letter agreement with us, pursuant to which they have waived their rights to liquidating distributions from the trust account with respect to their founder shares if we fail to complete our initial business combination within 18 months from the closing of this offering. However, if our initial shareholders acquire public shares, they will be entitled to liquidating distributions from the trust account with respect to such public shares if we fail to complete our initial business combination within the allotted 18-month time frame.</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Our sponsor, officers and directors have agreed, pursuant to a written agreement with us, that they will not propose any amendment to our amended and restated memorandum and articles of association (A) to modify the substance or timing of our obligation to redeem 100% of our public shares if we do not complete our initial business combination within 18 months from the closing of this offering or (B) with respect to any other provision relating to shareholders rights or pre-initial business combination activity, unless we provide our public shareholders with the opportunity to redeem their public shares upon approval of any such amendment at a per-share price, payable in cash, equal to the aggregate amount then on deposit in the trust account, including interest (which interest shall be net of taxes payable), divided by the number of then issued and outstanding public shares. However, we may not redeem our public shares in an amount that would cause our net tangible assets, after payment of the deferred underwriting commissions, to be less than $5,000,001 upon completion of our initial business combination (so that we do not then become subject to the SECs penny stock rules).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We expect that all costs and expenses associated with implementing our plan of dissolution, as well as payments to any creditors, will be funded from amounts remaining out of the $1,000,000 of proceeds held outside the trust </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97</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account, although we cannot assure you that there will be sufficient funds for such purpose. However, if those funds are not sufficient to cover the costs and expenses associated with implementing our plan of dissolution, to the extent that there is any interest accrued in the trust account not required to pay taxes, we may request the trustee to release to us an additional amount of up to $100,000 of such accrued interest to pay those costs and expenses.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If we were to expend all of the net proceeds of this offering and the sale of the private placement warrants, other than the proceeds deposited in the trust account, and without taking into account interest, if any, earned on the trust account, the per-share redemption amount received by shareholders upon our dissolution would be approximately $10.00. The proceeds deposited in the trust account could, however, become subject to the claims of our creditors which would have higher priority than the claims of our public shareholders. We cannot assure you that the actual per-share redemption amount received by shareholders will not be substantially less than $10.00. While we intend to pay such amounts, if any, we cannot assure you that we will have funds sufficient to pay or provide for all creditors claims.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Although we will seek to have all vendors, service providers (other than our independent auditors), prospective target businesses or other entities with which we do business execute agreements with us waiving any right, title, interest or claim of any kind in or to any monies held in the trust account for the benefit of our public shareholders,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enter into an agreement with a third party that has not executed a waiver only if management believes that such third partys engagement would be significantly more beneficial to us than any alternative. Examples of possible instances where we may engage a third party that refuses to execute a waiver include the engagement of a third-party consultant whose particular expertise or skills are believed by management to be significantly superior to those of other consultants that would agree to execute a waiver or in cases where we are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our initial business combination within the prescribed time frame, or upon the exercise of a redemption right in connection with our initial business combination, we will be required to provide for payment of claims of creditors that were not waived that may be brought against us within the 10 years following redemption. Our sponsor has agreed that it will be liable to us if and to the extent any claims by a third party (other than our independent auditors) for services rendered or products sold to us, or a prospective target business with which we have discussed entering into a transaction agreement, reduce the amount of funds in the trust account to below (1) $10.00 per public share or (2) such lesser amount per public share held in the trust account as of the date of the liquidation of the trust account, due to reductions in the value of the trust assets, in each case net of the amount of interest which may be withdrawn to pay taxes, except as to any claims by a third party who executed a waiver of any and all rights to seek access to the trust account and except as to any claims under our indemnity of the underwriters of this offering against certain liabilities, including liabilities under the Securities Act. In the event that an executed waiver is deemed to be unenforceable against a third party, then our sponsor will not be responsible to the extent of any liability for such third-party claims. We have not independently verified whether our sponsor has sufficient funds to satisfy its indemnity obligations and believe that our sponsors only assets are securities of our company and, therefore, our sponsor may not be able to satisfy those obligations. We have not asked our sponsor to reserve for such obligations. None of our other officers will indemnify us for claims by third parties including, without limitation, claims by vendors and prospective target businesses. </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In the event that the proceeds in the trust account are reduced below (1) $10.00 per public share or (2) such lesser amount per public share held in the trust account as of the date of the liquidation of the trust account, due to reductions in the value of the trust assets, in each case net of the amount of interest which may be withdrawn to pay taxes,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98</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our independent directors would take legal action on our behalf against our sponsor to enforce its indemnification obligations to us, it is possible that our independent directors in exercising their business judgment may choose not to do so in any particular instance. Accordingly, we cannot assure you that due to claims of creditors the actual value of the per-share redemption price will not be substantially less than $10.00 per share.</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We will seek to reduce the possibility that our sponsor will have to indemnify the trust account due to claims of creditors by endeavoring to have all vendors, service providers (other than our independent auditors), prospective target businesses or other entities with which we do business execute agreements with us waiving any right, title, interest or claim of any kind in or to monies held in the trust account. Our sponsor will also not be liable as to any claims under our indemnity of the underwriters of this offering against certain liabilities, including liabilities under the Securities Act. We will have access to up to $1,000,000 from the proceeds of this offering and the sale of the private placement warrants, with which to pay any such potential claims (including costs and expenses incurred in connection with our liquidation, currently estimated to be no more than approximately $100,000). In the event that we liquidate and it is subsequently determined that the reserve for claims and liabilities is insufficient, shareholders who received funds from our trust account could be liable for claims made by creditors. In the event that our offering expenses exceed our estimate of $1,000,000, we may fund such excess with funds from the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 </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If we file a winding-up or bankruptcy petition or an involuntary winding-up or bankruptcy petition is filed against us that is not dismissed, the proceeds held in the trust account could be subject to applicable insolvency law, and may be included in our insolvency estate and subject to the claims of third parties with priority over the claims of our shareholders. To the extent any insolvency claims deplete the trust account, we cannot assure you we will be able to return $10.00 per share to our public shareholders. Additionally, if we file a winding-up or bankruptcy petition or an involuntary winding-up or bankruptcy petition is filed against us that is not dismissed, any distributions received by shareholders could be viewed under applicable debtor/creditor and/or insolvency laws as a voidable performance. As a result, a bankruptcy court could seek to recover some or all amounts received by our shareholders. Furthermore, our board may be viewed as having breached its fiduciary duty to our creditors and/or may have acted in bad faith, and thereby exposing itself and our company to claims of punitive damages, by paying public shareholders from the trust account prior to addressing the claims of creditors. We cannot assure you that claims will not be brought against us for these reasons.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Our public shareholders will be entitled to receive funds from the trust account only upon the earliest to occur of: (1) the completion of our initial business combination, and then only in connection with those Class A ordinary shares that such shareholder properly elected to redeem, subject to the limitations described herein, (2) the redemption of any public shares properly submitted in connection with a shareholder vote to amend our amended and restated memorandum and articles of association (A) to modify the substance or timing of our obligation to redeem 100% of our public shares if we do not complete our initial business combination within 18 months from the closing of this offering or (B) with respect to any other provision relating to shareholders rights or pre-initial business combination activity and (3) the redemption of our public shares if we are unable to complete our initial business combination within 18 months from the closing of this offering, subject to applicable law and as further described herein. In no other circumstances will a shareholder have any right or interest of any kind to or in the trust account. In the event we seek shareholder approval in connection with our initial business combination, a shareholders voting in connection with our initial business combination alone will not result in a shareholders redeeming its shares to us for an applicable pro rata share of the trust account. Such shareholder must have also exercised its redemption rights described above.</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Amended and Restated Memorandum and Articles of Association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Our amended and restated memorandum and articles of association will contain certain requirements and restrictions relating to this offering that will apply to us until the completion of our initial business combination. Our amended and restated memorandum and articles of association contains a provision which provides that, if we seek to amend our amended and restated memorandum and articles of association (A) to modify the substance or timing of our obligation to redeem 100% of our public shares if we do not complete our initial business combination within 18 months from the closing of this offering or (B) with respect to any other provision relating to shareholders rights or pre-initial business combination activity, we will provide public </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99</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shareholders with the opportunity to redeem their public shares in connection with any such amendment. Specifically, our amended and restated memorandum and articles of association will provide, among other things, that:</w:t>
      </w:r>
    </w:p>
    <w:tbl>
      <w:tblPr>
        <w:tblW w:w="5000" w:type="pct"/>
        <w:jc w:val="left"/>
        <w:tblInd w:w="0" w:type="dxa"/>
        <w:tblCellMar>
          <w:top w:w="0" w:type="dxa"/>
          <w:left w:w="0" w:type="dxa"/>
          <w:bottom w:w="0" w:type="dxa"/>
          <w:right w:w="0" w:type="dxa"/>
        </w:tblCellMar>
      </w:tblPr>
      <w:tblGrid>
        <w:gridCol w:w="86"/>
        <w:gridCol w:w="147"/>
        <w:gridCol w:w="9972"/>
      </w:tblGrid>
      <w:tr>
        <w:trPr/>
        <w:tc>
          <w:tcPr>
            <w:tcW w:w="86"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jc w:val="left"/>
              <w:rPr>
                <w:color w:val="000000"/>
              </w:rPr>
            </w:pPr>
            <w:r>
              <w:rPr>
                <w:color w:val="000000"/>
              </w:rPr>
              <w:t>•</w:t>
            </w:r>
          </w:p>
        </w:tc>
        <w:tc>
          <w:tcPr>
            <w:tcW w:w="9972"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prior to the completion of our initial business combination, we shall either (1) seek shareholder approval of our initial business combination at a meeting called for such purpose at which public shareholders may elect to redeem their public shares without voting, and if they do vote, irrespective of whether they vote for or against the proposed business combination, or (2) provide our public shareholders with the opportunity to redeem all or a portion of their public shares upon the completion of our initial business combination by means of a tender offer (and thereby avoid the need for a shareholder vote), in each in cash, for an amount payable in cash equal to the aggregate amount then on deposit in the trust account as of two business days prior to the completion of our initial business combination, including interest (which interest shall be net of taxes payable), divided by the number of then issued and outstanding public shares, subject to the limitations described herein;</w:t>
            </w:r>
          </w:p>
        </w:tc>
      </w:tr>
    </w:tbl>
    <w:tbl>
      <w:tblPr>
        <w:tblW w:w="5000" w:type="pct"/>
        <w:jc w:val="left"/>
        <w:tblInd w:w="0" w:type="dxa"/>
        <w:tblCellMar>
          <w:top w:w="0" w:type="dxa"/>
          <w:left w:w="0" w:type="dxa"/>
          <w:bottom w:w="0" w:type="dxa"/>
          <w:right w:w="0" w:type="dxa"/>
        </w:tblCellMar>
      </w:tblPr>
      <w:tblGrid>
        <w:gridCol w:w="166"/>
        <w:gridCol w:w="208"/>
        <w:gridCol w:w="9831"/>
      </w:tblGrid>
      <w:tr>
        <w:trPr/>
        <w:tc>
          <w:tcPr>
            <w:tcW w:w="166"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jc w:val="left"/>
              <w:rPr>
                <w:color w:val="000000"/>
              </w:rPr>
            </w:pPr>
            <w:r>
              <w:rPr>
                <w:color w:val="000000"/>
              </w:rPr>
              <w:t>•</w:t>
            </w:r>
          </w:p>
        </w:tc>
        <w:tc>
          <w:tcPr>
            <w:tcW w:w="9831"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we will consummate our initial business combination only if we have net tangible assets, after payment of the deferred underwriting commissions, of at least $5,000,001 upon completion of our initial business combination and, solely if we seek shareholder approval, a majority of the issued and outstanding ordinary shares voted are voted in favor of the business combination;</w:t>
            </w:r>
          </w:p>
        </w:tc>
      </w:tr>
    </w:tbl>
    <w:tbl>
      <w:tblPr>
        <w:tblW w:w="5000" w:type="pct"/>
        <w:jc w:val="left"/>
        <w:tblInd w:w="0" w:type="dxa"/>
        <w:tblCellMar>
          <w:top w:w="0" w:type="dxa"/>
          <w:left w:w="0" w:type="dxa"/>
          <w:bottom w:w="0" w:type="dxa"/>
          <w:right w:w="0" w:type="dxa"/>
        </w:tblCellMar>
      </w:tblPr>
      <w:tblGrid>
        <w:gridCol w:w="284"/>
        <w:gridCol w:w="298"/>
        <w:gridCol w:w="9623"/>
      </w:tblGrid>
      <w:tr>
        <w:trPr/>
        <w:tc>
          <w:tcPr>
            <w:tcW w:w="284"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jc w:val="left"/>
              <w:rPr>
                <w:color w:val="000000"/>
              </w:rPr>
            </w:pPr>
            <w:r>
              <w:rPr>
                <w:color w:val="000000"/>
              </w:rPr>
              <w:t>•</w:t>
            </w:r>
          </w:p>
        </w:tc>
        <w:tc>
          <w:tcPr>
            <w:tcW w:w="9623"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if our initial business combination is not consummated within 18 months from the closing of this offering, then our existence will terminate and we will distribute all amounts in the trust account; and</w:t>
            </w:r>
          </w:p>
        </w:tc>
      </w:tr>
    </w:tbl>
    <w:tbl>
      <w:tblPr>
        <w:tblW w:w="5000" w:type="pct"/>
        <w:jc w:val="left"/>
        <w:tblInd w:w="0" w:type="dxa"/>
        <w:tblCellMar>
          <w:top w:w="0" w:type="dxa"/>
          <w:left w:w="0" w:type="dxa"/>
          <w:bottom w:w="0" w:type="dxa"/>
          <w:right w:w="0" w:type="dxa"/>
        </w:tblCellMar>
      </w:tblPr>
      <w:tblGrid>
        <w:gridCol w:w="132"/>
        <w:gridCol w:w="182"/>
        <w:gridCol w:w="9891"/>
      </w:tblGrid>
      <w:tr>
        <w:trPr/>
        <w:tc>
          <w:tcPr>
            <w:tcW w:w="13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jc w:val="left"/>
              <w:rPr>
                <w:color w:val="000000"/>
              </w:rPr>
            </w:pPr>
            <w:r>
              <w:rPr>
                <w:color w:val="000000"/>
              </w:rPr>
              <w:t>•</w:t>
            </w:r>
          </w:p>
        </w:tc>
        <w:tc>
          <w:tcPr>
            <w:tcW w:w="9891"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prior to our initial business combination, we may not issue additional shares that would entitle the holders thereof to (1) receive funds from the trust account or (2) vote as a class with our public shares (a) on any initial business combination or (b) to approve an amendment to our amended and restated memorandum and articles of association to (x) extend the time we have to consummate a business combination beyond 18 months from the closing of this offering or (y) amend the foregoing provisions.</w:t>
            </w:r>
          </w:p>
        </w:tc>
      </w:tr>
    </w:tbl>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These provisions cannot be amended without the approval of holders of at least two-thirds of our ordinary shares. In the event we seek shareholder approval in connection with our initial business combination, our amended and restated memorandum and articles of association will provide that we may consummate our initial business combination only if approved by a majority of the ordinary shares voted by our shareholders at a duly held shareholders meeting.</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Additionally, our amended and restated memorandum and articles of association provides that, prior to our initial business combination, only holders of our founder shares will have the right to vote on the election of directors and that holders of a majority of our founder shares may remove a member of the board of directors for any reason. These provisions of our amended and restated memorandum and articles of association may only be amended by a special resolution passed by at least 90% of our ordinary shares voting in a general meeting. With respect to any other matter submitted to a vote of our shareholders, including any vote in connection with our initial business combination, except as required by law, holders of our founder shares and holders of our public shares will vote together as a single class, with each share entitling the holder to one vote.</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100</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10"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Comparison of redemption or purchase prices in connection with our initial business combination and if we fail to complete our initial business combination.</w:t>
      </w:r>
    </w:p>
    <w:p>
      <w:pPr>
        <w:pStyle w:val="TextBody"/>
        <w:spacing w:lineRule="atLeast" w:line="225"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following table compares the redemptions and other permitted purchases of public shares that may take place in connection with the completion of our initial business combination and if we are unable to complete our initial business combination within 18 months from the closing of this offering.</w:t>
      </w:r>
    </w:p>
    <w:tbl>
      <w:tblPr>
        <w:tblW w:w="5000" w:type="pct"/>
        <w:jc w:val="center"/>
        <w:tblInd w:w="0" w:type="dxa"/>
        <w:tblCellMar>
          <w:top w:w="0" w:type="dxa"/>
          <w:left w:w="0" w:type="dxa"/>
          <w:bottom w:w="0" w:type="dxa"/>
          <w:right w:w="0" w:type="dxa"/>
        </w:tblCellMar>
      </w:tblPr>
      <w:tblGrid>
        <w:gridCol w:w="2346"/>
        <w:gridCol w:w="2654"/>
        <w:gridCol w:w="2653"/>
        <w:gridCol w:w="2552"/>
      </w:tblGrid>
      <w:tr>
        <w:trPr/>
        <w:tc>
          <w:tcPr>
            <w:tcW w:w="2346" w:type="dxa"/>
            <w:tcBorders/>
            <w:shd w:fill="auto" w:val="clear"/>
            <w:vAlign w:val="bottom"/>
          </w:tcPr>
          <w:p>
            <w:pPr>
              <w:pStyle w:val="TableContents"/>
              <w:spacing w:before="0" w:after="0"/>
              <w:ind w:left="0" w:right="0" w:firstLine="60"/>
              <w:jc w:val="left"/>
              <w:rPr>
                <w:color w:val="000000"/>
              </w:rPr>
            </w:pPr>
            <w:r>
              <w:rPr>
                <w:color w:val="000000"/>
              </w:rPr>
              <w:t> </w:t>
            </w:r>
          </w:p>
        </w:tc>
        <w:tc>
          <w:tcPr>
            <w:tcW w:w="2654" w:type="dxa"/>
            <w:tcBorders/>
            <w:shd w:fill="auto" w:val="clear"/>
            <w:vAlign w:val="bottom"/>
          </w:tcPr>
          <w:p>
            <w:pPr>
              <w:pStyle w:val="TableContents"/>
              <w:spacing w:before="0" w:after="0"/>
              <w:ind w:left="0" w:right="0" w:firstLine="6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Redemptions in Connection</w:t>
              <w:br/>
              <w:t>with our Initial Business</w:t>
              <w:br/>
              <w:t>Combination</w:t>
            </w:r>
          </w:p>
        </w:tc>
        <w:tc>
          <w:tcPr>
            <w:tcW w:w="2653" w:type="dxa"/>
            <w:tcBorders/>
            <w:shd w:fill="auto" w:val="clear"/>
            <w:vAlign w:val="bottom"/>
          </w:tcPr>
          <w:p>
            <w:pPr>
              <w:pStyle w:val="TableContents"/>
              <w:spacing w:before="0" w:after="0"/>
              <w:ind w:left="0" w:right="0" w:firstLine="6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Other Permitted Purchases of</w:t>
              <w:br/>
              <w:t>Public Shares by our Affiliates</w:t>
            </w:r>
          </w:p>
        </w:tc>
        <w:tc>
          <w:tcPr>
            <w:tcW w:w="2552" w:type="dxa"/>
            <w:tcBorders/>
            <w:shd w:fill="auto" w:val="clear"/>
            <w:tcMar>
              <w:top w:w="28" w:type="dxa"/>
              <w:left w:w="28" w:type="dxa"/>
              <w:bottom w:w="28" w:type="dxa"/>
              <w:right w:w="28" w:type="dxa"/>
            </w:tcMar>
            <w:vAlign w:val="bottom"/>
          </w:tcPr>
          <w:p>
            <w:pPr>
              <w:pStyle w:val="TableContents"/>
              <w:spacing w:before="0" w:after="0"/>
              <w:ind w:left="0" w:right="0" w:hanging="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Redemptions if we fail to</w:t>
              <w:br/>
              <w:t>Complete an Initial Business</w:t>
              <w:br/>
              <w:t>Combination</w:t>
            </w:r>
          </w:p>
        </w:tc>
      </w:tr>
      <w:tr>
        <w:trPr/>
        <w:tc>
          <w:tcPr>
            <w:tcW w:w="2346" w:type="dxa"/>
            <w:tcBorders/>
            <w:shd w:fill="auto" w:val="clear"/>
          </w:tcPr>
          <w:p>
            <w:pPr>
              <w:pStyle w:val="TableContents"/>
              <w:spacing w:before="0" w:after="0"/>
              <w:ind w:left="0" w:right="0" w:firstLine="60"/>
              <w:jc w:val="left"/>
              <w:rPr>
                <w:rFonts w:ascii="Times New Roman;Times;Serif" w:hAnsi="Times New Roman;Times;Serif"/>
                <w:b/>
                <w:color w:val="000000"/>
                <w:sz w:val="17"/>
              </w:rPr>
            </w:pPr>
            <w:r>
              <w:rPr>
                <w:rFonts w:ascii="Times New Roman;Times;Serif" w:hAnsi="Times New Roman;Times;Serif"/>
                <w:b/>
                <w:color w:val="000000"/>
                <w:sz w:val="17"/>
              </w:rPr>
              <w:t>Calculation of redemption price</w:t>
            </w:r>
          </w:p>
        </w:tc>
        <w:tc>
          <w:tcPr>
            <w:tcW w:w="2654" w:type="dxa"/>
            <w:tcBorders/>
            <w:shd w:fill="auto" w:val="clear"/>
          </w:tcPr>
          <w:p>
            <w:pPr>
              <w:pStyle w:val="TableContents"/>
              <w:spacing w:before="0" w:after="0"/>
              <w:ind w:left="0" w:right="0" w:firstLine="60"/>
              <w:jc w:val="left"/>
              <w:rPr>
                <w:rFonts w:ascii="Times New Roman;Times;Serif" w:hAnsi="Times New Roman;Times;Serif"/>
                <w:color w:val="000000"/>
                <w:sz w:val="17"/>
              </w:rPr>
            </w:pPr>
            <w:r>
              <w:rPr>
                <w:rFonts w:ascii="Times New Roman;Times;Serif" w:hAnsi="Times New Roman;Times;Serif"/>
                <w:color w:val="000000"/>
                <w:sz w:val="17"/>
              </w:rPr>
              <w:t>Redemptions at the time of our initial business combination may be made pursuant to a tender offer or in connection with a shareholder vote. The redemption price will be the same whether we conduct redemptions pursuant to a tender offer or in connection with a shareholder vote. In either case, our public shareholders may redeem their public shares for cash equal to the aggregate amount then on deposit in the trust account as of two business days prior to the consummation of the initial business combination (which is initially anticipated to be $10.00 per share), including interest (which interest shall be net of taxes payable), divided by the number of then issued and outstanding public shares, subject to the limitation that no redemptions will take place if all of the redemptions would cause our net tangible assets, after payment of the deferred underwriting commissions, to be less than $5,000,001 upon completion of our initial business combination and any limitations (including, but not limited to, cash requirements) agreed to in connection with the negotiation of terms of a proposed business combination.</w:t>
            </w:r>
          </w:p>
        </w:tc>
        <w:tc>
          <w:tcPr>
            <w:tcW w:w="2653" w:type="dxa"/>
            <w:tcBorders/>
            <w:shd w:fill="auto" w:val="clear"/>
          </w:tcPr>
          <w:p>
            <w:pPr>
              <w:pStyle w:val="TableContents"/>
              <w:spacing w:before="0" w:after="0"/>
              <w:ind w:left="0" w:right="0" w:firstLine="60"/>
              <w:jc w:val="left"/>
              <w:rPr>
                <w:rFonts w:ascii="Times New Roman;Times;Serif" w:hAnsi="Times New Roman;Times;Serif"/>
                <w:color w:val="000000"/>
                <w:sz w:val="17"/>
              </w:rPr>
            </w:pPr>
            <w:r>
              <w:rPr>
                <w:rFonts w:ascii="Times New Roman;Times;Serif" w:hAnsi="Times New Roman;Times;Serif"/>
                <w:color w:val="000000"/>
                <w:sz w:val="17"/>
              </w:rPr>
              <w:t>If we seek shareholder approval of our initial business combination, our sponsor, directors, officers, advisors or any of their affiliates may purchase shares in privately negotiated transactions or in the open market either prior to or following the completion of our initial business combination. Such purchases will be prohibited except to the extent they are able to be made in compliance with Rule 10b-18, which is a safe harbor from liability for manipulation under Section 9(a)(2) and Rule 10b-5 of the Exchange Act. None of the funds in the trust account will be used to purchase shares in such transactions.</w:t>
            </w:r>
          </w:p>
        </w:tc>
        <w:tc>
          <w:tcPr>
            <w:tcW w:w="2552" w:type="dxa"/>
            <w:tcBorders/>
            <w:shd w:fill="auto" w:val="clear"/>
          </w:tcPr>
          <w:p>
            <w:pPr>
              <w:pStyle w:val="TableContents"/>
              <w:spacing w:before="0" w:after="0"/>
              <w:ind w:left="0" w:right="0" w:firstLine="60"/>
              <w:jc w:val="left"/>
              <w:rPr>
                <w:rFonts w:ascii="Times New Roman;Times;Serif" w:hAnsi="Times New Roman;Times;Serif"/>
                <w:color w:val="000000"/>
                <w:sz w:val="17"/>
              </w:rPr>
            </w:pPr>
            <w:r>
              <w:rPr>
                <w:rFonts w:ascii="Times New Roman;Times;Serif" w:hAnsi="Times New Roman;Times;Serif"/>
                <w:color w:val="000000"/>
                <w:sz w:val="17"/>
              </w:rPr>
              <w:t>If we are unable to complete our initial business combination within 18 months from the closing of this offering, we will redeem all public shares at a per-share price, payable in cash, equal to the aggregate amount then on deposit in the trust account (which is initially anticipated to be $10.00 per share), including interest (less up to $100,000 of interest to pay dissolution expenses and which interest shall be net of taxes payable), divided by the number of then issued and outstanding public shares.</w:t>
            </w:r>
          </w:p>
        </w:tc>
      </w:tr>
    </w:tbl>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101</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tbl>
      <w:tblPr>
        <w:tblW w:w="5000" w:type="pct"/>
        <w:jc w:val="center"/>
        <w:tblInd w:w="0" w:type="dxa"/>
        <w:tblCellMar>
          <w:top w:w="0" w:type="dxa"/>
          <w:left w:w="0" w:type="dxa"/>
          <w:bottom w:w="0" w:type="dxa"/>
          <w:right w:w="0" w:type="dxa"/>
        </w:tblCellMar>
      </w:tblPr>
      <w:tblGrid>
        <w:gridCol w:w="2346"/>
        <w:gridCol w:w="2653"/>
        <w:gridCol w:w="2653"/>
        <w:gridCol w:w="2553"/>
      </w:tblGrid>
      <w:tr>
        <w:trPr/>
        <w:tc>
          <w:tcPr>
            <w:tcW w:w="2346" w:type="dxa"/>
            <w:tcBorders/>
            <w:shd w:fill="auto" w:val="clear"/>
            <w:vAlign w:val="bottom"/>
          </w:tcPr>
          <w:p>
            <w:pPr>
              <w:pStyle w:val="TableContents"/>
              <w:spacing w:before="0" w:after="0"/>
              <w:ind w:left="0" w:right="0" w:firstLine="60"/>
              <w:jc w:val="left"/>
              <w:rPr>
                <w:color w:val="000000"/>
              </w:rPr>
            </w:pPr>
            <w:r>
              <w:rPr>
                <w:color w:val="000000"/>
              </w:rPr>
              <w:t> </w:t>
            </w:r>
          </w:p>
        </w:tc>
        <w:tc>
          <w:tcPr>
            <w:tcW w:w="2653" w:type="dxa"/>
            <w:tcBorders/>
            <w:shd w:fill="auto" w:val="clear"/>
            <w:vAlign w:val="bottom"/>
          </w:tcPr>
          <w:p>
            <w:pPr>
              <w:pStyle w:val="TableContents"/>
              <w:spacing w:before="0" w:after="0"/>
              <w:ind w:left="0" w:right="0" w:firstLine="6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Redemptions in Connection</w:t>
              <w:br/>
              <w:t>with our Initial Business</w:t>
              <w:br/>
              <w:t>Combination</w:t>
            </w:r>
          </w:p>
        </w:tc>
        <w:tc>
          <w:tcPr>
            <w:tcW w:w="2653" w:type="dxa"/>
            <w:tcBorders/>
            <w:shd w:fill="auto" w:val="clear"/>
            <w:vAlign w:val="bottom"/>
          </w:tcPr>
          <w:p>
            <w:pPr>
              <w:pStyle w:val="TableContents"/>
              <w:spacing w:before="0" w:after="0"/>
              <w:ind w:left="0" w:right="0" w:firstLine="6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Other Permitted Purchases of</w:t>
              <w:br/>
              <w:t>Public Shares by our Affiliates</w:t>
            </w:r>
          </w:p>
        </w:tc>
        <w:tc>
          <w:tcPr>
            <w:tcW w:w="2553" w:type="dxa"/>
            <w:tcBorders/>
            <w:shd w:fill="auto" w:val="clear"/>
            <w:tcMar>
              <w:top w:w="28" w:type="dxa"/>
              <w:left w:w="28" w:type="dxa"/>
              <w:bottom w:w="28" w:type="dxa"/>
              <w:right w:w="28" w:type="dxa"/>
            </w:tcMar>
            <w:vAlign w:val="bottom"/>
          </w:tcPr>
          <w:p>
            <w:pPr>
              <w:pStyle w:val="TableContents"/>
              <w:spacing w:before="0" w:after="0"/>
              <w:ind w:left="0" w:right="0" w:hanging="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Redemptions if we fail to</w:t>
              <w:br/>
              <w:t>Complete an Initial Business</w:t>
              <w:br/>
              <w:t>Combination</w:t>
            </w:r>
          </w:p>
        </w:tc>
      </w:tr>
      <w:tr>
        <w:trPr/>
        <w:tc>
          <w:tcPr>
            <w:tcW w:w="2346" w:type="dxa"/>
            <w:tcBorders/>
            <w:shd w:fill="auto" w:val="clear"/>
          </w:tcPr>
          <w:p>
            <w:pPr>
              <w:pStyle w:val="TableContents"/>
              <w:spacing w:before="0" w:after="0"/>
              <w:ind w:left="0" w:right="0" w:firstLine="60"/>
              <w:jc w:val="left"/>
              <w:rPr>
                <w:rFonts w:ascii="Times New Roman;Times;Serif" w:hAnsi="Times New Roman;Times;Serif"/>
                <w:b/>
                <w:color w:val="000000"/>
                <w:sz w:val="17"/>
              </w:rPr>
            </w:pPr>
            <w:r>
              <w:rPr>
                <w:rFonts w:ascii="Times New Roman;Times;Serif" w:hAnsi="Times New Roman;Times;Serif"/>
                <w:b/>
                <w:color w:val="000000"/>
                <w:sz w:val="17"/>
              </w:rPr>
              <w:t>Impact to remaining shareholders</w:t>
            </w:r>
          </w:p>
        </w:tc>
        <w:tc>
          <w:tcPr>
            <w:tcW w:w="2653" w:type="dxa"/>
            <w:tcBorders/>
            <w:shd w:fill="auto" w:val="clear"/>
          </w:tcPr>
          <w:p>
            <w:pPr>
              <w:pStyle w:val="TableContents"/>
              <w:spacing w:before="0" w:after="0"/>
              <w:ind w:left="0" w:right="0" w:firstLine="60"/>
              <w:jc w:val="left"/>
              <w:rPr>
                <w:rFonts w:ascii="Times New Roman;Times;Serif" w:hAnsi="Times New Roman;Times;Serif"/>
                <w:color w:val="000000"/>
                <w:sz w:val="17"/>
              </w:rPr>
            </w:pPr>
            <w:r>
              <w:rPr>
                <w:rFonts w:ascii="Times New Roman;Times;Serif" w:hAnsi="Times New Roman;Times;Serif"/>
                <w:color w:val="000000"/>
                <w:sz w:val="17"/>
              </w:rPr>
              <w:t>The redemptions in connection with our initial business combination will reduce the book value per share for our remaining shareholders, who will bear the burden of the deferred underwriting commissions and interest withdrawn in order to pay taxes (to the extent not paid from amounts accrued as interest on the funds held in the trust account).</w:t>
            </w:r>
          </w:p>
        </w:tc>
        <w:tc>
          <w:tcPr>
            <w:tcW w:w="2653" w:type="dxa"/>
            <w:tcBorders/>
            <w:shd w:fill="auto" w:val="clear"/>
          </w:tcPr>
          <w:p>
            <w:pPr>
              <w:pStyle w:val="TableContents"/>
              <w:spacing w:before="0" w:after="0"/>
              <w:ind w:left="0" w:right="0" w:firstLine="60"/>
              <w:jc w:val="left"/>
              <w:rPr>
                <w:rFonts w:ascii="Times New Roman;Times;Serif" w:hAnsi="Times New Roman;Times;Serif"/>
                <w:color w:val="000000"/>
                <w:sz w:val="17"/>
              </w:rPr>
            </w:pPr>
            <w:r>
              <w:rPr>
                <w:rFonts w:ascii="Times New Roman;Times;Serif" w:hAnsi="Times New Roman;Times;Serif"/>
                <w:color w:val="000000"/>
                <w:sz w:val="17"/>
              </w:rPr>
              <w:t>If the permitted purchases described above are made, there will be no impact to our remaining shareholders because the purchase price would not be paid by us.</w:t>
            </w:r>
          </w:p>
        </w:tc>
        <w:tc>
          <w:tcPr>
            <w:tcW w:w="2553" w:type="dxa"/>
            <w:tcBorders/>
            <w:shd w:fill="auto" w:val="clear"/>
          </w:tcPr>
          <w:p>
            <w:pPr>
              <w:pStyle w:val="TableContents"/>
              <w:spacing w:before="0" w:after="0"/>
              <w:ind w:left="0" w:right="0" w:firstLine="60"/>
              <w:jc w:val="left"/>
              <w:rPr>
                <w:rFonts w:ascii="Times New Roman;Times;Serif" w:hAnsi="Times New Roman;Times;Serif"/>
                <w:color w:val="000000"/>
                <w:sz w:val="17"/>
              </w:rPr>
            </w:pPr>
            <w:r>
              <w:rPr>
                <w:rFonts w:ascii="Times New Roman;Times;Serif" w:hAnsi="Times New Roman;Times;Serif"/>
                <w:color w:val="000000"/>
                <w:sz w:val="17"/>
              </w:rPr>
              <w:t>The redemption of our public shares if we fail to complete our initial business combination will reduce the book value per share for the shares held by our initial shareholders, who will be our only remaining shareholders after such redemptions.</w:t>
            </w:r>
          </w:p>
        </w:tc>
      </w:tr>
    </w:tbl>
    <w:p>
      <w:pPr>
        <w:pStyle w:val="TextBody"/>
        <w:spacing w:before="12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Comparison of This Offering to Those of Blank Check Companies Subject to Rule 419</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The following table compares the terms of this offering to the terms of an offering by a blank check company subject to the provisions of Rule 419. This comparison assumes that the gross proceeds, underwriting commissions and underwriting expenses of our offering would be identical to those of an offering undertaken by a company subject to Rule 419, and that the underwriters will not exercise their over-allotment option. None of the provisions of Rule 419 apply to our offering. </w:t>
      </w:r>
    </w:p>
    <w:tbl>
      <w:tblPr>
        <w:tblW w:w="5000" w:type="pct"/>
        <w:jc w:val="center"/>
        <w:tblInd w:w="0" w:type="dxa"/>
        <w:tblCellMar>
          <w:top w:w="0" w:type="dxa"/>
          <w:left w:w="0" w:type="dxa"/>
          <w:bottom w:w="0" w:type="dxa"/>
          <w:right w:w="0" w:type="dxa"/>
        </w:tblCellMar>
      </w:tblPr>
      <w:tblGrid>
        <w:gridCol w:w="3265"/>
        <w:gridCol w:w="3470"/>
        <w:gridCol w:w="3470"/>
      </w:tblGrid>
      <w:tr>
        <w:trPr/>
        <w:tc>
          <w:tcPr>
            <w:tcW w:w="3265" w:type="dxa"/>
            <w:tcBorders/>
            <w:shd w:fill="auto" w:val="clear"/>
            <w:vAlign w:val="bottom"/>
          </w:tcPr>
          <w:p>
            <w:pPr>
              <w:pStyle w:val="TableContents"/>
              <w:spacing w:before="0" w:after="0"/>
              <w:ind w:left="0" w:right="0" w:firstLine="60"/>
              <w:jc w:val="left"/>
              <w:rPr>
                <w:color w:val="000000"/>
              </w:rPr>
            </w:pPr>
            <w:r>
              <w:rPr>
                <w:color w:val="000000"/>
              </w:rPr>
              <w:t> </w:t>
            </w:r>
          </w:p>
        </w:tc>
        <w:tc>
          <w:tcPr>
            <w:tcW w:w="3470" w:type="dxa"/>
            <w:tcBorders/>
            <w:shd w:fill="auto" w:val="clear"/>
            <w:vAlign w:val="bottom"/>
          </w:tcPr>
          <w:p>
            <w:pPr>
              <w:pStyle w:val="TableContents"/>
              <w:spacing w:before="0" w:after="0"/>
              <w:ind w:left="0" w:right="0" w:firstLine="6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Terms of Our Offering</w:t>
            </w:r>
          </w:p>
        </w:tc>
        <w:tc>
          <w:tcPr>
            <w:tcW w:w="3470" w:type="dxa"/>
            <w:tcBorders/>
            <w:shd w:fill="auto" w:val="clear"/>
            <w:tcMar>
              <w:top w:w="28" w:type="dxa"/>
              <w:left w:w="28" w:type="dxa"/>
              <w:bottom w:w="28" w:type="dxa"/>
              <w:right w:w="28" w:type="dxa"/>
            </w:tcMar>
            <w:vAlign w:val="bottom"/>
          </w:tcPr>
          <w:p>
            <w:pPr>
              <w:pStyle w:val="TableContents"/>
              <w:spacing w:before="0" w:after="0"/>
              <w:ind w:left="0" w:right="0" w:hanging="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Terms Under a Rule 419 Offering</w:t>
            </w:r>
          </w:p>
        </w:tc>
      </w:tr>
      <w:tr>
        <w:trPr/>
        <w:tc>
          <w:tcPr>
            <w:tcW w:w="3265" w:type="dxa"/>
            <w:tcBorders/>
            <w:shd w:fill="auto" w:val="clear"/>
          </w:tcPr>
          <w:p>
            <w:pPr>
              <w:pStyle w:val="TableContents"/>
              <w:spacing w:before="0" w:after="0"/>
              <w:ind w:left="0" w:right="0" w:firstLine="60"/>
              <w:jc w:val="left"/>
              <w:rPr>
                <w:rFonts w:ascii="Times New Roman;Times;Serif" w:hAnsi="Times New Roman;Times;Serif"/>
                <w:b/>
                <w:color w:val="000000"/>
                <w:sz w:val="17"/>
              </w:rPr>
            </w:pPr>
            <w:r>
              <w:rPr>
                <w:rFonts w:ascii="Times New Roman;Times;Serif" w:hAnsi="Times New Roman;Times;Serif"/>
                <w:b/>
                <w:color w:val="000000"/>
                <w:sz w:val="17"/>
              </w:rPr>
              <w:t>Escrow of offering proceeds</w:t>
            </w:r>
          </w:p>
        </w:tc>
        <w:tc>
          <w:tcPr>
            <w:tcW w:w="3470" w:type="dxa"/>
            <w:tcBorders/>
            <w:shd w:fill="auto" w:val="clear"/>
          </w:tcPr>
          <w:p>
            <w:pPr>
              <w:pStyle w:val="TableContents"/>
              <w:spacing w:before="0" w:after="0"/>
              <w:ind w:left="0" w:right="0" w:firstLine="60"/>
              <w:jc w:val="left"/>
              <w:rPr>
                <w:rFonts w:ascii="Times New Roman;Times;Serif" w:hAnsi="Times New Roman;Times;Serif"/>
                <w:color w:val="000000"/>
                <w:sz w:val="17"/>
              </w:rPr>
            </w:pPr>
            <w:r>
              <w:rPr>
                <w:rFonts w:ascii="Times New Roman;Times;Serif" w:hAnsi="Times New Roman;Times;Serif"/>
                <w:color w:val="000000"/>
                <w:sz w:val="17"/>
              </w:rPr>
              <w:t>$250,000,000 of the net proceeds of this offering and the sale of the private placement warrants will be deposited into a U.S.-based trust account at with Continental Stock Transfer &amp; Trust Company acting as trustee.</w:t>
            </w:r>
          </w:p>
        </w:tc>
        <w:tc>
          <w:tcPr>
            <w:tcW w:w="3470" w:type="dxa"/>
            <w:tcBorders/>
            <w:shd w:fill="auto" w:val="clear"/>
          </w:tcPr>
          <w:p>
            <w:pPr>
              <w:pStyle w:val="TableContents"/>
              <w:spacing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Approximately $212,625,000 of the offering proceeds, representing the gross proceeds of this offering less allowable underwriting commissions, expenses and company deductions under Rule 419, would be required to be deposited into either an escrow account with an insured depositary institution or in a separate bank account established by a broker-dealer in which the broker-dealer acts as trustee for persons having the beneficial interests in the account.</w:t>
            </w:r>
          </w:p>
        </w:tc>
      </w:tr>
      <w:tr>
        <w:trPr/>
        <w:tc>
          <w:tcPr>
            <w:tcW w:w="3265" w:type="dxa"/>
            <w:tcBorders/>
            <w:shd w:fill="auto" w:val="clear"/>
          </w:tcPr>
          <w:p>
            <w:pPr>
              <w:pStyle w:val="TableContents"/>
              <w:spacing w:before="0" w:after="0"/>
              <w:ind w:left="0" w:right="0" w:firstLine="60"/>
              <w:jc w:val="left"/>
              <w:rPr>
                <w:color w:val="000000"/>
              </w:rPr>
            </w:pPr>
            <w:r>
              <w:rPr>
                <w:color w:val="000000"/>
              </w:rPr>
              <w:t> </w:t>
            </w:r>
          </w:p>
        </w:tc>
        <w:tc>
          <w:tcPr>
            <w:tcW w:w="3470" w:type="dxa"/>
            <w:tcBorders/>
            <w:shd w:fill="auto" w:val="clear"/>
          </w:tcPr>
          <w:p>
            <w:pPr>
              <w:pStyle w:val="TableContents"/>
              <w:spacing w:before="0" w:after="0"/>
              <w:ind w:left="0" w:right="0" w:firstLine="60"/>
              <w:jc w:val="left"/>
              <w:rPr>
                <w:color w:val="000000"/>
              </w:rPr>
            </w:pPr>
            <w:r>
              <w:rPr>
                <w:color w:val="000000"/>
              </w:rPr>
              <w:t> </w:t>
            </w:r>
          </w:p>
        </w:tc>
        <w:tc>
          <w:tcPr>
            <w:tcW w:w="3470" w:type="dxa"/>
            <w:tcBorders/>
            <w:shd w:fill="auto" w:val="clear"/>
          </w:tcPr>
          <w:p>
            <w:pPr>
              <w:pStyle w:val="TableContents"/>
              <w:spacing w:before="0" w:after="0"/>
              <w:ind w:left="0" w:right="0" w:hanging="0"/>
              <w:jc w:val="left"/>
              <w:rPr>
                <w:color w:val="000000"/>
              </w:rPr>
            </w:pPr>
            <w:r>
              <w:rPr>
                <w:color w:val="000000"/>
              </w:rPr>
              <w:t> </w:t>
            </w:r>
          </w:p>
        </w:tc>
      </w:tr>
      <w:tr>
        <w:trPr/>
        <w:tc>
          <w:tcPr>
            <w:tcW w:w="3265" w:type="dxa"/>
            <w:tcBorders/>
            <w:shd w:fill="auto" w:val="clear"/>
          </w:tcPr>
          <w:p>
            <w:pPr>
              <w:pStyle w:val="TableContents"/>
              <w:spacing w:before="0" w:after="0"/>
              <w:ind w:left="0" w:right="0" w:firstLine="60"/>
              <w:jc w:val="left"/>
              <w:rPr>
                <w:rFonts w:ascii="Times New Roman;Times;Serif" w:hAnsi="Times New Roman;Times;Serif"/>
                <w:b/>
                <w:color w:val="000000"/>
                <w:sz w:val="17"/>
              </w:rPr>
            </w:pPr>
            <w:r>
              <w:rPr>
                <w:rFonts w:ascii="Times New Roman;Times;Serif" w:hAnsi="Times New Roman;Times;Serif"/>
                <w:b/>
                <w:color w:val="000000"/>
                <w:sz w:val="17"/>
              </w:rPr>
              <w:t>Investment of net proceeds</w:t>
            </w:r>
          </w:p>
        </w:tc>
        <w:tc>
          <w:tcPr>
            <w:tcW w:w="3470" w:type="dxa"/>
            <w:tcBorders/>
            <w:shd w:fill="auto" w:val="clear"/>
          </w:tcPr>
          <w:p>
            <w:pPr>
              <w:pStyle w:val="TableContents"/>
              <w:spacing w:before="0" w:after="0"/>
              <w:ind w:left="0" w:right="0" w:firstLine="60"/>
              <w:jc w:val="left"/>
              <w:rPr>
                <w:rFonts w:ascii="Times New Roman;Times;Serif" w:hAnsi="Times New Roman;Times;Serif"/>
                <w:color w:val="000000"/>
                <w:sz w:val="17"/>
              </w:rPr>
            </w:pPr>
            <w:r>
              <w:rPr>
                <w:rFonts w:ascii="Times New Roman;Times;Serif" w:hAnsi="Times New Roman;Times;Serif"/>
                <w:color w:val="000000"/>
                <w:sz w:val="17"/>
              </w:rPr>
              <w:t>$250,000,000 of the net offering proceeds and the sale of the private placement warrants held in trust will be invested only in U.S. government treasury bills with a maturity of 180 days or less or in money market funds investing solely in U.S. Treasuries and meeting certain conditions under Rule 2a-7 under the Investment Company Act.</w:t>
            </w:r>
          </w:p>
        </w:tc>
        <w:tc>
          <w:tcPr>
            <w:tcW w:w="3470" w:type="dxa"/>
            <w:tcBorders/>
            <w:shd w:fill="auto" w:val="clear"/>
          </w:tcPr>
          <w:p>
            <w:pPr>
              <w:pStyle w:val="TableContents"/>
              <w:spacing w:before="0" w:after="0"/>
              <w:ind w:left="0" w:right="0" w:firstLine="60"/>
              <w:jc w:val="left"/>
              <w:rPr>
                <w:rFonts w:ascii="Times New Roman;Times;Serif" w:hAnsi="Times New Roman;Times;Serif"/>
                <w:color w:val="000000"/>
                <w:sz w:val="17"/>
              </w:rPr>
            </w:pPr>
            <w:r>
              <w:rPr>
                <w:rFonts w:ascii="Times New Roman;Times;Serif" w:hAnsi="Times New Roman;Times;Serif"/>
                <w:color w:val="000000"/>
                <w:sz w:val="17"/>
              </w:rPr>
              <w:t>Proceeds could be invested only in specified securities such as a money market fund meeting conditions of the Investment Company Act or in securities that are direct obligations of, or obligations guaranteed as to principal or interest by, the United States.</w:t>
            </w:r>
          </w:p>
        </w:tc>
      </w:tr>
    </w:tbl>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102</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tbl>
      <w:tblPr>
        <w:tblW w:w="5000" w:type="pct"/>
        <w:jc w:val="center"/>
        <w:tblInd w:w="0" w:type="dxa"/>
        <w:tblCellMar>
          <w:top w:w="0" w:type="dxa"/>
          <w:left w:w="0" w:type="dxa"/>
          <w:bottom w:w="0" w:type="dxa"/>
          <w:right w:w="0" w:type="dxa"/>
        </w:tblCellMar>
      </w:tblPr>
      <w:tblGrid>
        <w:gridCol w:w="3265"/>
        <w:gridCol w:w="3470"/>
        <w:gridCol w:w="3470"/>
      </w:tblGrid>
      <w:tr>
        <w:trPr/>
        <w:tc>
          <w:tcPr>
            <w:tcW w:w="3265" w:type="dxa"/>
            <w:tcBorders/>
            <w:shd w:fill="auto" w:val="clear"/>
            <w:vAlign w:val="bottom"/>
          </w:tcPr>
          <w:p>
            <w:pPr>
              <w:pStyle w:val="TableContents"/>
              <w:spacing w:before="0" w:after="0"/>
              <w:ind w:left="0" w:right="0" w:firstLine="60"/>
              <w:jc w:val="left"/>
              <w:rPr>
                <w:color w:val="000000"/>
              </w:rPr>
            </w:pPr>
            <w:r>
              <w:rPr>
                <w:color w:val="000000"/>
              </w:rPr>
              <w:t> </w:t>
            </w:r>
          </w:p>
        </w:tc>
        <w:tc>
          <w:tcPr>
            <w:tcW w:w="3470" w:type="dxa"/>
            <w:tcBorders/>
            <w:shd w:fill="auto" w:val="clear"/>
            <w:vAlign w:val="bottom"/>
          </w:tcPr>
          <w:p>
            <w:pPr>
              <w:pStyle w:val="TableContents"/>
              <w:spacing w:before="0" w:after="0"/>
              <w:ind w:left="0" w:right="0" w:firstLine="6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Terms of Our Offering</w:t>
            </w:r>
          </w:p>
        </w:tc>
        <w:tc>
          <w:tcPr>
            <w:tcW w:w="3470" w:type="dxa"/>
            <w:tcBorders/>
            <w:shd w:fill="auto" w:val="clear"/>
            <w:tcMar>
              <w:top w:w="28" w:type="dxa"/>
              <w:left w:w="28" w:type="dxa"/>
              <w:bottom w:w="28" w:type="dxa"/>
              <w:right w:w="28" w:type="dxa"/>
            </w:tcMar>
            <w:vAlign w:val="bottom"/>
          </w:tcPr>
          <w:p>
            <w:pPr>
              <w:pStyle w:val="TableContents"/>
              <w:spacing w:before="0" w:after="0"/>
              <w:ind w:left="0" w:right="0" w:hanging="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Terms Under a Rule 419 Offering</w:t>
            </w:r>
          </w:p>
        </w:tc>
      </w:tr>
      <w:tr>
        <w:trPr/>
        <w:tc>
          <w:tcPr>
            <w:tcW w:w="3265" w:type="dxa"/>
            <w:tcBorders/>
            <w:shd w:fill="auto" w:val="clear"/>
          </w:tcPr>
          <w:p>
            <w:pPr>
              <w:pStyle w:val="TableContents"/>
              <w:spacing w:before="0" w:after="0"/>
              <w:ind w:left="0" w:right="0" w:firstLine="60"/>
              <w:jc w:val="left"/>
              <w:rPr>
                <w:rFonts w:ascii="Times New Roman;Times;Serif" w:hAnsi="Times New Roman;Times;Serif"/>
                <w:b/>
                <w:color w:val="000000"/>
                <w:sz w:val="17"/>
              </w:rPr>
            </w:pPr>
            <w:r>
              <w:rPr>
                <w:rFonts w:ascii="Times New Roman;Times;Serif" w:hAnsi="Times New Roman;Times;Serif"/>
                <w:b/>
                <w:color w:val="000000"/>
                <w:sz w:val="17"/>
              </w:rPr>
              <w:t>Receipt of interest on escrowed funds</w:t>
            </w:r>
          </w:p>
        </w:tc>
        <w:tc>
          <w:tcPr>
            <w:tcW w:w="3470" w:type="dxa"/>
            <w:tcBorders/>
            <w:shd w:fill="auto" w:val="clear"/>
          </w:tcPr>
          <w:p>
            <w:pPr>
              <w:pStyle w:val="TableContents"/>
              <w:spacing w:before="0" w:after="0"/>
              <w:ind w:left="0" w:right="0" w:firstLine="60"/>
              <w:jc w:val="left"/>
              <w:rPr>
                <w:rFonts w:ascii="Times New Roman;Times;Serif" w:hAnsi="Times New Roman;Times;Serif"/>
                <w:color w:val="000000"/>
                <w:sz w:val="17"/>
              </w:rPr>
            </w:pPr>
            <w:r>
              <w:rPr>
                <w:rFonts w:ascii="Times New Roman;Times;Serif" w:hAnsi="Times New Roman;Times;Serif"/>
                <w:color w:val="000000"/>
                <w:sz w:val="17"/>
              </w:rPr>
              <w:t>Interest on proceeds from the trust account to be paid to shareholders is reduced by (1) any taxes paid or payable and (2) in the event of our liquidation for failure to complete our initial business combination within the allotted time, up to $100,000 of net interest that may be released to us should we have no or insufficient working capital to fund the costs and expenses of our dissolution and liquidation.</w:t>
            </w:r>
          </w:p>
        </w:tc>
        <w:tc>
          <w:tcPr>
            <w:tcW w:w="3470" w:type="dxa"/>
            <w:tcBorders/>
            <w:shd w:fill="auto" w:val="clear"/>
          </w:tcPr>
          <w:p>
            <w:pPr>
              <w:pStyle w:val="TableContents"/>
              <w:spacing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Interest on funds in escrow account would be held for the sole benefit of investors, unless and only after the funds held in escrow were released to us in connection with our completion of a business combination.</w:t>
            </w:r>
          </w:p>
        </w:tc>
      </w:tr>
      <w:tr>
        <w:trPr/>
        <w:tc>
          <w:tcPr>
            <w:tcW w:w="3265" w:type="dxa"/>
            <w:tcBorders/>
            <w:shd w:fill="auto" w:val="clear"/>
          </w:tcPr>
          <w:p>
            <w:pPr>
              <w:pStyle w:val="TableContents"/>
              <w:spacing w:before="0" w:after="0"/>
              <w:ind w:left="0" w:right="0" w:firstLine="60"/>
              <w:jc w:val="left"/>
              <w:rPr>
                <w:color w:val="000000"/>
              </w:rPr>
            </w:pPr>
            <w:r>
              <w:rPr>
                <w:color w:val="000000"/>
              </w:rPr>
              <w:t> </w:t>
            </w:r>
          </w:p>
        </w:tc>
        <w:tc>
          <w:tcPr>
            <w:tcW w:w="3470" w:type="dxa"/>
            <w:tcBorders/>
            <w:shd w:fill="auto" w:val="clear"/>
          </w:tcPr>
          <w:p>
            <w:pPr>
              <w:pStyle w:val="TableContents"/>
              <w:spacing w:before="0" w:after="0"/>
              <w:ind w:left="0" w:right="0" w:firstLine="60"/>
              <w:jc w:val="left"/>
              <w:rPr>
                <w:color w:val="000000"/>
              </w:rPr>
            </w:pPr>
            <w:r>
              <w:rPr>
                <w:color w:val="000000"/>
              </w:rPr>
              <w:t> </w:t>
            </w:r>
          </w:p>
        </w:tc>
        <w:tc>
          <w:tcPr>
            <w:tcW w:w="3470" w:type="dxa"/>
            <w:tcBorders/>
            <w:shd w:fill="auto" w:val="clear"/>
          </w:tcPr>
          <w:p>
            <w:pPr>
              <w:pStyle w:val="TableContents"/>
              <w:spacing w:before="0" w:after="0"/>
              <w:ind w:left="0" w:right="0" w:hanging="0"/>
              <w:jc w:val="left"/>
              <w:rPr>
                <w:color w:val="000000"/>
              </w:rPr>
            </w:pPr>
            <w:r>
              <w:rPr>
                <w:color w:val="000000"/>
              </w:rPr>
              <w:t> </w:t>
            </w:r>
          </w:p>
        </w:tc>
      </w:tr>
      <w:tr>
        <w:trPr/>
        <w:tc>
          <w:tcPr>
            <w:tcW w:w="3265" w:type="dxa"/>
            <w:tcBorders/>
            <w:shd w:fill="auto" w:val="clear"/>
          </w:tcPr>
          <w:p>
            <w:pPr>
              <w:pStyle w:val="TableContents"/>
              <w:spacing w:before="0" w:after="0"/>
              <w:ind w:left="0" w:right="0" w:firstLine="60"/>
              <w:jc w:val="left"/>
              <w:rPr>
                <w:rFonts w:ascii="Times New Roman;Times;Serif" w:hAnsi="Times New Roman;Times;Serif"/>
                <w:b/>
                <w:color w:val="000000"/>
                <w:sz w:val="17"/>
              </w:rPr>
            </w:pPr>
            <w:r>
              <w:rPr>
                <w:rFonts w:ascii="Times New Roman;Times;Serif" w:hAnsi="Times New Roman;Times;Serif"/>
                <w:b/>
                <w:color w:val="000000"/>
                <w:sz w:val="17"/>
              </w:rPr>
              <w:t>Limitation on fair value or net assets of target business</w:t>
            </w:r>
          </w:p>
        </w:tc>
        <w:tc>
          <w:tcPr>
            <w:tcW w:w="3470" w:type="dxa"/>
            <w:tcBorders/>
            <w:shd w:fill="auto" w:val="clear"/>
          </w:tcPr>
          <w:p>
            <w:pPr>
              <w:pStyle w:val="TableContents"/>
              <w:spacing w:before="0" w:after="0"/>
              <w:ind w:left="0" w:right="0" w:firstLine="60"/>
              <w:jc w:val="left"/>
              <w:rPr>
                <w:rFonts w:ascii="Times New Roman;Times;Serif" w:hAnsi="Times New Roman;Times;Serif"/>
                <w:color w:val="000000"/>
                <w:sz w:val="17"/>
              </w:rPr>
            </w:pPr>
            <w:r>
              <w:rPr>
                <w:rFonts w:ascii="Times New Roman;Times;Serif" w:hAnsi="Times New Roman;Times;Serif"/>
                <w:color w:val="000000"/>
                <w:sz w:val="17"/>
              </w:rPr>
              <w:t xml:space="preserve">Our initial business combination must occur with one or more target businesses that together have an aggregate fair market value of at least 80% of the assets held in the trust account (excluding the deferred underwriting commissions and taxes payable on the income earned on the trust account) at the time of the agreement to enter into the initial business combination. Notwithstanding the foregoing, if we are not then listed on Nasdaq for whatever reason, we would no longer be required to meet the foregoing 80% fair market value test. </w:t>
            </w:r>
          </w:p>
        </w:tc>
        <w:tc>
          <w:tcPr>
            <w:tcW w:w="3470" w:type="dxa"/>
            <w:tcBorders/>
            <w:shd w:fill="auto" w:val="clear"/>
          </w:tcPr>
          <w:p>
            <w:pPr>
              <w:pStyle w:val="TableContents"/>
              <w:spacing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fair value or net assets of a target business must represent at least 80% of the maximum offering proceeds.</w:t>
            </w:r>
          </w:p>
        </w:tc>
      </w:tr>
      <w:tr>
        <w:trPr/>
        <w:tc>
          <w:tcPr>
            <w:tcW w:w="3265" w:type="dxa"/>
            <w:tcBorders/>
            <w:shd w:fill="auto" w:val="clear"/>
          </w:tcPr>
          <w:p>
            <w:pPr>
              <w:pStyle w:val="TableContents"/>
              <w:spacing w:before="0" w:after="0"/>
              <w:ind w:left="0" w:right="0" w:firstLine="60"/>
              <w:jc w:val="left"/>
              <w:rPr>
                <w:color w:val="000000"/>
              </w:rPr>
            </w:pPr>
            <w:r>
              <w:rPr>
                <w:color w:val="000000"/>
              </w:rPr>
              <w:t> </w:t>
            </w:r>
          </w:p>
        </w:tc>
        <w:tc>
          <w:tcPr>
            <w:tcW w:w="3470" w:type="dxa"/>
            <w:tcBorders/>
            <w:shd w:fill="auto" w:val="clear"/>
          </w:tcPr>
          <w:p>
            <w:pPr>
              <w:pStyle w:val="TableContents"/>
              <w:spacing w:before="0" w:after="0"/>
              <w:ind w:left="0" w:right="0" w:firstLine="60"/>
              <w:jc w:val="left"/>
              <w:rPr>
                <w:color w:val="000000"/>
              </w:rPr>
            </w:pPr>
            <w:r>
              <w:rPr>
                <w:color w:val="000000"/>
              </w:rPr>
              <w:t> </w:t>
            </w:r>
          </w:p>
        </w:tc>
        <w:tc>
          <w:tcPr>
            <w:tcW w:w="3470" w:type="dxa"/>
            <w:tcBorders/>
            <w:shd w:fill="auto" w:val="clear"/>
          </w:tcPr>
          <w:p>
            <w:pPr>
              <w:pStyle w:val="TableContents"/>
              <w:spacing w:before="0" w:after="0"/>
              <w:ind w:left="0" w:right="0" w:hanging="0"/>
              <w:jc w:val="left"/>
              <w:rPr>
                <w:color w:val="000000"/>
              </w:rPr>
            </w:pPr>
            <w:r>
              <w:rPr>
                <w:color w:val="000000"/>
              </w:rPr>
              <w:t> </w:t>
            </w:r>
          </w:p>
        </w:tc>
      </w:tr>
      <w:tr>
        <w:trPr/>
        <w:tc>
          <w:tcPr>
            <w:tcW w:w="3265" w:type="dxa"/>
            <w:tcBorders/>
            <w:shd w:fill="auto" w:val="clear"/>
          </w:tcPr>
          <w:p>
            <w:pPr>
              <w:pStyle w:val="TableContents"/>
              <w:spacing w:before="0" w:after="0"/>
              <w:ind w:left="0" w:right="0" w:firstLine="60"/>
              <w:jc w:val="left"/>
              <w:rPr>
                <w:rFonts w:ascii="Times New Roman;Times;Serif" w:hAnsi="Times New Roman;Times;Serif"/>
                <w:b/>
                <w:color w:val="000000"/>
                <w:sz w:val="17"/>
              </w:rPr>
            </w:pPr>
            <w:r>
              <w:rPr>
                <w:rFonts w:ascii="Times New Roman;Times;Serif" w:hAnsi="Times New Roman;Times;Serif"/>
                <w:b/>
                <w:color w:val="000000"/>
                <w:sz w:val="17"/>
              </w:rPr>
              <w:t>Trading of securities issued</w:t>
            </w:r>
          </w:p>
        </w:tc>
        <w:tc>
          <w:tcPr>
            <w:tcW w:w="3470" w:type="dxa"/>
            <w:tcBorders/>
            <w:shd w:fill="auto" w:val="clear"/>
          </w:tcPr>
          <w:p>
            <w:pPr>
              <w:pStyle w:val="TableContents"/>
              <w:spacing w:before="0" w:after="0"/>
              <w:ind w:left="0" w:right="0" w:firstLine="60"/>
              <w:jc w:val="left"/>
              <w:rPr>
                <w:rFonts w:ascii="Times New Roman;Times;Serif" w:hAnsi="Times New Roman;Times;Serif"/>
                <w:color w:val="000000"/>
                <w:sz w:val="17"/>
              </w:rPr>
            </w:pPr>
            <w:r>
              <w:rPr>
                <w:rFonts w:ascii="Times New Roman;Times;Serif" w:hAnsi="Times New Roman;Times;Serif"/>
                <w:color w:val="000000"/>
                <w:sz w:val="17"/>
              </w:rPr>
              <w:t xml:space="preserve">The units will begin trading promptly after the date of this prospectus. The Class A ordinary shares and warrants constituting the units will begin separate trading on the 52nd day following the date of this prospectus unless Credit Suisse Securities (USA) LLC informs us of its decision to allow earlier separate trading, subject to our having filed the Current Report on Form 8-K described below and having issued a press release announcing when such separate trading will begin. We will file the Current Report on Form 8-K promptly after the closing of this offering. If the underwriters’ over-allotment option is exercised following the initial filing of such Current Report on Form 8-K, a second or amended Current Report on Form 8-K will be filed to </w:t>
            </w:r>
          </w:p>
        </w:tc>
        <w:tc>
          <w:tcPr>
            <w:tcW w:w="3470" w:type="dxa"/>
            <w:tcBorders/>
            <w:shd w:fill="auto" w:val="clear"/>
          </w:tcPr>
          <w:p>
            <w:pPr>
              <w:pStyle w:val="TableContents"/>
              <w:spacing w:before="0" w:after="0"/>
              <w:ind w:left="0" w:right="0" w:firstLine="60"/>
              <w:jc w:val="left"/>
              <w:rPr>
                <w:rFonts w:ascii="Times New Roman;Times;Serif" w:hAnsi="Times New Roman;Times;Serif"/>
                <w:color w:val="000000"/>
                <w:sz w:val="17"/>
              </w:rPr>
            </w:pPr>
            <w:r>
              <w:rPr>
                <w:rFonts w:ascii="Times New Roman;Times;Serif" w:hAnsi="Times New Roman;Times;Serif"/>
                <w:color w:val="000000"/>
                <w:sz w:val="17"/>
              </w:rPr>
              <w:t>No trading of the units or the underlying Class A ordinary shares and warrants would be permitted until the completion of a business combination. During this period, the securities would be held in the escrow or trust account.</w:t>
            </w:r>
          </w:p>
        </w:tc>
      </w:tr>
    </w:tbl>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103</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tbl>
      <w:tblPr>
        <w:tblW w:w="5000" w:type="pct"/>
        <w:jc w:val="center"/>
        <w:tblInd w:w="0" w:type="dxa"/>
        <w:tblCellMar>
          <w:top w:w="0" w:type="dxa"/>
          <w:left w:w="0" w:type="dxa"/>
          <w:bottom w:w="0" w:type="dxa"/>
          <w:right w:w="0" w:type="dxa"/>
        </w:tblCellMar>
      </w:tblPr>
      <w:tblGrid>
        <w:gridCol w:w="3266"/>
        <w:gridCol w:w="3469"/>
        <w:gridCol w:w="3470"/>
      </w:tblGrid>
      <w:tr>
        <w:trPr/>
        <w:tc>
          <w:tcPr>
            <w:tcW w:w="3266" w:type="dxa"/>
            <w:tcBorders/>
            <w:shd w:fill="auto" w:val="clear"/>
            <w:vAlign w:val="bottom"/>
          </w:tcPr>
          <w:p>
            <w:pPr>
              <w:pStyle w:val="TableContents"/>
              <w:spacing w:before="0" w:after="0"/>
              <w:ind w:left="0" w:right="0" w:firstLine="60"/>
              <w:jc w:val="left"/>
              <w:rPr>
                <w:color w:val="000000"/>
              </w:rPr>
            </w:pPr>
            <w:r>
              <w:rPr>
                <w:color w:val="000000"/>
              </w:rPr>
              <w:t> </w:t>
            </w:r>
          </w:p>
        </w:tc>
        <w:tc>
          <w:tcPr>
            <w:tcW w:w="3469" w:type="dxa"/>
            <w:tcBorders/>
            <w:shd w:fill="auto" w:val="clear"/>
            <w:vAlign w:val="bottom"/>
          </w:tcPr>
          <w:p>
            <w:pPr>
              <w:pStyle w:val="TableContents"/>
              <w:spacing w:before="0" w:after="0"/>
              <w:ind w:left="0" w:right="0" w:firstLine="6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Terms of Our Offering</w:t>
            </w:r>
          </w:p>
        </w:tc>
        <w:tc>
          <w:tcPr>
            <w:tcW w:w="3470" w:type="dxa"/>
            <w:tcBorders/>
            <w:shd w:fill="auto" w:val="clear"/>
            <w:tcMar>
              <w:top w:w="28" w:type="dxa"/>
              <w:left w:w="28" w:type="dxa"/>
              <w:bottom w:w="28" w:type="dxa"/>
              <w:right w:w="28" w:type="dxa"/>
            </w:tcMar>
            <w:vAlign w:val="bottom"/>
          </w:tcPr>
          <w:p>
            <w:pPr>
              <w:pStyle w:val="TableContents"/>
              <w:spacing w:before="0" w:after="0"/>
              <w:ind w:left="0" w:right="0" w:hanging="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Terms Under a Rule 419 Offering</w:t>
            </w:r>
          </w:p>
        </w:tc>
      </w:tr>
      <w:tr>
        <w:trPr/>
        <w:tc>
          <w:tcPr>
            <w:tcW w:w="3266" w:type="dxa"/>
            <w:tcBorders/>
            <w:shd w:fill="auto" w:val="clear"/>
          </w:tcPr>
          <w:p>
            <w:pPr>
              <w:pStyle w:val="TableContents"/>
              <w:spacing w:before="0" w:after="0"/>
              <w:ind w:left="0" w:right="0" w:firstLine="60"/>
              <w:jc w:val="left"/>
              <w:rPr>
                <w:color w:val="000000"/>
              </w:rPr>
            </w:pPr>
            <w:r>
              <w:rPr>
                <w:color w:val="000000"/>
              </w:rPr>
              <w:t> </w:t>
            </w:r>
          </w:p>
        </w:tc>
        <w:tc>
          <w:tcPr>
            <w:tcW w:w="3469" w:type="dxa"/>
            <w:tcBorders/>
            <w:shd w:fill="auto" w:val="clear"/>
          </w:tcPr>
          <w:p>
            <w:pPr>
              <w:pStyle w:val="TableContents"/>
              <w:spacing w:before="0" w:after="0"/>
              <w:ind w:left="0" w:right="0" w:firstLine="60"/>
              <w:jc w:val="left"/>
              <w:rPr>
                <w:rFonts w:ascii="Times New Roman;Times;Serif" w:hAnsi="Times New Roman;Times;Serif"/>
                <w:color w:val="000000"/>
                <w:sz w:val="17"/>
              </w:rPr>
            </w:pPr>
            <w:r>
              <w:rPr>
                <w:rFonts w:ascii="Times New Roman;Times;Serif" w:hAnsi="Times New Roman;Times;Serif"/>
                <w:color w:val="000000"/>
                <w:sz w:val="17"/>
              </w:rPr>
              <w:t xml:space="preserve">provide updated financial information to reflect the exercise of the underwriters over-allotment option. </w:t>
            </w:r>
          </w:p>
        </w:tc>
        <w:tc>
          <w:tcPr>
            <w:tcW w:w="3470" w:type="dxa"/>
            <w:tcBorders/>
            <w:shd w:fill="auto" w:val="clear"/>
          </w:tcPr>
          <w:p>
            <w:pPr>
              <w:pStyle w:val="TableContents"/>
              <w:spacing w:before="0" w:after="0"/>
              <w:ind w:left="0" w:right="0" w:hanging="0"/>
              <w:jc w:val="left"/>
              <w:rPr>
                <w:color w:val="000000"/>
              </w:rPr>
            </w:pPr>
            <w:r>
              <w:rPr>
                <w:color w:val="000000"/>
              </w:rPr>
              <w:t> </w:t>
            </w:r>
          </w:p>
        </w:tc>
      </w:tr>
      <w:tr>
        <w:trPr/>
        <w:tc>
          <w:tcPr>
            <w:tcW w:w="3266" w:type="dxa"/>
            <w:tcBorders/>
            <w:shd w:fill="auto" w:val="clear"/>
          </w:tcPr>
          <w:p>
            <w:pPr>
              <w:pStyle w:val="TableContents"/>
              <w:spacing w:before="0" w:after="0"/>
              <w:ind w:left="0" w:right="0" w:firstLine="60"/>
              <w:jc w:val="left"/>
              <w:rPr>
                <w:color w:val="000000"/>
              </w:rPr>
            </w:pPr>
            <w:r>
              <w:rPr>
                <w:color w:val="000000"/>
              </w:rPr>
              <w:t> </w:t>
            </w:r>
          </w:p>
        </w:tc>
        <w:tc>
          <w:tcPr>
            <w:tcW w:w="3469" w:type="dxa"/>
            <w:tcBorders/>
            <w:shd w:fill="auto" w:val="clear"/>
          </w:tcPr>
          <w:p>
            <w:pPr>
              <w:pStyle w:val="TableContents"/>
              <w:spacing w:before="0" w:after="0"/>
              <w:ind w:left="0" w:right="0" w:firstLine="60"/>
              <w:jc w:val="left"/>
              <w:rPr>
                <w:color w:val="000000"/>
              </w:rPr>
            </w:pPr>
            <w:r>
              <w:rPr>
                <w:color w:val="000000"/>
              </w:rPr>
              <w:t> </w:t>
            </w:r>
          </w:p>
        </w:tc>
        <w:tc>
          <w:tcPr>
            <w:tcW w:w="3470" w:type="dxa"/>
            <w:tcBorders/>
            <w:shd w:fill="auto" w:val="clear"/>
          </w:tcPr>
          <w:p>
            <w:pPr>
              <w:pStyle w:val="TableContents"/>
              <w:spacing w:before="0" w:after="0"/>
              <w:ind w:left="0" w:right="0" w:hanging="0"/>
              <w:jc w:val="left"/>
              <w:rPr>
                <w:color w:val="000000"/>
              </w:rPr>
            </w:pPr>
            <w:r>
              <w:rPr>
                <w:color w:val="000000"/>
              </w:rPr>
              <w:t> </w:t>
            </w:r>
          </w:p>
        </w:tc>
      </w:tr>
      <w:tr>
        <w:trPr/>
        <w:tc>
          <w:tcPr>
            <w:tcW w:w="3266" w:type="dxa"/>
            <w:tcBorders/>
            <w:shd w:fill="auto" w:val="clear"/>
          </w:tcPr>
          <w:p>
            <w:pPr>
              <w:pStyle w:val="TableContents"/>
              <w:spacing w:before="0" w:after="0"/>
              <w:ind w:left="0" w:right="0" w:firstLine="60"/>
              <w:jc w:val="left"/>
              <w:rPr>
                <w:rFonts w:ascii="Times New Roman;Times;Serif" w:hAnsi="Times New Roman;Times;Serif"/>
                <w:b/>
                <w:color w:val="000000"/>
                <w:sz w:val="17"/>
              </w:rPr>
            </w:pPr>
            <w:r>
              <w:rPr>
                <w:rFonts w:ascii="Times New Roman;Times;Serif" w:hAnsi="Times New Roman;Times;Serif"/>
                <w:b/>
                <w:color w:val="000000"/>
                <w:sz w:val="17"/>
              </w:rPr>
              <w:t>Exercise of the warrants</w:t>
            </w:r>
          </w:p>
        </w:tc>
        <w:tc>
          <w:tcPr>
            <w:tcW w:w="3469" w:type="dxa"/>
            <w:tcBorders/>
            <w:shd w:fill="auto" w:val="clear"/>
          </w:tcPr>
          <w:p>
            <w:pPr>
              <w:pStyle w:val="TableContents"/>
              <w:spacing w:before="0" w:after="0"/>
              <w:ind w:left="0" w:right="0" w:firstLine="60"/>
              <w:jc w:val="left"/>
              <w:rPr>
                <w:rFonts w:ascii="Times New Roman;Times;Serif" w:hAnsi="Times New Roman;Times;Serif"/>
                <w:color w:val="000000"/>
                <w:sz w:val="17"/>
              </w:rPr>
            </w:pPr>
            <w:r>
              <w:rPr>
                <w:rFonts w:ascii="Times New Roman;Times;Serif" w:hAnsi="Times New Roman;Times;Serif"/>
                <w:color w:val="000000"/>
                <w:sz w:val="17"/>
              </w:rPr>
              <w:t>The warrants cannot be exercised until the later of 30 days after the completion of our initial business combination or 12 months from the closing of this offering.</w:t>
            </w:r>
          </w:p>
        </w:tc>
        <w:tc>
          <w:tcPr>
            <w:tcW w:w="3470" w:type="dxa"/>
            <w:tcBorders/>
            <w:shd w:fill="auto" w:val="clear"/>
          </w:tcPr>
          <w:p>
            <w:pPr>
              <w:pStyle w:val="TableContents"/>
              <w:spacing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warrants could be exercised prior to the completion of a business combination, but securities received and cash paid in connection with the exercise would be deposited in the escrow or trust account.</w:t>
            </w:r>
          </w:p>
        </w:tc>
      </w:tr>
      <w:tr>
        <w:trPr/>
        <w:tc>
          <w:tcPr>
            <w:tcW w:w="3266" w:type="dxa"/>
            <w:tcBorders/>
            <w:shd w:fill="auto" w:val="clear"/>
          </w:tcPr>
          <w:p>
            <w:pPr>
              <w:pStyle w:val="TableContents"/>
              <w:spacing w:before="0" w:after="0"/>
              <w:ind w:left="0" w:right="0" w:firstLine="60"/>
              <w:jc w:val="left"/>
              <w:rPr>
                <w:color w:val="000000"/>
              </w:rPr>
            </w:pPr>
            <w:r>
              <w:rPr>
                <w:color w:val="000000"/>
              </w:rPr>
              <w:t> </w:t>
            </w:r>
          </w:p>
        </w:tc>
        <w:tc>
          <w:tcPr>
            <w:tcW w:w="3469" w:type="dxa"/>
            <w:tcBorders/>
            <w:shd w:fill="auto" w:val="clear"/>
          </w:tcPr>
          <w:p>
            <w:pPr>
              <w:pStyle w:val="TableContents"/>
              <w:spacing w:before="0" w:after="0"/>
              <w:ind w:left="0" w:right="0" w:firstLine="60"/>
              <w:jc w:val="left"/>
              <w:rPr>
                <w:color w:val="000000"/>
              </w:rPr>
            </w:pPr>
            <w:r>
              <w:rPr>
                <w:color w:val="000000"/>
              </w:rPr>
              <w:t> </w:t>
            </w:r>
          </w:p>
        </w:tc>
        <w:tc>
          <w:tcPr>
            <w:tcW w:w="3470" w:type="dxa"/>
            <w:tcBorders/>
            <w:shd w:fill="auto" w:val="clear"/>
          </w:tcPr>
          <w:p>
            <w:pPr>
              <w:pStyle w:val="TableContents"/>
              <w:spacing w:before="0" w:after="0"/>
              <w:ind w:left="0" w:right="0" w:hanging="0"/>
              <w:jc w:val="left"/>
              <w:rPr>
                <w:color w:val="000000"/>
              </w:rPr>
            </w:pPr>
            <w:r>
              <w:rPr>
                <w:color w:val="000000"/>
              </w:rPr>
              <w:t> </w:t>
            </w:r>
          </w:p>
        </w:tc>
      </w:tr>
      <w:tr>
        <w:trPr/>
        <w:tc>
          <w:tcPr>
            <w:tcW w:w="3266" w:type="dxa"/>
            <w:tcBorders/>
            <w:shd w:fill="auto" w:val="clear"/>
          </w:tcPr>
          <w:p>
            <w:pPr>
              <w:pStyle w:val="TableContents"/>
              <w:spacing w:before="0" w:after="0"/>
              <w:ind w:left="0" w:right="0" w:firstLine="60"/>
              <w:jc w:val="left"/>
              <w:rPr>
                <w:rFonts w:ascii="Times New Roman;Times;Serif" w:hAnsi="Times New Roman;Times;Serif"/>
                <w:b/>
                <w:color w:val="000000"/>
                <w:sz w:val="17"/>
              </w:rPr>
            </w:pPr>
            <w:r>
              <w:rPr>
                <w:rFonts w:ascii="Times New Roman;Times;Serif" w:hAnsi="Times New Roman;Times;Serif"/>
                <w:b/>
                <w:color w:val="000000"/>
                <w:sz w:val="17"/>
              </w:rPr>
              <w:t>Election to remain an investor</w:t>
            </w:r>
          </w:p>
        </w:tc>
        <w:tc>
          <w:tcPr>
            <w:tcW w:w="3469" w:type="dxa"/>
            <w:tcBorders/>
            <w:shd w:fill="auto" w:val="clear"/>
          </w:tcPr>
          <w:p>
            <w:pPr>
              <w:pStyle w:val="TableContents"/>
              <w:spacing w:before="0" w:after="0"/>
              <w:ind w:left="0" w:right="0" w:firstLine="60"/>
              <w:jc w:val="left"/>
              <w:rPr>
                <w:rFonts w:ascii="Times New Roman;Times;Serif" w:hAnsi="Times New Roman;Times;Serif"/>
                <w:color w:val="000000"/>
                <w:sz w:val="17"/>
              </w:rPr>
            </w:pPr>
            <w:r>
              <w:rPr>
                <w:rFonts w:ascii="Times New Roman;Times;Serif" w:hAnsi="Times New Roman;Times;Serif"/>
                <w:color w:val="000000"/>
                <w:sz w:val="17"/>
              </w:rPr>
              <w:t>We will provide our public shareholders with the opportunity to redeem their public shares for cash equal to their pro rata share of the aggregate amount then on deposit in the trust account as of two business days prior to the completion of our initial business combination, including interest, which interest shall be net of taxes payable, upon the completion of our initial business combination, subject to the limitations described herein. We may not be required by applicable law or stock exchange rules to hold a shareholder vote. If we are not required by applicable law or stock exchange rules and do not otherwise decide to hold a shareholder vote, we will, pursuant to our amended and restated memorandum and articles of association, conduct the redemptions pursuant to the tender offer rules of the SEC and file tender offer documents with the SEC which will contain substantially the same financial and other information about the initial business combination and the redemption rights as is required under the SEC’s proxy rules. If, however, we hold a shareholder vote, we will, like many blank check companies, offer to redeem shares in conjunction with a proxy solicitation pursuant to the proxy rules and not pursuant to the tender offer rules. Pursuant to the tender offer rules, the tender offer period will be not less than 20 business</w:t>
            </w:r>
          </w:p>
        </w:tc>
        <w:tc>
          <w:tcPr>
            <w:tcW w:w="3470" w:type="dxa"/>
            <w:tcBorders/>
            <w:shd w:fill="auto" w:val="clear"/>
          </w:tcPr>
          <w:p>
            <w:pPr>
              <w:pStyle w:val="TableContents"/>
              <w:spacing w:before="0" w:after="0"/>
              <w:ind w:left="0" w:right="0" w:firstLine="60"/>
              <w:jc w:val="left"/>
              <w:rPr>
                <w:rFonts w:ascii="Times New Roman;Times;Serif" w:hAnsi="Times New Roman;Times;Serif"/>
                <w:color w:val="000000"/>
                <w:sz w:val="17"/>
              </w:rPr>
            </w:pPr>
            <w:r>
              <w:rPr>
                <w:rFonts w:ascii="Times New Roman;Times;Serif" w:hAnsi="Times New Roman;Times;Serif"/>
                <w:color w:val="000000"/>
                <w:sz w:val="17"/>
              </w:rPr>
              <w:t>A prospectus containing information pertaining to the business combination required by the SEC would be sent to each investor. Each investor would be given the opportunity to notify the company in writing, within a period of no less than 20 business days and no more than 45 business days from the effective date of a post-effective amendment to the company’s registration statement, to decide if he, she or it elects to remain a shareholder of the company or require the return of his, her or its investment. If the company has not received the notification by the end of the 45th business day, funds and interest or dividends, if any, held in the trust or escrow account are automatically returned to the shareholder. Unless a sufficient number of investors elect to remain investors, all funds on deposit in the escrow account must be returned to all of the investors and none of the securities are issued.</w:t>
            </w:r>
          </w:p>
        </w:tc>
      </w:tr>
    </w:tbl>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104</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tbl>
      <w:tblPr>
        <w:tblW w:w="5000" w:type="pct"/>
        <w:jc w:val="center"/>
        <w:tblInd w:w="0" w:type="dxa"/>
        <w:tblCellMar>
          <w:top w:w="0" w:type="dxa"/>
          <w:left w:w="0" w:type="dxa"/>
          <w:bottom w:w="0" w:type="dxa"/>
          <w:right w:w="0" w:type="dxa"/>
        </w:tblCellMar>
      </w:tblPr>
      <w:tblGrid>
        <w:gridCol w:w="3265"/>
        <w:gridCol w:w="3470"/>
        <w:gridCol w:w="3470"/>
      </w:tblGrid>
      <w:tr>
        <w:trPr/>
        <w:tc>
          <w:tcPr>
            <w:tcW w:w="3265" w:type="dxa"/>
            <w:tcBorders/>
            <w:shd w:fill="auto" w:val="clear"/>
            <w:vAlign w:val="bottom"/>
          </w:tcPr>
          <w:p>
            <w:pPr>
              <w:pStyle w:val="TableContents"/>
              <w:spacing w:before="0" w:after="0"/>
              <w:ind w:left="0" w:right="0" w:firstLine="60"/>
              <w:jc w:val="left"/>
              <w:rPr>
                <w:color w:val="000000"/>
              </w:rPr>
            </w:pPr>
            <w:r>
              <w:rPr>
                <w:color w:val="000000"/>
              </w:rPr>
              <w:t> </w:t>
            </w:r>
          </w:p>
        </w:tc>
        <w:tc>
          <w:tcPr>
            <w:tcW w:w="3470" w:type="dxa"/>
            <w:tcBorders/>
            <w:shd w:fill="auto" w:val="clear"/>
            <w:vAlign w:val="bottom"/>
          </w:tcPr>
          <w:p>
            <w:pPr>
              <w:pStyle w:val="TableContents"/>
              <w:spacing w:before="0" w:after="0"/>
              <w:ind w:left="0" w:right="0" w:firstLine="6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Terms of Our Offering</w:t>
            </w:r>
          </w:p>
        </w:tc>
        <w:tc>
          <w:tcPr>
            <w:tcW w:w="3470" w:type="dxa"/>
            <w:tcBorders/>
            <w:shd w:fill="auto" w:val="clear"/>
            <w:tcMar>
              <w:top w:w="28" w:type="dxa"/>
              <w:left w:w="28" w:type="dxa"/>
              <w:bottom w:w="28" w:type="dxa"/>
              <w:right w:w="28" w:type="dxa"/>
            </w:tcMar>
            <w:vAlign w:val="bottom"/>
          </w:tcPr>
          <w:p>
            <w:pPr>
              <w:pStyle w:val="TableContents"/>
              <w:spacing w:before="0" w:after="0"/>
              <w:ind w:left="0" w:right="0" w:hanging="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Terms Under a Rule 419 Offering</w:t>
            </w:r>
          </w:p>
        </w:tc>
      </w:tr>
      <w:tr>
        <w:trPr/>
        <w:tc>
          <w:tcPr>
            <w:tcW w:w="3265" w:type="dxa"/>
            <w:tcBorders/>
            <w:shd w:fill="auto" w:val="clear"/>
          </w:tcPr>
          <w:p>
            <w:pPr>
              <w:pStyle w:val="TableContents"/>
              <w:spacing w:before="0" w:after="0"/>
              <w:ind w:left="0" w:right="0" w:firstLine="60"/>
              <w:jc w:val="left"/>
              <w:rPr>
                <w:color w:val="000000"/>
              </w:rPr>
            </w:pPr>
            <w:r>
              <w:rPr>
                <w:color w:val="000000"/>
              </w:rPr>
              <w:t> </w:t>
            </w:r>
          </w:p>
        </w:tc>
        <w:tc>
          <w:tcPr>
            <w:tcW w:w="3470" w:type="dxa"/>
            <w:tcBorders/>
            <w:shd w:fill="auto" w:val="clear"/>
          </w:tcPr>
          <w:p>
            <w:pPr>
              <w:pStyle w:val="TableContents"/>
              <w:spacing w:before="0" w:after="0"/>
              <w:ind w:left="0" w:right="0" w:firstLine="60"/>
              <w:jc w:val="left"/>
              <w:rPr>
                <w:rFonts w:ascii="Times New Roman;Times;Serif" w:hAnsi="Times New Roman;Times;Serif"/>
                <w:color w:val="000000"/>
                <w:sz w:val="17"/>
              </w:rPr>
            </w:pPr>
            <w:r>
              <w:rPr>
                <w:rFonts w:ascii="Times New Roman;Times;Serif" w:hAnsi="Times New Roman;Times;Serif"/>
                <w:color w:val="000000"/>
                <w:sz w:val="17"/>
              </w:rPr>
              <w:t>days and, in the case of a shareholder vote, a final proxy statement would be mailed to public shareholders at least 10 days prior to the shareholder vote. However, we expect that a draft proxy statement would be made available to such shareholders well in advance of such time, providing additional notice of redemption if we conduct redemptions in conjunction with a proxy solicitation. If we seek shareholder approval, we will complete our initial business combination only if we receive an ordinary resolution under Cayman Islands law, which requires the affirmative vote of a majority of the shareholders who attend and vote at a general meeting of the company. Additionally, each public shareholder may elect to redeem its public shares without voting and, if they do vote, irrespective of whether they vote for or against the proposed business combination.</w:t>
            </w:r>
          </w:p>
        </w:tc>
        <w:tc>
          <w:tcPr>
            <w:tcW w:w="3470" w:type="dxa"/>
            <w:tcBorders/>
            <w:shd w:fill="auto" w:val="clear"/>
          </w:tcPr>
          <w:p>
            <w:pPr>
              <w:pStyle w:val="TableContents"/>
              <w:spacing w:before="0" w:after="0"/>
              <w:ind w:left="0" w:right="0" w:hanging="0"/>
              <w:jc w:val="left"/>
              <w:rPr>
                <w:color w:val="000000"/>
              </w:rPr>
            </w:pPr>
            <w:r>
              <w:rPr>
                <w:color w:val="000000"/>
              </w:rPr>
              <w:t> </w:t>
            </w:r>
          </w:p>
        </w:tc>
      </w:tr>
      <w:tr>
        <w:trPr/>
        <w:tc>
          <w:tcPr>
            <w:tcW w:w="3265" w:type="dxa"/>
            <w:tcBorders/>
            <w:shd w:fill="auto" w:val="clear"/>
          </w:tcPr>
          <w:p>
            <w:pPr>
              <w:pStyle w:val="TableContents"/>
              <w:spacing w:before="0" w:after="0"/>
              <w:ind w:left="0" w:right="0" w:firstLine="60"/>
              <w:jc w:val="left"/>
              <w:rPr>
                <w:color w:val="000000"/>
              </w:rPr>
            </w:pPr>
            <w:r>
              <w:rPr>
                <w:color w:val="000000"/>
              </w:rPr>
              <w:t> </w:t>
            </w:r>
          </w:p>
        </w:tc>
        <w:tc>
          <w:tcPr>
            <w:tcW w:w="3470" w:type="dxa"/>
            <w:tcBorders/>
            <w:shd w:fill="auto" w:val="clear"/>
          </w:tcPr>
          <w:p>
            <w:pPr>
              <w:pStyle w:val="TableContents"/>
              <w:spacing w:before="0" w:after="0"/>
              <w:ind w:left="0" w:right="0" w:firstLine="60"/>
              <w:jc w:val="left"/>
              <w:rPr>
                <w:color w:val="000000"/>
              </w:rPr>
            </w:pPr>
            <w:r>
              <w:rPr>
                <w:color w:val="000000"/>
              </w:rPr>
              <w:t> </w:t>
            </w:r>
          </w:p>
        </w:tc>
        <w:tc>
          <w:tcPr>
            <w:tcW w:w="3470" w:type="dxa"/>
            <w:tcBorders/>
            <w:shd w:fill="auto" w:val="clear"/>
          </w:tcPr>
          <w:p>
            <w:pPr>
              <w:pStyle w:val="TableContents"/>
              <w:spacing w:before="0" w:after="0"/>
              <w:ind w:left="0" w:right="0" w:hanging="0"/>
              <w:jc w:val="left"/>
              <w:rPr>
                <w:color w:val="000000"/>
              </w:rPr>
            </w:pPr>
            <w:r>
              <w:rPr>
                <w:color w:val="000000"/>
              </w:rPr>
              <w:t> </w:t>
            </w:r>
          </w:p>
        </w:tc>
      </w:tr>
      <w:tr>
        <w:trPr/>
        <w:tc>
          <w:tcPr>
            <w:tcW w:w="3265" w:type="dxa"/>
            <w:tcBorders/>
            <w:shd w:fill="auto" w:val="clear"/>
          </w:tcPr>
          <w:p>
            <w:pPr>
              <w:pStyle w:val="TableContents"/>
              <w:spacing w:before="0" w:after="0"/>
              <w:ind w:left="0" w:right="0" w:firstLine="60"/>
              <w:jc w:val="left"/>
              <w:rPr>
                <w:rFonts w:ascii="Times New Roman;Times;Serif" w:hAnsi="Times New Roman;Times;Serif"/>
                <w:b/>
                <w:color w:val="000000"/>
                <w:sz w:val="17"/>
              </w:rPr>
            </w:pPr>
            <w:r>
              <w:rPr>
                <w:rFonts w:ascii="Times New Roman;Times;Serif" w:hAnsi="Times New Roman;Times;Serif"/>
                <w:b/>
                <w:color w:val="000000"/>
                <w:sz w:val="17"/>
              </w:rPr>
              <w:t>Business combination deadline</w:t>
            </w:r>
          </w:p>
        </w:tc>
        <w:tc>
          <w:tcPr>
            <w:tcW w:w="3470" w:type="dxa"/>
            <w:tcBorders/>
            <w:shd w:fill="auto" w:val="clear"/>
          </w:tcPr>
          <w:p>
            <w:pPr>
              <w:pStyle w:val="TableContents"/>
              <w:spacing w:before="0" w:after="0"/>
              <w:ind w:left="0" w:right="0" w:firstLine="60"/>
              <w:jc w:val="left"/>
              <w:rPr>
                <w:rFonts w:ascii="Times New Roman;Times;Serif" w:hAnsi="Times New Roman;Times;Serif"/>
                <w:color w:val="000000"/>
                <w:sz w:val="17"/>
              </w:rPr>
            </w:pPr>
            <w:r>
              <w:rPr>
                <w:rFonts w:ascii="Times New Roman;Times;Serif" w:hAnsi="Times New Roman;Times;Serif"/>
                <w:color w:val="000000"/>
                <w:sz w:val="17"/>
              </w:rPr>
              <w:t>If we are unable to complete an initial business combination within 18 months from the closing of this offering, we will (1) cease all operations except for the purpose of winding up, (2) as promptly as reasonably possible but not more than 10 business days thereafter, redeem 100% of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 (3) as promptly as reasonably possible following such redemption, subject to the approval</w:t>
            </w:r>
          </w:p>
        </w:tc>
        <w:tc>
          <w:tcPr>
            <w:tcW w:w="3470" w:type="dxa"/>
            <w:tcBorders/>
            <w:shd w:fill="auto" w:val="clear"/>
          </w:tcPr>
          <w:p>
            <w:pPr>
              <w:pStyle w:val="TableContents"/>
              <w:spacing w:before="0" w:after="0"/>
              <w:ind w:left="0" w:right="0" w:firstLine="60"/>
              <w:jc w:val="left"/>
              <w:rPr>
                <w:rFonts w:ascii="Times New Roman;Times;Serif" w:hAnsi="Times New Roman;Times;Serif"/>
                <w:color w:val="000000"/>
                <w:sz w:val="17"/>
              </w:rPr>
            </w:pPr>
            <w:r>
              <w:rPr>
                <w:rFonts w:ascii="Times New Roman;Times;Serif" w:hAnsi="Times New Roman;Times;Serif"/>
                <w:color w:val="000000"/>
                <w:sz w:val="17"/>
              </w:rPr>
              <w:t>If an acquisition has not been completed within 18 months after the effective date of the company’s registration statement, funds held in the trust or escrow account are returned to investors.</w:t>
            </w:r>
          </w:p>
        </w:tc>
      </w:tr>
    </w:tbl>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105</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tbl>
      <w:tblPr>
        <w:tblW w:w="5000" w:type="pct"/>
        <w:jc w:val="center"/>
        <w:tblInd w:w="0" w:type="dxa"/>
        <w:tblCellMar>
          <w:top w:w="0" w:type="dxa"/>
          <w:left w:w="0" w:type="dxa"/>
          <w:bottom w:w="0" w:type="dxa"/>
          <w:right w:w="0" w:type="dxa"/>
        </w:tblCellMar>
      </w:tblPr>
      <w:tblGrid>
        <w:gridCol w:w="3266"/>
        <w:gridCol w:w="3469"/>
        <w:gridCol w:w="3470"/>
      </w:tblGrid>
      <w:tr>
        <w:trPr/>
        <w:tc>
          <w:tcPr>
            <w:tcW w:w="3266" w:type="dxa"/>
            <w:tcBorders/>
            <w:shd w:fill="auto" w:val="clear"/>
            <w:vAlign w:val="bottom"/>
          </w:tcPr>
          <w:p>
            <w:pPr>
              <w:pStyle w:val="TableContents"/>
              <w:spacing w:before="0" w:after="0"/>
              <w:ind w:left="0" w:right="0" w:firstLine="60"/>
              <w:jc w:val="left"/>
              <w:rPr>
                <w:color w:val="000000"/>
              </w:rPr>
            </w:pPr>
            <w:r>
              <w:rPr>
                <w:color w:val="000000"/>
              </w:rPr>
              <w:t> </w:t>
            </w:r>
          </w:p>
        </w:tc>
        <w:tc>
          <w:tcPr>
            <w:tcW w:w="3469" w:type="dxa"/>
            <w:tcBorders/>
            <w:shd w:fill="auto" w:val="clear"/>
            <w:vAlign w:val="bottom"/>
          </w:tcPr>
          <w:p>
            <w:pPr>
              <w:pStyle w:val="TableContents"/>
              <w:spacing w:before="0" w:after="0"/>
              <w:ind w:left="0" w:right="0" w:firstLine="6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Terms of Our Offering</w:t>
            </w:r>
          </w:p>
        </w:tc>
        <w:tc>
          <w:tcPr>
            <w:tcW w:w="3470" w:type="dxa"/>
            <w:tcBorders/>
            <w:shd w:fill="auto" w:val="clear"/>
            <w:tcMar>
              <w:top w:w="28" w:type="dxa"/>
              <w:left w:w="28" w:type="dxa"/>
              <w:bottom w:w="28" w:type="dxa"/>
              <w:right w:w="28" w:type="dxa"/>
            </w:tcMar>
            <w:vAlign w:val="bottom"/>
          </w:tcPr>
          <w:p>
            <w:pPr>
              <w:pStyle w:val="TableContents"/>
              <w:spacing w:before="0" w:after="0"/>
              <w:ind w:left="0" w:right="0" w:hanging="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Terms Under a Rule 419 Offering</w:t>
            </w:r>
          </w:p>
        </w:tc>
      </w:tr>
      <w:tr>
        <w:trPr/>
        <w:tc>
          <w:tcPr>
            <w:tcW w:w="3266" w:type="dxa"/>
            <w:tcBorders/>
            <w:shd w:fill="auto" w:val="clear"/>
          </w:tcPr>
          <w:p>
            <w:pPr>
              <w:pStyle w:val="TableContents"/>
              <w:spacing w:before="0" w:after="0"/>
              <w:ind w:left="0" w:right="0" w:firstLine="60"/>
              <w:jc w:val="left"/>
              <w:rPr>
                <w:color w:val="000000"/>
              </w:rPr>
            </w:pPr>
            <w:r>
              <w:rPr>
                <w:color w:val="000000"/>
              </w:rPr>
              <w:t> </w:t>
            </w:r>
          </w:p>
        </w:tc>
        <w:tc>
          <w:tcPr>
            <w:tcW w:w="3469" w:type="dxa"/>
            <w:tcBorders/>
            <w:shd w:fill="auto" w:val="clear"/>
          </w:tcPr>
          <w:p>
            <w:pPr>
              <w:pStyle w:val="TableContents"/>
              <w:spacing w:before="0" w:after="0"/>
              <w:ind w:left="0" w:right="0" w:firstLine="60"/>
              <w:jc w:val="left"/>
              <w:rPr>
                <w:rFonts w:ascii="Times New Roman;Times;Serif" w:hAnsi="Times New Roman;Times;Serif"/>
                <w:color w:val="000000"/>
                <w:sz w:val="17"/>
              </w:rPr>
            </w:pPr>
            <w:r>
              <w:rPr>
                <w:rFonts w:ascii="Times New Roman;Times;Serif" w:hAnsi="Times New Roman;Times;Serif"/>
                <w:color w:val="000000"/>
                <w:sz w:val="17"/>
              </w:rPr>
              <w:t>of our remaining shareholders and our board of directors, dissolve and liquidate, subject in each case to our obligations under Cayman Islands law to provide for claims of creditors and the requirements of other applicable law.</w:t>
            </w:r>
          </w:p>
        </w:tc>
        <w:tc>
          <w:tcPr>
            <w:tcW w:w="3470" w:type="dxa"/>
            <w:tcBorders/>
            <w:shd w:fill="auto" w:val="clear"/>
          </w:tcPr>
          <w:p>
            <w:pPr>
              <w:pStyle w:val="TableContents"/>
              <w:spacing w:before="0" w:after="0"/>
              <w:ind w:left="0" w:right="0" w:hanging="0"/>
              <w:jc w:val="left"/>
              <w:rPr>
                <w:color w:val="000000"/>
              </w:rPr>
            </w:pPr>
            <w:r>
              <w:rPr>
                <w:color w:val="000000"/>
              </w:rPr>
              <w:t> </w:t>
            </w:r>
          </w:p>
        </w:tc>
      </w:tr>
      <w:tr>
        <w:trPr/>
        <w:tc>
          <w:tcPr>
            <w:tcW w:w="3266" w:type="dxa"/>
            <w:tcBorders/>
            <w:shd w:fill="auto" w:val="clear"/>
          </w:tcPr>
          <w:p>
            <w:pPr>
              <w:pStyle w:val="TableContents"/>
              <w:spacing w:before="0" w:after="0"/>
              <w:ind w:left="0" w:right="0" w:firstLine="60"/>
              <w:jc w:val="left"/>
              <w:rPr>
                <w:color w:val="000000"/>
              </w:rPr>
            </w:pPr>
            <w:r>
              <w:rPr>
                <w:color w:val="000000"/>
              </w:rPr>
              <w:t> </w:t>
            </w:r>
          </w:p>
        </w:tc>
        <w:tc>
          <w:tcPr>
            <w:tcW w:w="3469" w:type="dxa"/>
            <w:tcBorders/>
            <w:shd w:fill="auto" w:val="clear"/>
          </w:tcPr>
          <w:p>
            <w:pPr>
              <w:pStyle w:val="TableContents"/>
              <w:spacing w:before="0" w:after="0"/>
              <w:ind w:left="0" w:right="0" w:firstLine="60"/>
              <w:jc w:val="left"/>
              <w:rPr>
                <w:color w:val="000000"/>
              </w:rPr>
            </w:pPr>
            <w:r>
              <w:rPr>
                <w:color w:val="000000"/>
              </w:rPr>
              <w:t> </w:t>
            </w:r>
          </w:p>
        </w:tc>
        <w:tc>
          <w:tcPr>
            <w:tcW w:w="3470" w:type="dxa"/>
            <w:tcBorders/>
            <w:shd w:fill="auto" w:val="clear"/>
          </w:tcPr>
          <w:p>
            <w:pPr>
              <w:pStyle w:val="TableContents"/>
              <w:spacing w:before="0" w:after="0"/>
              <w:ind w:left="0" w:right="0" w:hanging="0"/>
              <w:jc w:val="left"/>
              <w:rPr>
                <w:color w:val="000000"/>
              </w:rPr>
            </w:pPr>
            <w:r>
              <w:rPr>
                <w:color w:val="000000"/>
              </w:rPr>
              <w:t> </w:t>
            </w:r>
          </w:p>
        </w:tc>
      </w:tr>
      <w:tr>
        <w:trPr/>
        <w:tc>
          <w:tcPr>
            <w:tcW w:w="3266" w:type="dxa"/>
            <w:tcBorders/>
            <w:shd w:fill="auto" w:val="clear"/>
          </w:tcPr>
          <w:p>
            <w:pPr>
              <w:pStyle w:val="TableContents"/>
              <w:spacing w:before="0" w:after="0"/>
              <w:ind w:left="0" w:right="0" w:firstLine="60"/>
              <w:jc w:val="left"/>
              <w:rPr>
                <w:rFonts w:ascii="Times New Roman;Times;Serif" w:hAnsi="Times New Roman;Times;Serif"/>
                <w:b/>
                <w:color w:val="000000"/>
                <w:sz w:val="17"/>
              </w:rPr>
            </w:pPr>
            <w:r>
              <w:rPr>
                <w:rFonts w:ascii="Times New Roman;Times;Serif" w:hAnsi="Times New Roman;Times;Serif"/>
                <w:b/>
                <w:color w:val="000000"/>
                <w:sz w:val="17"/>
              </w:rPr>
              <w:t>Release of funds</w:t>
            </w:r>
          </w:p>
        </w:tc>
        <w:tc>
          <w:tcPr>
            <w:tcW w:w="3469" w:type="dxa"/>
            <w:tcBorders/>
            <w:shd w:fill="auto" w:val="clear"/>
          </w:tcPr>
          <w:p>
            <w:pPr>
              <w:pStyle w:val="TableContents"/>
              <w:spacing w:before="0" w:after="0"/>
              <w:ind w:left="0" w:right="0" w:firstLine="60"/>
              <w:jc w:val="left"/>
              <w:rPr>
                <w:rFonts w:ascii="Times New Roman;Times;Serif" w:hAnsi="Times New Roman;Times;Serif"/>
                <w:color w:val="000000"/>
                <w:sz w:val="17"/>
              </w:rPr>
            </w:pPr>
            <w:r>
              <w:rPr>
                <w:rFonts w:ascii="Times New Roman;Times;Serif" w:hAnsi="Times New Roman;Times;Serif"/>
                <w:color w:val="000000"/>
                <w:sz w:val="17"/>
              </w:rPr>
              <w:t>Except with respect to interest earned on the funds held in the trust account that may be released to us to pay our taxes, if any, the funds held in the trust account will not be released from the trust account until the earliest to occur of: (1) the completion of our initial business combination; (2) the redemption of any public shares properly submitted in connection with a shareholder vote to amend our amended and restated memorandum and articles of association (A) to modify the substance or timing of our obligation to redeem 100% of our public shares if we do not complete our initial business combination within 18 months from the closing of this offering or (B) with respect to any other provision relating to shareholders’ rights or pre-initial business combination activity; and (3) the redemption of our public shares if we are unable to complete our initial business combination within 18 months from the closing of this offering, subject to applicable law.</w:t>
            </w:r>
          </w:p>
        </w:tc>
        <w:tc>
          <w:tcPr>
            <w:tcW w:w="3470" w:type="dxa"/>
            <w:tcBorders/>
            <w:shd w:fill="auto" w:val="clear"/>
          </w:tcPr>
          <w:p>
            <w:pPr>
              <w:pStyle w:val="TableContents"/>
              <w:spacing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proceeds held in the escrow account are not released until the earlier of the completion of a business combination or the failure to effect a business combination within the allotted time.</w:t>
            </w:r>
          </w:p>
        </w:tc>
      </w:tr>
      <w:tr>
        <w:trPr/>
        <w:tc>
          <w:tcPr>
            <w:tcW w:w="3266" w:type="dxa"/>
            <w:tcBorders/>
            <w:shd w:fill="auto" w:val="clear"/>
          </w:tcPr>
          <w:p>
            <w:pPr>
              <w:pStyle w:val="TableContents"/>
              <w:spacing w:before="0" w:after="0"/>
              <w:ind w:left="0" w:right="0" w:firstLine="60"/>
              <w:jc w:val="left"/>
              <w:rPr>
                <w:color w:val="000000"/>
              </w:rPr>
            </w:pPr>
            <w:r>
              <w:rPr>
                <w:color w:val="000000"/>
              </w:rPr>
              <w:t> </w:t>
            </w:r>
          </w:p>
        </w:tc>
        <w:tc>
          <w:tcPr>
            <w:tcW w:w="3469" w:type="dxa"/>
            <w:tcBorders/>
            <w:shd w:fill="auto" w:val="clear"/>
          </w:tcPr>
          <w:p>
            <w:pPr>
              <w:pStyle w:val="TableContents"/>
              <w:spacing w:before="0" w:after="0"/>
              <w:ind w:left="0" w:right="0" w:firstLine="60"/>
              <w:jc w:val="left"/>
              <w:rPr>
                <w:color w:val="000000"/>
              </w:rPr>
            </w:pPr>
            <w:r>
              <w:rPr>
                <w:color w:val="000000"/>
              </w:rPr>
              <w:t> </w:t>
            </w:r>
          </w:p>
        </w:tc>
        <w:tc>
          <w:tcPr>
            <w:tcW w:w="3470" w:type="dxa"/>
            <w:tcBorders/>
            <w:shd w:fill="auto" w:val="clear"/>
          </w:tcPr>
          <w:p>
            <w:pPr>
              <w:pStyle w:val="TableContents"/>
              <w:spacing w:before="0" w:after="0"/>
              <w:ind w:left="0" w:right="0" w:hanging="0"/>
              <w:jc w:val="left"/>
              <w:rPr>
                <w:color w:val="000000"/>
              </w:rPr>
            </w:pPr>
            <w:r>
              <w:rPr>
                <w:color w:val="000000"/>
              </w:rPr>
              <w:t> </w:t>
            </w:r>
          </w:p>
        </w:tc>
      </w:tr>
      <w:tr>
        <w:trPr/>
        <w:tc>
          <w:tcPr>
            <w:tcW w:w="3266" w:type="dxa"/>
            <w:tcBorders/>
            <w:shd w:fill="auto" w:val="clear"/>
          </w:tcPr>
          <w:p>
            <w:pPr>
              <w:pStyle w:val="TableContents"/>
              <w:spacing w:before="0" w:after="0"/>
              <w:ind w:left="0" w:right="0" w:firstLine="60"/>
              <w:jc w:val="left"/>
              <w:rPr>
                <w:rFonts w:ascii="Times New Roman;Times;Serif" w:hAnsi="Times New Roman;Times;Serif"/>
                <w:b/>
                <w:color w:val="000000"/>
                <w:sz w:val="17"/>
              </w:rPr>
            </w:pPr>
            <w:r>
              <w:rPr>
                <w:rFonts w:ascii="Times New Roman;Times;Serif" w:hAnsi="Times New Roman;Times;Serif"/>
                <w:b/>
                <w:color w:val="000000"/>
                <w:sz w:val="17"/>
              </w:rPr>
              <w:t>Limitation on redemption rights of shareholders holding more than 15% of the shares sold in this offering if we hold a shareholder vote</w:t>
            </w:r>
          </w:p>
        </w:tc>
        <w:tc>
          <w:tcPr>
            <w:tcW w:w="3469" w:type="dxa"/>
            <w:tcBorders/>
            <w:shd w:fill="auto" w:val="clear"/>
          </w:tcPr>
          <w:p>
            <w:pPr>
              <w:pStyle w:val="TableContents"/>
              <w:spacing w:before="0" w:after="0"/>
              <w:ind w:left="0" w:right="0" w:firstLine="60"/>
              <w:jc w:val="left"/>
              <w:rPr>
                <w:rFonts w:ascii="Times New Roman;Times;Serif" w:hAnsi="Times New Roman;Times;Serif"/>
                <w:color w:val="000000"/>
                <w:sz w:val="17"/>
              </w:rPr>
            </w:pPr>
            <w:r>
              <w:rPr>
                <w:rFonts w:ascii="Times New Roman;Times;Serif" w:hAnsi="Times New Roman;Times;Serif"/>
                <w:color w:val="000000"/>
                <w:sz w:val="17"/>
              </w:rPr>
              <w:t>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w:t>
            </w:r>
          </w:p>
        </w:tc>
        <w:tc>
          <w:tcPr>
            <w:tcW w:w="3470" w:type="dxa"/>
            <w:tcBorders/>
            <w:shd w:fill="auto" w:val="clear"/>
          </w:tcPr>
          <w:p>
            <w:pPr>
              <w:pStyle w:val="TableContents"/>
              <w:spacing w:before="0" w:after="0"/>
              <w:ind w:left="0" w:right="0" w:firstLine="60"/>
              <w:jc w:val="left"/>
              <w:rPr>
                <w:rFonts w:ascii="Times New Roman;Times;Serif" w:hAnsi="Times New Roman;Times;Serif"/>
                <w:color w:val="000000"/>
                <w:sz w:val="17"/>
              </w:rPr>
            </w:pPr>
            <w:r>
              <w:rPr>
                <w:rFonts w:ascii="Times New Roman;Times;Serif" w:hAnsi="Times New Roman;Times;Serif"/>
                <w:color w:val="000000"/>
                <w:sz w:val="17"/>
              </w:rPr>
              <w:t>Most blank check companies provide no restrictions on the ability of shareholders to redeem shares based on the number of shares held by such shareholders in connection with an initial business combination.</w:t>
            </w:r>
          </w:p>
        </w:tc>
      </w:tr>
    </w:tbl>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106</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tbl>
      <w:tblPr>
        <w:tblW w:w="5000" w:type="pct"/>
        <w:jc w:val="center"/>
        <w:tblInd w:w="0" w:type="dxa"/>
        <w:tblCellMar>
          <w:top w:w="0" w:type="dxa"/>
          <w:left w:w="0" w:type="dxa"/>
          <w:bottom w:w="0" w:type="dxa"/>
          <w:right w:w="0" w:type="dxa"/>
        </w:tblCellMar>
      </w:tblPr>
      <w:tblGrid>
        <w:gridCol w:w="3265"/>
        <w:gridCol w:w="3470"/>
        <w:gridCol w:w="3470"/>
      </w:tblGrid>
      <w:tr>
        <w:trPr/>
        <w:tc>
          <w:tcPr>
            <w:tcW w:w="3265" w:type="dxa"/>
            <w:tcBorders/>
            <w:shd w:fill="auto" w:val="clear"/>
            <w:vAlign w:val="bottom"/>
          </w:tcPr>
          <w:p>
            <w:pPr>
              <w:pStyle w:val="TableContents"/>
              <w:spacing w:before="0" w:after="0"/>
              <w:ind w:left="0" w:right="0" w:firstLine="60"/>
              <w:jc w:val="left"/>
              <w:rPr>
                <w:color w:val="000000"/>
              </w:rPr>
            </w:pPr>
            <w:r>
              <w:rPr>
                <w:color w:val="000000"/>
              </w:rPr>
              <w:t> </w:t>
            </w:r>
          </w:p>
        </w:tc>
        <w:tc>
          <w:tcPr>
            <w:tcW w:w="3470" w:type="dxa"/>
            <w:tcBorders/>
            <w:shd w:fill="auto" w:val="clear"/>
            <w:vAlign w:val="bottom"/>
          </w:tcPr>
          <w:p>
            <w:pPr>
              <w:pStyle w:val="TableContents"/>
              <w:spacing w:before="0" w:after="0"/>
              <w:ind w:left="0" w:right="0" w:firstLine="6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Terms of Our Offering</w:t>
            </w:r>
          </w:p>
        </w:tc>
        <w:tc>
          <w:tcPr>
            <w:tcW w:w="3470" w:type="dxa"/>
            <w:tcBorders/>
            <w:shd w:fill="auto" w:val="clear"/>
            <w:tcMar>
              <w:top w:w="28" w:type="dxa"/>
              <w:left w:w="28" w:type="dxa"/>
              <w:bottom w:w="28" w:type="dxa"/>
              <w:right w:w="28" w:type="dxa"/>
            </w:tcMar>
            <w:vAlign w:val="bottom"/>
          </w:tcPr>
          <w:p>
            <w:pPr>
              <w:pStyle w:val="TableContents"/>
              <w:spacing w:before="0" w:after="0"/>
              <w:ind w:left="0" w:right="0" w:hanging="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Terms Under a Rule 419 Offering</w:t>
            </w:r>
          </w:p>
        </w:tc>
      </w:tr>
      <w:tr>
        <w:trPr/>
        <w:tc>
          <w:tcPr>
            <w:tcW w:w="3265" w:type="dxa"/>
            <w:tcBorders/>
            <w:shd w:fill="auto" w:val="clear"/>
          </w:tcPr>
          <w:p>
            <w:pPr>
              <w:pStyle w:val="TableContents"/>
              <w:spacing w:before="0" w:after="0"/>
              <w:ind w:left="0" w:right="0" w:firstLine="60"/>
              <w:jc w:val="left"/>
              <w:rPr>
                <w:color w:val="000000"/>
              </w:rPr>
            </w:pPr>
            <w:r>
              <w:rPr>
                <w:color w:val="000000"/>
              </w:rPr>
              <w:t> </w:t>
            </w:r>
          </w:p>
        </w:tc>
        <w:tc>
          <w:tcPr>
            <w:tcW w:w="3470" w:type="dxa"/>
            <w:tcBorders/>
            <w:shd w:fill="auto" w:val="clear"/>
          </w:tcPr>
          <w:p>
            <w:pPr>
              <w:pStyle w:val="TableContents"/>
              <w:spacing w:before="0" w:after="0"/>
              <w:ind w:left="0" w:right="0" w:firstLine="60"/>
              <w:jc w:val="left"/>
              <w:rPr>
                <w:rFonts w:ascii="Times New Roman;Times;Serif" w:hAnsi="Times New Roman;Times;Serif"/>
                <w:color w:val="000000"/>
                <w:sz w:val="17"/>
              </w:rPr>
            </w:pPr>
            <w:r>
              <w:rPr>
                <w:rFonts w:ascii="Times New Roman;Times;Serif" w:hAnsi="Times New Roman;Times;Serif"/>
                <w:color w:val="000000"/>
                <w:sz w:val="17"/>
              </w:rPr>
              <w:t>from redeeming its shares with respect Excess Shares (more than an aggregate of 15% of the shares sold in this offering), without our prior consent. Our public shareholders inability to redeem Excess Shares will reduce their influence over our ability to complete our initial business combination and they could suffer a material loss on their investment in us if they sell Excess Shares in open market transactions.</w:t>
            </w:r>
          </w:p>
        </w:tc>
        <w:tc>
          <w:tcPr>
            <w:tcW w:w="3470" w:type="dxa"/>
            <w:tcBorders/>
            <w:shd w:fill="auto" w:val="clear"/>
          </w:tcPr>
          <w:p>
            <w:pPr>
              <w:pStyle w:val="TableContents"/>
              <w:spacing w:before="0" w:after="0"/>
              <w:ind w:left="0" w:right="0" w:hanging="0"/>
              <w:jc w:val="left"/>
              <w:rPr>
                <w:color w:val="000000"/>
              </w:rPr>
            </w:pPr>
            <w:r>
              <w:rPr>
                <w:color w:val="000000"/>
              </w:rPr>
              <w:t> </w:t>
            </w:r>
          </w:p>
        </w:tc>
      </w:tr>
      <w:tr>
        <w:trPr/>
        <w:tc>
          <w:tcPr>
            <w:tcW w:w="3265" w:type="dxa"/>
            <w:tcBorders/>
            <w:shd w:fill="auto" w:val="clear"/>
          </w:tcPr>
          <w:p>
            <w:pPr>
              <w:pStyle w:val="TableContents"/>
              <w:spacing w:before="0" w:after="0"/>
              <w:ind w:left="0" w:right="0" w:firstLine="60"/>
              <w:jc w:val="left"/>
              <w:rPr>
                <w:color w:val="000000"/>
              </w:rPr>
            </w:pPr>
            <w:r>
              <w:rPr>
                <w:color w:val="000000"/>
              </w:rPr>
              <w:t> </w:t>
            </w:r>
          </w:p>
        </w:tc>
        <w:tc>
          <w:tcPr>
            <w:tcW w:w="3470" w:type="dxa"/>
            <w:tcBorders/>
            <w:shd w:fill="auto" w:val="clear"/>
          </w:tcPr>
          <w:p>
            <w:pPr>
              <w:pStyle w:val="TableContents"/>
              <w:spacing w:before="0" w:after="0"/>
              <w:ind w:left="0" w:right="0" w:firstLine="60"/>
              <w:jc w:val="left"/>
              <w:rPr>
                <w:color w:val="000000"/>
              </w:rPr>
            </w:pPr>
            <w:r>
              <w:rPr>
                <w:color w:val="000000"/>
              </w:rPr>
              <w:t> </w:t>
            </w:r>
          </w:p>
        </w:tc>
        <w:tc>
          <w:tcPr>
            <w:tcW w:w="3470" w:type="dxa"/>
            <w:tcBorders/>
            <w:shd w:fill="auto" w:val="clear"/>
          </w:tcPr>
          <w:p>
            <w:pPr>
              <w:pStyle w:val="TableContents"/>
              <w:spacing w:before="0" w:after="0"/>
              <w:ind w:left="0" w:right="0" w:hanging="0"/>
              <w:jc w:val="left"/>
              <w:rPr>
                <w:color w:val="000000"/>
              </w:rPr>
            </w:pPr>
            <w:r>
              <w:rPr>
                <w:color w:val="000000"/>
              </w:rPr>
              <w:t> </w:t>
            </w:r>
          </w:p>
        </w:tc>
      </w:tr>
      <w:tr>
        <w:trPr/>
        <w:tc>
          <w:tcPr>
            <w:tcW w:w="3265" w:type="dxa"/>
            <w:tcBorders/>
            <w:shd w:fill="auto" w:val="clear"/>
          </w:tcPr>
          <w:p>
            <w:pPr>
              <w:pStyle w:val="TableContents"/>
              <w:spacing w:before="0" w:after="0"/>
              <w:ind w:left="0" w:right="0" w:firstLine="60"/>
              <w:jc w:val="left"/>
              <w:rPr>
                <w:rFonts w:ascii="Times New Roman;Times;Serif" w:hAnsi="Times New Roman;Times;Serif"/>
                <w:b/>
                <w:color w:val="000000"/>
                <w:sz w:val="17"/>
              </w:rPr>
            </w:pPr>
            <w:r>
              <w:rPr>
                <w:rFonts w:ascii="Times New Roman;Times;Serif" w:hAnsi="Times New Roman;Times;Serif"/>
                <w:b/>
                <w:color w:val="000000"/>
                <w:sz w:val="17"/>
              </w:rPr>
              <w:t>Tendering share certificates in connection with a tender offer or redemption rights</w:t>
            </w:r>
          </w:p>
        </w:tc>
        <w:tc>
          <w:tcPr>
            <w:tcW w:w="3470" w:type="dxa"/>
            <w:tcBorders/>
            <w:shd w:fill="auto" w:val="clear"/>
          </w:tcPr>
          <w:p>
            <w:pPr>
              <w:pStyle w:val="TableContents"/>
              <w:spacing w:before="0" w:after="0"/>
              <w:ind w:left="0" w:right="0" w:firstLine="60"/>
              <w:jc w:val="left"/>
              <w:rPr>
                <w:rFonts w:ascii="Times New Roman;Times;Serif" w:hAnsi="Times New Roman;Times;Serif"/>
                <w:color w:val="000000"/>
                <w:sz w:val="17"/>
              </w:rPr>
            </w:pPr>
            <w:r>
              <w:rPr>
                <w:rFonts w:ascii="Times New Roman;Times;Serif" w:hAnsi="Times New Roman;Times;Serif"/>
                <w:color w:val="000000"/>
                <w:sz w:val="17"/>
              </w:rPr>
              <w:t>We may require our public shareholders seeking to exercise their redemption rights, whether they are record holders or hold their shares in street name, to either tender their certificates to our transfer agent prior to the date set forth in the tender offer documents or proxy materials mailed to such holders, or up to two business days prior to the vote on the proposal to approve our initial business combination in the event we distribute proxy materials, or to deliver their shares to the transfer agent electronically using The Depository Trust Company’s DWAC (Deposit/Withdrawal At Custodian) System, at the holder’s option. The tender offer or proxy materials, as applicable, that we will furnish to holders of our public shares in connection with our initial business combination will indicate whether we are requiring public shareholders to satisfy such delivery requirements. Accordingly, a public shareholder would have from the time we send out our tender offer materials until the close of the tender offer period, or up to two days prior to the vote on the business combination if we distribute proxy materials, as applicable, to tender its shares if it wishes to seek to exercise its redemption rights.</w:t>
            </w:r>
          </w:p>
        </w:tc>
        <w:tc>
          <w:tcPr>
            <w:tcW w:w="3470" w:type="dxa"/>
            <w:tcBorders/>
            <w:shd w:fill="auto" w:val="clear"/>
          </w:tcPr>
          <w:p>
            <w:pPr>
              <w:pStyle w:val="TableContents"/>
              <w:spacing w:before="0" w:after="0"/>
              <w:ind w:left="0" w:right="0" w:firstLine="60"/>
              <w:jc w:val="left"/>
              <w:rPr>
                <w:rFonts w:ascii="Times New Roman;Times;Serif" w:hAnsi="Times New Roman;Times;Serif"/>
                <w:color w:val="000000"/>
                <w:sz w:val="17"/>
              </w:rPr>
            </w:pPr>
            <w:r>
              <w:rPr>
                <w:rFonts w:ascii="Times New Roman;Times;Serif" w:hAnsi="Times New Roman;Times;Serif"/>
                <w:color w:val="000000"/>
                <w:sz w:val="17"/>
              </w:rPr>
              <w:t>In order to perfect redemption rights in connection with their business combinations, holders could vote against a proposed business combination and check a box on the proxy card indicating such holders were seeking to exercise their redemption rights. After the business combination was approved, the company would contact such shareholders to arrange for them to deliver their certificate to verify ownership.</w:t>
            </w:r>
          </w:p>
        </w:tc>
      </w:tr>
    </w:tbl>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107</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before="12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Competition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expect to encounter intense competition from other entities having a business objective similar to ours, including private investors (which may be individuals or investment partnerships), other blank check companies and other entities, domestic and international, competing for the types of businesses we intend to acquire. Many of these individuals and entities are well established and have extensive experience in identifying and effecting, directly or indirectly, acquisitions of companies operating in or providing services to various industries. Many of these competitors possess greater technical, human and other resources or more local industry knowledge than we do and our financial resources will be relatively limited when contrasted with those of many of these competitors. While we believe there are numerous target businesses we could potentially acquire with the net proceeds of this offering and the sale of the private placement warrants,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in the event we seek shareholder approval of our initial business combination and we are obligated to pay cash for our Class A ordinary shares, it will potentially reduce the resources available to us for our initial business combination. Any of these obligations may place us at a competitive disadvantage in successfully negotiating a business combination.</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Conflicts of Interest</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All of our executive officers and certain of our directors have or may have fiduciary and contractual duties to certain companies in which they have invested. These entities may compete with us for acquisition opportunities. If these entities decide to pursue any such opportunity, we may be precluded from pursuing it. However, we do not expect these duties to present a significant conflict of interest with our search for an initial business combination.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Certain of our officers and directors presently have, and any of them in the future may have additional, fiduciary or contractual obligations to other entities pursuant to which such officer or director is or will be required to present a business combination opportunity to such entity. Accordingly, if any of our officers or directors becomes aware of a business combination opportunity that is suitable for an entity to which he or she has then-current fiduciary or contractual obligations, he or she may need to honor these fiduciary or contractual obligations to present such business combination opportunity to such entity, subject to their fiduciary duties under Cayman Islands law. We do not believe, however, that the fiduciary duties or contractual obligations of our officers or directors will materially affect our ability to complete our initial business combination.</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Indemnity</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Our sponsor has agreed that it will be liable to us if and to the extent any claims by a third party (other than our independent auditors) for services rendered or products sold to us, or a prospective target business with which we have discussed entering into a transaction agreement, reduce the amount of funds in the trust account to below (1) $10.00 per public share or (2) such lesser amount per public share held in the trust account as of the date of the liquidation of the trust account due to reductions in the value of the trust assets, in each case net of the interest which may be withdrawn to pay taxes, except as to any claims by a third party who executed a waiver of any and all rights to seek access to the trust account and except as to any claims under our indemnity of the underwriters of this offering against certain liabilities, including liabilities under the Securities Act. Moreover, in the event that an executed waiver is deemed to be unenforceable against a third party, our sponsor will not be responsible to the extent of any liability for such third-party claims. We have not independently verified whether our sponsor has sufficient funds to satisfy its indemnity obligations and believe that our sponsors only assets are securities of our company and, therefore, our sponsor may not be able to satisfy those obligations. We have not asked our sponsor to reserve for such obligations. </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Facilities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We currently maintain our executive offices at 1114 6th Ave, 41st Floor New York, New York, 10036. The cost for the space is included in the up to $20,000 monthly fee that we will pay our sponsor for office space, administrative and support services. We consider our current office space adequate for our current operations. </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Employees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We currently have four executive officers and do not intend to have any full-time employees prior to the completion of our initial business combination. Members of our management team are not obligated to devote </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108</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any specific number of hours to our matters but they intend to devote as much of their time as they deem necessary to our affairs until we have completed our initial business combination. The amount of time that any such person will devote in any time period will vary based on whether a target business has been selected for our initial business combination and the current stage of the business combination process.</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Periodic Reporting and Financial Information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will register our units, Class A ordinary shares and warrants under the Exchange Act and have reporting obligations, including the requirement that we file annual, quarterly and current reports with the SEC. In accordance with the requirements of the Exchange Act, our annual reports will contain financial statements audited and reported on by our independent registered public auditors.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will provide shareholders with audited financial statements of the prospective target business as part of the tender offer materials or proxy solicitation materials sent to shareholders to assist them in assessing the target business. These financial statements may be required to be prepared in accordance with, or be reconciled to, U.S. GAAP or IFRS, depending on the circumstances and the historical financial statements may be required to be audited in accordance with PCAOB standards. These financial statement requirements may limit the pool of potential target businesses we may acquire because some targets may be unable to provide such financial statements in time for us to disclose such financial statements in accordance with federal proxy rules and complete our initial business combination within the prescribed time frame. While this may limit the pool of potential business combination candidates, we do not believe that this limitation will be material.</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will be required to evaluate our internal control procedures for the fiscal year ending December 31, 2020 as required by the Sarbanes-Oxley Act. Only in the event we are deemed to be a large accelerated filer or an accelerated filer, and no longer qualify as an emerging growth company, will we be required to have our internal control procedures audited. A target business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have filed a Registration Statement on Form 8-A with the SEC to voluntarily register our securities under Section 12 of the Exchange Act. As a result, we are subject to the rules and regulations promulgated under the Exchange Act. We have no current intention of filing a Form 15 to suspend our reporting or other obligations under the Exchange Act prior or subsequent to the completion of our initial business combination.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ordinary shares that is held by non-affiliates exceeds $700 million as of the end of the prior fiscal years second fiscal quarter, and (2) the date on which we have issued more than $1.00 billion in non-convertible debt securities during the prior three-year period. References herein to emerging growth company shall have the meaning associated with it in the JOBS Act.</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109</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Additionally, we are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exceeds $250 million as of the end of that years second fiscal quarter, or (2) our annual revenues exceeded $100 million during such completed fiscal year and the market value of our ordinary shares held by non-affiliates exceeds $700 million as of the end of that years second fiscal quarter.</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Legal Proceedings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There is no material litigation, arbitration or governmental proceeding currently pending against us or any members of our management team in their capacity as such, and we and the members of our management team have not been subject to any such proceeding in the 12 months preceding the date of this prospectus.</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110</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before="240" w:after="0"/>
        <w:ind w:left="0" w:right="0" w:hanging="0"/>
        <w:jc w:val="center"/>
        <w:rPr>
          <w:rFonts w:ascii="Times New Roman;Times;Serif" w:hAnsi="Times New Roman;Times;Serif"/>
          <w:b/>
          <w:color w:val="000000"/>
          <w:sz w:val="17"/>
        </w:rPr>
      </w:pPr>
      <w:bookmarkStart w:id="14" w:name="tMAN"/>
      <w:bookmarkEnd w:id="14"/>
      <w:r>
        <w:rPr>
          <w:rFonts w:ascii="Times New Roman;Times;Serif" w:hAnsi="Times New Roman;Times;Serif"/>
          <w:b/>
          <w:color w:val="000000"/>
          <w:sz w:val="17"/>
        </w:rPr>
        <w:t>MANAGEMENT</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Directors, Director Nominees and Executive Officers</w:t>
      </w:r>
    </w:p>
    <w:tbl>
      <w:tblPr>
        <w:tblW w:w="5000" w:type="pct"/>
        <w:jc w:val="center"/>
        <w:tblInd w:w="0" w:type="dxa"/>
        <w:tblCellMar>
          <w:top w:w="0" w:type="dxa"/>
          <w:left w:w="0" w:type="dxa"/>
          <w:bottom w:w="0" w:type="dxa"/>
          <w:right w:w="0" w:type="dxa"/>
        </w:tblCellMar>
      </w:tblPr>
      <w:tblGrid>
        <w:gridCol w:w="4694"/>
        <w:gridCol w:w="612"/>
        <w:gridCol w:w="4899"/>
      </w:tblGrid>
      <w:tr>
        <w:trPr/>
        <w:tc>
          <w:tcPr>
            <w:tcW w:w="4694" w:type="dxa"/>
            <w:tcBorders/>
            <w:shd w:fill="auto" w:val="clear"/>
            <w:vAlign w:val="bottom"/>
          </w:tcPr>
          <w:p>
            <w:pPr>
              <w:pStyle w:val="TableContents"/>
              <w:spacing w:before="0" w:after="0"/>
              <w:ind w:left="0" w:right="0" w:firstLine="90"/>
              <w:jc w:val="left"/>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 xml:space="preserve">Name </w:t>
            </w:r>
          </w:p>
        </w:tc>
        <w:tc>
          <w:tcPr>
            <w:tcW w:w="612" w:type="dxa"/>
            <w:tcBorders/>
            <w:shd w:fill="auto" w:val="clear"/>
            <w:vAlign w:val="bottom"/>
          </w:tcPr>
          <w:p>
            <w:pPr>
              <w:pStyle w:val="TableContents"/>
              <w:spacing w:before="0" w:after="0"/>
              <w:ind w:left="0" w:right="0" w:firstLine="9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 xml:space="preserve">Age </w:t>
            </w:r>
          </w:p>
        </w:tc>
        <w:tc>
          <w:tcPr>
            <w:tcW w:w="4899" w:type="dxa"/>
            <w:tcBorders/>
            <w:shd w:fill="auto" w:val="clear"/>
            <w:vAlign w:val="bottom"/>
          </w:tcPr>
          <w:p>
            <w:pPr>
              <w:pStyle w:val="TableContents"/>
              <w:spacing w:before="0" w:after="0"/>
              <w:ind w:left="0" w:right="0" w:hanging="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 xml:space="preserve">Title </w:t>
            </w:r>
          </w:p>
        </w:tc>
      </w:tr>
      <w:tr>
        <w:trPr/>
        <w:tc>
          <w:tcPr>
            <w:tcW w:w="4694" w:type="dxa"/>
            <w:tcBorders/>
            <w:shd w:fill="CCEEFF" w:val="clear"/>
            <w:vAlign w:val="bottom"/>
          </w:tcPr>
          <w:p>
            <w:pPr>
              <w:pStyle w:val="TableContents"/>
              <w:spacing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Scott Gordon </w:t>
            </w:r>
          </w:p>
        </w:tc>
        <w:tc>
          <w:tcPr>
            <w:tcW w:w="612" w:type="dxa"/>
            <w:tcBorders/>
            <w:shd w:fill="CCEEFF" w:val="clear"/>
            <w:vAlign w:val="bottom"/>
          </w:tcPr>
          <w:p>
            <w:pPr>
              <w:pStyle w:val="TableContents"/>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 xml:space="preserve">57 </w:t>
            </w:r>
          </w:p>
        </w:tc>
        <w:tc>
          <w:tcPr>
            <w:tcW w:w="4899" w:type="dxa"/>
            <w:tcBorders/>
            <w:shd w:fill="CCEEFF" w:val="clear"/>
            <w:vAlign w:val="bottom"/>
          </w:tcPr>
          <w:p>
            <w:pPr>
              <w:pStyle w:val="TableContents"/>
              <w:spacing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Chief Executive Officer and Chairman </w:t>
            </w:r>
          </w:p>
        </w:tc>
      </w:tr>
      <w:tr>
        <w:trPr/>
        <w:tc>
          <w:tcPr>
            <w:tcW w:w="4694" w:type="dxa"/>
            <w:tcBorders/>
            <w:shd w:fill="auto" w:val="clear"/>
            <w:vAlign w:val="bottom"/>
          </w:tcPr>
          <w:p>
            <w:pPr>
              <w:pStyle w:val="TableContents"/>
              <w:spacing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William Healy </w:t>
            </w:r>
          </w:p>
        </w:tc>
        <w:tc>
          <w:tcPr>
            <w:tcW w:w="612" w:type="dxa"/>
            <w:tcBorders/>
            <w:shd w:fill="auto" w:val="clear"/>
            <w:vAlign w:val="bottom"/>
          </w:tcPr>
          <w:p>
            <w:pPr>
              <w:pStyle w:val="TableContents"/>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 xml:space="preserve">56 </w:t>
            </w:r>
          </w:p>
        </w:tc>
        <w:tc>
          <w:tcPr>
            <w:tcW w:w="4899" w:type="dxa"/>
            <w:tcBorders/>
            <w:shd w:fill="auto" w:val="clear"/>
            <w:vAlign w:val="bottom"/>
          </w:tcPr>
          <w:p>
            <w:pPr>
              <w:pStyle w:val="TableContents"/>
              <w:spacing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President and Director </w:t>
            </w:r>
          </w:p>
        </w:tc>
      </w:tr>
      <w:tr>
        <w:trPr/>
        <w:tc>
          <w:tcPr>
            <w:tcW w:w="4694" w:type="dxa"/>
            <w:tcBorders/>
            <w:shd w:fill="CCEEFF" w:val="clear"/>
            <w:vAlign w:val="bottom"/>
          </w:tcPr>
          <w:p>
            <w:pPr>
              <w:pStyle w:val="TableContents"/>
              <w:spacing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Gregory M. Gentile </w:t>
            </w:r>
          </w:p>
        </w:tc>
        <w:tc>
          <w:tcPr>
            <w:tcW w:w="612" w:type="dxa"/>
            <w:tcBorders/>
            <w:shd w:fill="CCEEFF" w:val="clear"/>
            <w:vAlign w:val="bottom"/>
          </w:tcPr>
          <w:p>
            <w:pPr>
              <w:pStyle w:val="TableContents"/>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 xml:space="preserve">42 </w:t>
            </w:r>
          </w:p>
        </w:tc>
        <w:tc>
          <w:tcPr>
            <w:tcW w:w="4899" w:type="dxa"/>
            <w:tcBorders/>
            <w:shd w:fill="CCEEFF" w:val="clear"/>
            <w:vAlign w:val="bottom"/>
          </w:tcPr>
          <w:p>
            <w:pPr>
              <w:pStyle w:val="TableContents"/>
              <w:spacing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Chief Financial Officer </w:t>
            </w:r>
          </w:p>
        </w:tc>
      </w:tr>
      <w:tr>
        <w:trPr/>
        <w:tc>
          <w:tcPr>
            <w:tcW w:w="4694" w:type="dxa"/>
            <w:tcBorders/>
            <w:shd w:fill="auto" w:val="clear"/>
            <w:vAlign w:val="bottom"/>
          </w:tcPr>
          <w:p>
            <w:pPr>
              <w:pStyle w:val="TableContents"/>
              <w:spacing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Mohammed Grimeh </w:t>
            </w:r>
          </w:p>
        </w:tc>
        <w:tc>
          <w:tcPr>
            <w:tcW w:w="612" w:type="dxa"/>
            <w:tcBorders/>
            <w:shd w:fill="auto" w:val="clear"/>
            <w:vAlign w:val="bottom"/>
          </w:tcPr>
          <w:p>
            <w:pPr>
              <w:pStyle w:val="TableContents"/>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 xml:space="preserve">52 </w:t>
            </w:r>
          </w:p>
        </w:tc>
        <w:tc>
          <w:tcPr>
            <w:tcW w:w="4899" w:type="dxa"/>
            <w:tcBorders/>
            <w:shd w:fill="auto" w:val="clear"/>
            <w:vAlign w:val="bottom"/>
          </w:tcPr>
          <w:p>
            <w:pPr>
              <w:pStyle w:val="TableContents"/>
              <w:spacing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Chief Operating Officer </w:t>
            </w:r>
          </w:p>
        </w:tc>
      </w:tr>
      <w:tr>
        <w:trPr/>
        <w:tc>
          <w:tcPr>
            <w:tcW w:w="4694" w:type="dxa"/>
            <w:tcBorders/>
            <w:shd w:fill="CCEEFF" w:val="clear"/>
            <w:vAlign w:val="bottom"/>
          </w:tcPr>
          <w:p>
            <w:pPr>
              <w:pStyle w:val="TableContents"/>
              <w:spacing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Orrin Devinsky </w:t>
            </w:r>
          </w:p>
        </w:tc>
        <w:tc>
          <w:tcPr>
            <w:tcW w:w="612" w:type="dxa"/>
            <w:tcBorders/>
            <w:shd w:fill="CCEEFF" w:val="clear"/>
            <w:vAlign w:val="bottom"/>
          </w:tcPr>
          <w:p>
            <w:pPr>
              <w:pStyle w:val="TableContents"/>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 xml:space="preserve">62 </w:t>
            </w:r>
          </w:p>
        </w:tc>
        <w:tc>
          <w:tcPr>
            <w:tcW w:w="4899" w:type="dxa"/>
            <w:tcBorders/>
            <w:shd w:fill="CCEEFF" w:val="clear"/>
            <w:vAlign w:val="bottom"/>
          </w:tcPr>
          <w:p>
            <w:pPr>
              <w:pStyle w:val="TableContents"/>
              <w:spacing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Director Nominee </w:t>
            </w:r>
          </w:p>
        </w:tc>
      </w:tr>
      <w:tr>
        <w:trPr/>
        <w:tc>
          <w:tcPr>
            <w:tcW w:w="4694" w:type="dxa"/>
            <w:tcBorders/>
            <w:shd w:fill="auto" w:val="clear"/>
            <w:vAlign w:val="bottom"/>
          </w:tcPr>
          <w:p>
            <w:pPr>
              <w:pStyle w:val="TableContents"/>
              <w:spacing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Richard M. Goldman </w:t>
            </w:r>
          </w:p>
        </w:tc>
        <w:tc>
          <w:tcPr>
            <w:tcW w:w="612" w:type="dxa"/>
            <w:tcBorders/>
            <w:shd w:fill="auto" w:val="clear"/>
            <w:vAlign w:val="bottom"/>
          </w:tcPr>
          <w:p>
            <w:pPr>
              <w:pStyle w:val="TableContents"/>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 xml:space="preserve">58 </w:t>
            </w:r>
          </w:p>
        </w:tc>
        <w:tc>
          <w:tcPr>
            <w:tcW w:w="4899" w:type="dxa"/>
            <w:tcBorders/>
            <w:shd w:fill="auto" w:val="clear"/>
            <w:vAlign w:val="bottom"/>
          </w:tcPr>
          <w:p>
            <w:pPr>
              <w:pStyle w:val="TableContents"/>
              <w:spacing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Director Nominee </w:t>
            </w:r>
          </w:p>
        </w:tc>
      </w:tr>
      <w:tr>
        <w:trPr/>
        <w:tc>
          <w:tcPr>
            <w:tcW w:w="4694" w:type="dxa"/>
            <w:tcBorders/>
            <w:shd w:fill="CCEEFF" w:val="clear"/>
            <w:vAlign w:val="bottom"/>
          </w:tcPr>
          <w:p>
            <w:pPr>
              <w:pStyle w:val="TableContents"/>
              <w:spacing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Kenneth H. Landis </w:t>
            </w:r>
          </w:p>
        </w:tc>
        <w:tc>
          <w:tcPr>
            <w:tcW w:w="612" w:type="dxa"/>
            <w:tcBorders/>
            <w:shd w:fill="CCEEFF" w:val="clear"/>
            <w:vAlign w:val="bottom"/>
          </w:tcPr>
          <w:p>
            <w:pPr>
              <w:pStyle w:val="TableContents"/>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 xml:space="preserve">68 </w:t>
            </w:r>
          </w:p>
        </w:tc>
        <w:tc>
          <w:tcPr>
            <w:tcW w:w="4899" w:type="dxa"/>
            <w:tcBorders/>
            <w:shd w:fill="CCEEFF" w:val="clear"/>
            <w:vAlign w:val="bottom"/>
          </w:tcPr>
          <w:p>
            <w:pPr>
              <w:pStyle w:val="TableContents"/>
              <w:spacing w:before="0" w:after="0"/>
              <w:ind w:left="0" w:right="0" w:firstLine="60"/>
              <w:jc w:val="left"/>
              <w:rPr>
                <w:rFonts w:ascii="Times New Roman;Times;Serif" w:hAnsi="Times New Roman;Times;Serif"/>
                <w:color w:val="000000"/>
                <w:sz w:val="17"/>
              </w:rPr>
            </w:pPr>
            <w:r>
              <w:rPr>
                <w:rFonts w:ascii="Times New Roman;Times;Serif" w:hAnsi="Times New Roman;Times;Serif"/>
                <w:color w:val="000000"/>
                <w:sz w:val="17"/>
              </w:rPr>
              <w:t>Director Nominee</w:t>
            </w:r>
          </w:p>
        </w:tc>
      </w:tr>
    </w:tbl>
    <w:p>
      <w:pPr>
        <w:pStyle w:val="TextBody"/>
        <w:spacing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Our directors, director nominees and executive officers are as follows: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b/>
          <w:i/>
          <w:color w:val="000000"/>
          <w:sz w:val="17"/>
        </w:rPr>
        <w:t>Scott Gordon</w:t>
      </w:r>
      <w:r>
        <w:rPr>
          <w:rFonts w:ascii="Times New Roman;Times;Serif" w:hAnsi="Times New Roman;Times;Serif"/>
          <w:color w:val="000000"/>
          <w:sz w:val="17"/>
        </w:rPr>
        <w:t xml:space="preserve"> has been the Chairman of our board of directors and has served as our Chief Executive Officer since our inception. Since 2016, Mr. Gordon has been the co-founder and Chairman of Egg Rock Holdings, parent company of the Papa &amp; Barkley family of cannabis products with related subsidiary assets in manufacturing, processing, and logistics. Egg Rock Holdings also is the parent company of Papa &amp; Barkley Essentials, a hemp-derived CBD business based in Colorado. From 2016 to 2018, Mr. Gordon was also President of Fintech Advisory Inc., investment manager for a multibillion dollar family office fund focused on long-term and opportunistic investments in emerging markets. From late 2013 to 2016, Mr. Gordon served as a Portfolio Manager at Taconic Capital Advisors, a multi-strategy investment firm. Prior to joining Taconic, Mr. Gordon was a Partner and Portfolio Manager at Caxton Associates from 2009 to 2012. He was also a Senior Managing Director and Head of Emerging Markets at Marathon Asset Management from 2007 to 2009. Earlier in his career, Mr. Gordon held leadership positions at Bank of America and ING Capital. Mr. Gordon was a founding member of the Emerging Markets business at JP Morgan where he worked upon graduating from Bowdoin College in 1983. We believe Mr. Gordons experience in emerging markets and in the cannabis sector make him well qualified to serve as a member of our board of directors.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b/>
          <w:i/>
          <w:color w:val="000000"/>
          <w:sz w:val="17"/>
        </w:rPr>
        <w:t>William Healy</w:t>
      </w:r>
      <w:r>
        <w:rPr>
          <w:rFonts w:ascii="Times New Roman;Times;Serif" w:hAnsi="Times New Roman;Times;Serif"/>
          <w:color w:val="000000"/>
          <w:sz w:val="17"/>
        </w:rPr>
        <w:t xml:space="preserve"> has been a member of our board of directors and has served as our President since our inception. Since 1986, Mr. Healy has advised and covered institutional clients in a variety of roles spanning corporate finance, investment management, and investment banking in London, Brazil, and New York. From 2018 to May 2019, he was President of Pantera Capital Management, an investment management company. From 1998 to 2016, Mr. Healy managed several hedge fund and private equity dedicated institutional sales teams at Deutsche Bank and the firms wealth and asset management division. He began his career with The Chase Manhattan Bank based in London, Brazil, and New York where he advised multinational corporations on cross-border funding of their Latin America-domiciled operations. From 1993 to 1998, he formed and managed the ING Barings emerging markets institutional debt sales team where he covered clients and often traveled to Latin America, Europe, and Asia to structure, price, and pre-market many of the firms capital markets transactions. Mr. Healy received a BA, International Business from The George Washington University, Washington DC. He is multi-lingual (English, Spanish, and Portuguese) and a Chartered Alternative Investment Analyst Association (CAIA) member. We believe Mr. Healys experience as an investment professional make him well qualified to serve as a member of our board of directors.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b/>
          <w:i/>
          <w:color w:val="000000"/>
          <w:sz w:val="17"/>
        </w:rPr>
        <w:t>Gregory M. Gentile</w:t>
      </w:r>
      <w:r>
        <w:rPr>
          <w:rFonts w:ascii="Times New Roman;Times;Serif" w:hAnsi="Times New Roman;Times;Serif"/>
          <w:color w:val="000000"/>
          <w:sz w:val="17"/>
        </w:rPr>
        <w:t xml:space="preserve"> has served as our Chief Financial Officer since our inception. From 2010 to 2018, Mr. Gentile was Chief Executive Officer of GMG Investment Advisors, LLC, an investment management company. From 2008 to 2009, Mr. Gentile served as Managing Director of Barclays Capital, an investment bank. Prior to joining Barclays Capital, Mr. Gentile was a Managing Director at Lehman Brothers, where he was employed from 1997 until 2008. Mr. Gentile received a bachelors degree in management from the Massachusetts Institute of Technology, where he graduated in 1997.</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b/>
          <w:i/>
          <w:color w:val="000000"/>
          <w:sz w:val="17"/>
        </w:rPr>
        <w:t>Mohammed Grimeh</w:t>
      </w:r>
      <w:r>
        <w:rPr>
          <w:rFonts w:ascii="Times New Roman;Times;Serif" w:hAnsi="Times New Roman;Times;Serif"/>
          <w:color w:val="000000"/>
          <w:sz w:val="17"/>
        </w:rPr>
        <w:t xml:space="preserve"> has served as our Chief Operating Officer since our inception. From 2016 to 2018, Mr. Grimeh was deputy Global Head Fixed Income at Millennium Management, a global Alternative Asset Manager based in New York. From 2009 to 2016, Mr. Grimeh was Managing Director and head of Global Markets for Standard Chartered Bank, Americas. From 1998 to 2008, Mr. Grimeh was at Lehman Brothers where </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111</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he held various roles including managing director and global head Emerging Markets. Prior to that, he was a Managing Director at ING Barings from 1993 to 1998. He started his career at Societe Generale, a French Bank in 1990 and moved in 1992 to London to join Westpac banking Corporation. Mr. Grimeh graduated from Ecole Centrale in Paris in 1990.</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b/>
          <w:i/>
          <w:color w:val="000000"/>
          <w:sz w:val="17"/>
        </w:rPr>
        <w:t>Orrin Devinsky</w:t>
      </w:r>
      <w:r>
        <w:rPr>
          <w:rFonts w:ascii="Times New Roman;Times;Serif" w:hAnsi="Times New Roman;Times;Serif"/>
          <w:color w:val="000000"/>
          <w:sz w:val="17"/>
        </w:rPr>
        <w:t xml:space="preserve"> will be appointed as a member of our board of directors in connection with this offering. Since 1989, Dr. Devinsky has directed the NYU Langone Comprehensive Epilepsy Center and is a Professor of Neurology, Neuroscience, Psychiatry and Neurosurgery at the NYU School of Medicine. From 2013 to 2018, Dr. Devinsky served as a lead investigator for the GW Pharma trials of EPIDIOLEX in childhood-onset severe epilepsies; since 2016, Dr. Devinsky has served as the Chair of the Medical Advisory Board for Tilray, a pharmaceutical and cannabis company, and on the Scientific Advisory Board for Papa &amp; Barkley, a cannabis products company with related subsidiary assets in manufacturing, processing and logistics; since 2017, Dr. Devinsky has served on the Business and Scientific Advisory Boards of Tevard, a company developing gene therapy platforms to target rare diseases with high unmet need, and on the Business and Scientific Advisory Boards of Engage Therapeutics, a biopharmaceutical company developing a new rescue therapy for people who experience uncontrolled epileptic seizures; since 2018, Dr. Devinsky has served as the Chief Medical Officer for Receptor Life Sciences, a cannabinoid medicine drug development company. Dr. Devinsky received an MS from Yale University in 1977, a BS from Yale College in 1978 and a MD from Harvard Medical School in 1982. We believe Dr. Devinsky's experience in medicine, cannabinoid science and companies, therapeutics and drug development make him well qualified to serve as a director. </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b/>
          <w:i/>
          <w:color w:val="000000"/>
          <w:sz w:val="17"/>
        </w:rPr>
        <w:t>Richard M. Goldman</w:t>
      </w:r>
      <w:r>
        <w:rPr>
          <w:rFonts w:ascii="Times New Roman;Times;Serif" w:hAnsi="Times New Roman;Times;Serif"/>
          <w:color w:val="000000"/>
          <w:sz w:val="17"/>
        </w:rPr>
        <w:t xml:space="preserve"> will be appointed as a member of our board of directors in connection with this offering. Since 2012, Mr. Goldman has been the Managing Member of Becket Capital, LLC, an advisory services firm for investment management companies; from 2011 to 2012, Mr. Goldman served as Chief Operating Officer of Guggenheim Investments, the global asset management and investment advisory division of Guggenheim Partners; prior to joining Guggenheim Investments, from 2007 to 2012, Mr. Goldman was the Chief Executive Officer of Rydex Investments, the investment advisor to Rydex Funds. Since 2016, Mr. Goldman has served as Independent Director for the O'Shares Investments ETF Trust; since 2017, Mr. Goldman has served as the Independent Chairman of the Board of the Harvest Volatility Edge Trust, the entity responsible for the Harvest Edge mutual funds, and on the Board of Directors of Trinitas Capital Management, a credit-focused investment management firm; since 2018, Mr. Goldman has served as Lead Independent Director for the Axonic Alternative Income Interval Fund. Mr. Goldman received a bachelor's degree from Bowdoin College in 1983. We believe Mr. Goldman's experience in the investment management business make him well qualified to serve as a director. </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b/>
          <w:i/>
          <w:color w:val="000000"/>
          <w:sz w:val="17"/>
        </w:rPr>
        <w:t>Kenneth H. Landis</w:t>
      </w:r>
      <w:r>
        <w:rPr>
          <w:rFonts w:ascii="Times New Roman;Times;Serif" w:hAnsi="Times New Roman;Times;Serif"/>
          <w:color w:val="000000"/>
          <w:sz w:val="17"/>
        </w:rPr>
        <w:t xml:space="preserve"> will be appointed as a member of our board of directors in connection with this offering. Since 2000, Mr. Landis has been the CEO of Landis Capital, LLC, a provider of capital for seed, early stage and later stage venture investments in consumer products, ecommerce and enterprise companies. Previously, he served as Cofounder and a member of the Board of Directors of Bobbi Brown Cosmetics, CEO of Benetton Cosmetics Corp, Senior Vice President of Alfin, Inc., a manufacturer and distributer of cosmetics products, and Treasurer of IMS Health, Inc., a provider of information, services and technology for the healthcare industry. Mr. Landis began his career at Arthur Andersen and Co. and was formerly a Certified Public Accountant. He currently serves on the Board of Directors of several early stage private companies and as a Trustee of Suffield Academy. Mr. Landis obtained a BS in Economics degree from the University of Pennsylvania in 1972 and an MBA from New York University in 1973. We believe that Mr. Landis extensive managerial, financial and accounting experience makes him well qualified to serve as a member of our board of directors. </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In addition to our directors, director nominees and executive officers, the following individual will be advising us in making our initial business combination: </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b/>
          <w:i/>
          <w:color w:val="000000"/>
          <w:sz w:val="17"/>
        </w:rPr>
        <w:t>Rob Josephson</w:t>
      </w:r>
      <w:r>
        <w:rPr>
          <w:rFonts w:ascii="Times New Roman;Times;Serif" w:hAnsi="Times New Roman;Times;Serif"/>
          <w:color w:val="000000"/>
          <w:sz w:val="17"/>
        </w:rPr>
        <w:t xml:space="preserve"> has served as an investment partner since our inception. From October 2017 to present Mr. Josephson has acted as CEO of Seed Capital, a merchant bank. From January 2014 to October 2017 Mr. Josephson acted as financial consultant to various companies in the Cannabis industry including, Cronos Group, WeedMd, Lord Jones, Lune Rouge, and DNA Genetics. Mr. Josephson holds a Bachelor of Arts degree from the University of Western Ontario, where he graduated in 1985.</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112</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Number, Terms of Office and Election of Officers and Directors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Upon the effectiveness of the registration statement of which this prospectus forms a part, we expect that our board of directors will consist of five members. Our board of directors is divided into two classes with only one class of directors being elected in each year and each (except for those directors appointed prior to our first annual meeting of shareholders) serving a two-year term. The term of office of the first class of directors will expire at our first annual meeting of shareholders and the term of office of the second class of directors will expire at our second annual meeting of shareholders. We may not hold an annual meeting of shareholders until after we consummate our initial business combination (unless required by Nasdaq). Subject to any other special rights applicable to the shareholders, any vacancies on our board of directors may be filled by the affirmative vote of a majority of the directors present and voting at the meeting of our board or by a majority of the holders of our ordinary shares (or, prior to our initial business combination, holders of our founder shares).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Our officers are elected by the board of directors and serve at the discretion of the board of directors, rather than for specific terms of office. Our board of directors is authorized to appoint persons to the offices set forth in our amended and restated memorandum and articles of association as it deems appropriate. Our amended and restated memorandum and articles of association will provide that our officers may consist of a Chairman, a Chief Executive Officer, a President, a Chief Operating Officer, a Chief Financial Officer, Vice Presidents, a Secretary, Assistant Secretaries, a Treasurer and such other offices as may be determined by the board of directors.</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Director Independence</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Nasdaq listing standards require that a majority of our board of directors be independent within one year of our initial public offering.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of directors has determined that Orrin Devinsky, Richard Goldman and Kenneth Landis are independent directors as defined in the Nasdaq listing standards and applicable SEC rules. Our independent directors will have regularly scheduled meetings at which only independent directors are present. </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Officer and Director Compensation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None of our officers or directors have received or, prior to our initial business combination, will receive any cash compensation for services rendered to us. We will pay our sponsor up to $20,000 per month for office space, administrative and support services. Our sponsor, officers and directors, or any of their respective affiliates, will be reimbursed for any out-of-pocket expenses incurred in connection with activities on our behalf such as identifying potential target businesses and performing due diligence on suitable business combinations. In connection with closing of this offering, our sponsor intends to grant sponsor LLC equity interests to our independent director nominees that collectively comprise approximately 1% of the outstanding equity interests in our sponsor. Our audit committee will review on a quarterly basis all payments that were made to our sponsor, officers, directors or our or any of their affiliates. </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After the completion of our initial business combination, directors or members of our management team who remain with us may be paid consulting, management or other compensation from the combined company. All compensation will be fully disclosed to shareholders, to the extent then known, in the tender offer materials or proxy solicitation materials furnished to our shareholders in connection with a proposed business combination. It is unlikely the amount of such compensation will be known at the time, because the directors of the post-combination business will be responsible for determining executive officer and director compensation. Any compensation to be paid to our officers after the completion of our initial business combination will be determined by a compensation committee constituted solely by independent directors.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are not party to any agreements with our executive officers and directors that provide for benefits upon termination of employment. The existence or terms of any such employment or consulting arrangements may influence our managements motivation in identifying or selecting a target business, and we do not believe that the ability of our management to remain with us after the completion of our initial business combination should be a determining factor in our decision to proceed with any potential business combination.</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113</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Committees of the Board of Directors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Pursuant to Nasdaq listing rules we will establish three standing committees - an audit committee in compliance with Section 3(a)(58)(A) of the Exchange Act, a compensation committee and a nominating committee, each comprised of independent directors. Under Nasdaq listing rule 5615(b)(1), a company listing in connection with its initial public offering is permitted to phase in its compliance with the independent committee requirements. We do not intend to rely on the phase-in schedules set forth in Nasdaq listing rule 5615(b)(1).</w:t>
      </w:r>
    </w:p>
    <w:p>
      <w:pPr>
        <w:pStyle w:val="TextBody"/>
        <w:spacing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Audit Committee</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Upon the effectiveness of the registration statement of which this prospectus forms a part, we will establish an audit committee of the board of directors. The members of our audit committee will be Orrin Devinsky, Richard Goldman and Kenneth Landis. Kenneth Landis will serve as chairman of the audit committee. </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Each member of the audit committee is financially literate and our board of directors has determined that Kenneth Landis qualifies as an audit committee financial expert as defined in applicable SEC rules and has accounting or related financial management expertise. </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will adopt an audit committee charter, which will detail the purpose and principal functions of the audit committee, including:</w:t>
      </w:r>
    </w:p>
    <w:tbl>
      <w:tblPr>
        <w:tblW w:w="5000" w:type="pct"/>
        <w:jc w:val="left"/>
        <w:tblInd w:w="0" w:type="dxa"/>
        <w:tblCellMar>
          <w:top w:w="0" w:type="dxa"/>
          <w:left w:w="0" w:type="dxa"/>
          <w:bottom w:w="0" w:type="dxa"/>
          <w:right w:w="0" w:type="dxa"/>
        </w:tblCellMar>
      </w:tblPr>
      <w:tblGrid>
        <w:gridCol w:w="213"/>
        <w:gridCol w:w="244"/>
        <w:gridCol w:w="9748"/>
      </w:tblGrid>
      <w:tr>
        <w:trPr/>
        <w:tc>
          <w:tcPr>
            <w:tcW w:w="213"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jc w:val="left"/>
              <w:rPr>
                <w:color w:val="000000"/>
              </w:rPr>
            </w:pPr>
            <w:r>
              <w:rPr>
                <w:color w:val="000000"/>
              </w:rPr>
              <w:t>•</w:t>
            </w:r>
          </w:p>
        </w:tc>
        <w:tc>
          <w:tcPr>
            <w:tcW w:w="9748"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assisting board oversight of (1) the integrity of our financial statements, (2) our compliance with legal and regulatory requirements, (3) our independent auditor’s qualifications and independence and (4) the performance of our internal audit function and independent auditors;</w:t>
            </w:r>
          </w:p>
        </w:tc>
      </w:tr>
    </w:tbl>
    <w:tbl>
      <w:tblPr>
        <w:tblW w:w="5000" w:type="pct"/>
        <w:jc w:val="left"/>
        <w:tblInd w:w="0" w:type="dxa"/>
        <w:tblCellMar>
          <w:top w:w="0" w:type="dxa"/>
          <w:left w:w="0" w:type="dxa"/>
          <w:bottom w:w="0" w:type="dxa"/>
          <w:right w:w="0" w:type="dxa"/>
        </w:tblCellMar>
      </w:tblPr>
      <w:tblGrid>
        <w:gridCol w:w="300"/>
        <w:gridCol w:w="310"/>
        <w:gridCol w:w="9595"/>
      </w:tblGrid>
      <w:tr>
        <w:trPr/>
        <w:tc>
          <w:tcPr>
            <w:tcW w:w="30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jc w:val="left"/>
              <w:rPr>
                <w:color w:val="000000"/>
              </w:rPr>
            </w:pPr>
            <w:r>
              <w:rPr>
                <w:color w:val="000000"/>
              </w:rPr>
              <w:t>•</w:t>
            </w:r>
          </w:p>
        </w:tc>
        <w:tc>
          <w:tcPr>
            <w:tcW w:w="9595"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the appointment, compensation, retention, replacement and oversight of the work of the independent auditors and any other independent registered public accounting firm engaged by us;</w:t>
            </w:r>
          </w:p>
        </w:tc>
      </w:tr>
    </w:tbl>
    <w:tbl>
      <w:tblPr>
        <w:tblW w:w="5000" w:type="pct"/>
        <w:jc w:val="left"/>
        <w:tblInd w:w="0" w:type="dxa"/>
        <w:tblCellMar>
          <w:top w:w="0" w:type="dxa"/>
          <w:left w:w="0" w:type="dxa"/>
          <w:bottom w:w="0" w:type="dxa"/>
          <w:right w:w="0" w:type="dxa"/>
        </w:tblCellMar>
      </w:tblPr>
      <w:tblGrid>
        <w:gridCol w:w="272"/>
        <w:gridCol w:w="289"/>
        <w:gridCol w:w="9644"/>
      </w:tblGrid>
      <w:tr>
        <w:trPr/>
        <w:tc>
          <w:tcPr>
            <w:tcW w:w="272"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jc w:val="left"/>
              <w:rPr>
                <w:color w:val="000000"/>
              </w:rPr>
            </w:pPr>
            <w:r>
              <w:rPr>
                <w:color w:val="000000"/>
              </w:rPr>
              <w:t>•</w:t>
            </w:r>
          </w:p>
        </w:tc>
        <w:tc>
          <w:tcPr>
            <w:tcW w:w="9644"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pre-approving all audit and non-audit services to be provided by the independent auditors or any other registered public accounting firm engaged by us and establishing pre-approval policies and procedures;</w:t>
            </w:r>
          </w:p>
        </w:tc>
      </w:tr>
    </w:tbl>
    <w:tbl>
      <w:tblPr>
        <w:tblW w:w="5000" w:type="pct"/>
        <w:jc w:val="left"/>
        <w:tblInd w:w="0" w:type="dxa"/>
        <w:tblCellMar>
          <w:top w:w="0" w:type="dxa"/>
          <w:left w:w="0" w:type="dxa"/>
          <w:bottom w:w="0" w:type="dxa"/>
          <w:right w:w="0" w:type="dxa"/>
        </w:tblCellMar>
      </w:tblPr>
      <w:tblGrid>
        <w:gridCol w:w="370"/>
        <w:gridCol w:w="364"/>
        <w:gridCol w:w="9471"/>
      </w:tblGrid>
      <w:tr>
        <w:trPr/>
        <w:tc>
          <w:tcPr>
            <w:tcW w:w="370"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jc w:val="left"/>
              <w:rPr>
                <w:color w:val="000000"/>
              </w:rPr>
            </w:pPr>
            <w:r>
              <w:rPr>
                <w:color w:val="000000"/>
              </w:rPr>
              <w:t>•</w:t>
            </w:r>
          </w:p>
        </w:tc>
        <w:tc>
          <w:tcPr>
            <w:tcW w:w="9471"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reviewing and discussing with the independent auditors all relationships the auditors have with us in order to evaluate their continued independence;</w:t>
            </w:r>
          </w:p>
        </w:tc>
      </w:tr>
    </w:tbl>
    <w:tbl>
      <w:tblPr>
        <w:tblW w:w="5000" w:type="pct"/>
        <w:jc w:val="left"/>
        <w:tblInd w:w="0" w:type="dxa"/>
        <w:tblCellMar>
          <w:top w:w="0" w:type="dxa"/>
          <w:left w:w="0" w:type="dxa"/>
          <w:bottom w:w="0" w:type="dxa"/>
          <w:right w:w="0" w:type="dxa"/>
        </w:tblCellMar>
      </w:tblPr>
      <w:tblGrid>
        <w:gridCol w:w="572"/>
        <w:gridCol w:w="551"/>
        <w:gridCol w:w="9082"/>
      </w:tblGrid>
      <w:tr>
        <w:trPr/>
        <w:tc>
          <w:tcPr>
            <w:tcW w:w="572"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jc w:val="left"/>
              <w:rPr>
                <w:color w:val="000000"/>
              </w:rPr>
            </w:pPr>
            <w:r>
              <w:rPr>
                <w:color w:val="000000"/>
              </w:rPr>
              <w:t>•</w:t>
            </w:r>
          </w:p>
        </w:tc>
        <w:tc>
          <w:tcPr>
            <w:tcW w:w="9082"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setting clear hiring policies for employees or former employees of the independent auditors;</w:t>
            </w:r>
          </w:p>
        </w:tc>
      </w:tr>
    </w:tbl>
    <w:tbl>
      <w:tblPr>
        <w:tblW w:w="5000" w:type="pct"/>
        <w:jc w:val="left"/>
        <w:tblInd w:w="0" w:type="dxa"/>
        <w:tblCellMar>
          <w:top w:w="0" w:type="dxa"/>
          <w:left w:w="0" w:type="dxa"/>
          <w:bottom w:w="0" w:type="dxa"/>
          <w:right w:w="0" w:type="dxa"/>
        </w:tblCellMar>
      </w:tblPr>
      <w:tblGrid>
        <w:gridCol w:w="543"/>
        <w:gridCol w:w="522"/>
        <w:gridCol w:w="9140"/>
      </w:tblGrid>
      <w:tr>
        <w:trPr/>
        <w:tc>
          <w:tcPr>
            <w:tcW w:w="543"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jc w:val="left"/>
              <w:rPr>
                <w:color w:val="000000"/>
              </w:rPr>
            </w:pPr>
            <w:r>
              <w:rPr>
                <w:color w:val="000000"/>
              </w:rPr>
              <w:t>•</w:t>
            </w:r>
          </w:p>
        </w:tc>
        <w:tc>
          <w:tcPr>
            <w:tcW w:w="9140"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setting clear policies for audit partner rotation in compliance with applicable laws and regulations;</w:t>
            </w:r>
          </w:p>
        </w:tc>
      </w:tr>
    </w:tbl>
    <w:tbl>
      <w:tblPr>
        <w:tblW w:w="5000" w:type="pct"/>
        <w:jc w:val="left"/>
        <w:tblInd w:w="0" w:type="dxa"/>
        <w:tblCellMar>
          <w:top w:w="0" w:type="dxa"/>
          <w:left w:w="0" w:type="dxa"/>
          <w:bottom w:w="0" w:type="dxa"/>
          <w:right w:w="0" w:type="dxa"/>
        </w:tblCellMar>
      </w:tblPr>
      <w:tblGrid>
        <w:gridCol w:w="133"/>
        <w:gridCol w:w="183"/>
        <w:gridCol w:w="9889"/>
      </w:tblGrid>
      <w:tr>
        <w:trPr/>
        <w:tc>
          <w:tcPr>
            <w:tcW w:w="133"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jc w:val="left"/>
              <w:rPr>
                <w:color w:val="000000"/>
              </w:rPr>
            </w:pPr>
            <w:r>
              <w:rPr>
                <w:color w:val="000000"/>
              </w:rPr>
              <w:t>•</w:t>
            </w:r>
          </w:p>
        </w:tc>
        <w:tc>
          <w:tcPr>
            <w:tcW w:w="9889"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 xml:space="preserve">obtaining and reviewing a report, at least annually, from the independent auditors describing (1) the independent auditor’s internal quality-control procedures and (2)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 </w:t>
            </w:r>
          </w:p>
        </w:tc>
      </w:tr>
    </w:tbl>
    <w:tbl>
      <w:tblPr>
        <w:tblW w:w="5000" w:type="pct"/>
        <w:jc w:val="left"/>
        <w:tblInd w:w="0" w:type="dxa"/>
        <w:tblCellMar>
          <w:top w:w="0" w:type="dxa"/>
          <w:left w:w="0" w:type="dxa"/>
          <w:bottom w:w="0" w:type="dxa"/>
          <w:right w:w="0" w:type="dxa"/>
        </w:tblCellMar>
      </w:tblPr>
      <w:tblGrid>
        <w:gridCol w:w="199"/>
        <w:gridCol w:w="233"/>
        <w:gridCol w:w="9773"/>
      </w:tblGrid>
      <w:tr>
        <w:trPr/>
        <w:tc>
          <w:tcPr>
            <w:tcW w:w="19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jc w:val="left"/>
              <w:rPr>
                <w:color w:val="000000"/>
              </w:rPr>
            </w:pPr>
            <w:r>
              <w:rPr>
                <w:color w:val="000000"/>
              </w:rPr>
              <w:t>•</w:t>
            </w:r>
          </w:p>
        </w:tc>
        <w:tc>
          <w:tcPr>
            <w:tcW w:w="9773"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meeting to review and discuss our annual audited financial statements and quarterly financial statements with management and the independent auditor, including reviewing our specific disclosures under Management’s Discussion and Analysis of Financial Condition and Results of Operations;</w:t>
            </w:r>
          </w:p>
        </w:tc>
      </w:tr>
    </w:tbl>
    <w:tbl>
      <w:tblPr>
        <w:tblW w:w="5000" w:type="pct"/>
        <w:jc w:val="left"/>
        <w:tblInd w:w="0" w:type="dxa"/>
        <w:tblCellMar>
          <w:top w:w="0" w:type="dxa"/>
          <w:left w:w="0" w:type="dxa"/>
          <w:bottom w:w="0" w:type="dxa"/>
          <w:right w:w="0" w:type="dxa"/>
        </w:tblCellMar>
      </w:tblPr>
      <w:tblGrid>
        <w:gridCol w:w="295"/>
        <w:gridCol w:w="307"/>
        <w:gridCol w:w="9603"/>
      </w:tblGrid>
      <w:tr>
        <w:trPr/>
        <w:tc>
          <w:tcPr>
            <w:tcW w:w="295"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jc w:val="left"/>
              <w:rPr>
                <w:color w:val="000000"/>
              </w:rPr>
            </w:pPr>
            <w:r>
              <w:rPr>
                <w:color w:val="000000"/>
              </w:rPr>
              <w:t>•</w:t>
            </w:r>
          </w:p>
        </w:tc>
        <w:tc>
          <w:tcPr>
            <w:tcW w:w="9603"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reviewing and approving any related party transaction required to be disclosed pursuant to Item 404 of Regulation S-K promulgated by the SEC prior to us entering into such transaction; and</w:t>
            </w:r>
          </w:p>
        </w:tc>
      </w:tr>
    </w:tbl>
    <w:tbl>
      <w:tblPr>
        <w:tblW w:w="5000" w:type="pct"/>
        <w:jc w:val="left"/>
        <w:tblInd w:w="0" w:type="dxa"/>
        <w:tblCellMar>
          <w:top w:w="0" w:type="dxa"/>
          <w:left w:w="0" w:type="dxa"/>
          <w:bottom w:w="0" w:type="dxa"/>
          <w:right w:w="0" w:type="dxa"/>
        </w:tblCellMar>
      </w:tblPr>
      <w:tblGrid>
        <w:gridCol w:w="132"/>
        <w:gridCol w:w="182"/>
        <w:gridCol w:w="9891"/>
      </w:tblGrid>
      <w:tr>
        <w:trPr/>
        <w:tc>
          <w:tcPr>
            <w:tcW w:w="13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jc w:val="left"/>
              <w:rPr>
                <w:color w:val="000000"/>
              </w:rPr>
            </w:pPr>
            <w:r>
              <w:rPr>
                <w:color w:val="000000"/>
              </w:rPr>
              <w:t>•</w:t>
            </w:r>
          </w:p>
        </w:tc>
        <w:tc>
          <w:tcPr>
            <w:tcW w:w="9891"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reviewing with management, the independent auditors,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tc>
      </w:tr>
    </w:tbl>
    <w:p>
      <w:pPr>
        <w:pStyle w:val="TextBody"/>
        <w:spacing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Compensation Committee</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Upon the effectiveness of the registration statement of which this prospectus forms a part, we will establish a compensation committee of the board of directors. The members of our Compensation Committee will be Orrin Devinsky, Richard Goldman and Kenneth Landis. Richard Goldman will serve as chairman of the compensation </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114</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committee. We will adopt a compensation committee charter, which will detail the purpose and responsibility of the compensation committee, including: </w:t>
      </w:r>
    </w:p>
    <w:tbl>
      <w:tblPr>
        <w:tblW w:w="5000" w:type="pct"/>
        <w:jc w:val="left"/>
        <w:tblInd w:w="0" w:type="dxa"/>
        <w:tblCellMar>
          <w:top w:w="0" w:type="dxa"/>
          <w:left w:w="0" w:type="dxa"/>
          <w:bottom w:w="0" w:type="dxa"/>
          <w:right w:w="0" w:type="dxa"/>
        </w:tblCellMar>
      </w:tblPr>
      <w:tblGrid>
        <w:gridCol w:w="178"/>
        <w:gridCol w:w="217"/>
        <w:gridCol w:w="9810"/>
      </w:tblGrid>
      <w:tr>
        <w:trPr/>
        <w:tc>
          <w:tcPr>
            <w:tcW w:w="178"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jc w:val="left"/>
              <w:rPr>
                <w:color w:val="000000"/>
              </w:rPr>
            </w:pPr>
            <w:r>
              <w:rPr>
                <w:color w:val="000000"/>
              </w:rPr>
              <w:t>•</w:t>
            </w:r>
          </w:p>
        </w:tc>
        <w:tc>
          <w:tcPr>
            <w:tcW w:w="9810"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tc>
      </w:tr>
    </w:tbl>
    <w:tbl>
      <w:tblPr>
        <w:tblW w:w="5000" w:type="pct"/>
        <w:jc w:val="left"/>
        <w:tblInd w:w="0" w:type="dxa"/>
        <w:tblCellMar>
          <w:top w:w="0" w:type="dxa"/>
          <w:left w:w="0" w:type="dxa"/>
          <w:bottom w:w="0" w:type="dxa"/>
          <w:right w:w="0" w:type="dxa"/>
        </w:tblCellMar>
      </w:tblPr>
      <w:tblGrid>
        <w:gridCol w:w="254"/>
        <w:gridCol w:w="276"/>
        <w:gridCol w:w="9675"/>
      </w:tblGrid>
      <w:tr>
        <w:trPr/>
        <w:tc>
          <w:tcPr>
            <w:tcW w:w="254"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jc w:val="left"/>
              <w:rPr>
                <w:color w:val="000000"/>
              </w:rPr>
            </w:pPr>
            <w:r>
              <w:rPr>
                <w:color w:val="000000"/>
              </w:rPr>
              <w:t>•</w:t>
            </w:r>
          </w:p>
        </w:tc>
        <w:tc>
          <w:tcPr>
            <w:tcW w:w="9675"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reviewing and making recommendations to our board of directors with respect to the compensation and any incentive-compensation and equity-based plans that are subject to board approval of all of our other officers;</w:t>
            </w:r>
          </w:p>
        </w:tc>
      </w:tr>
    </w:tbl>
    <w:tbl>
      <w:tblPr>
        <w:tblW w:w="5000" w:type="pct"/>
        <w:jc w:val="left"/>
        <w:tblInd w:w="0" w:type="dxa"/>
        <w:tblCellMar>
          <w:top w:w="0" w:type="dxa"/>
          <w:left w:w="0" w:type="dxa"/>
          <w:bottom w:w="0" w:type="dxa"/>
          <w:right w:w="0" w:type="dxa"/>
        </w:tblCellMar>
      </w:tblPr>
      <w:tblGrid>
        <w:gridCol w:w="854"/>
        <w:gridCol w:w="823"/>
        <w:gridCol w:w="8528"/>
      </w:tblGrid>
      <w:tr>
        <w:trPr/>
        <w:tc>
          <w:tcPr>
            <w:tcW w:w="854" w:type="dxa"/>
            <w:tcBorders/>
            <w:shd w:fill="auto" w:val="clear"/>
            <w:vAlign w:val="center"/>
          </w:tcPr>
          <w:p>
            <w:pPr>
              <w:pStyle w:val="TableContents"/>
              <w:spacing w:before="0" w:after="283"/>
              <w:rPr>
                <w:sz w:val="4"/>
                <w:szCs w:val="4"/>
              </w:rPr>
            </w:pPr>
            <w:r>
              <w:rPr>
                <w:sz w:val="4"/>
                <w:szCs w:val="4"/>
              </w:rPr>
            </w:r>
          </w:p>
        </w:tc>
        <w:tc>
          <w:tcPr>
            <w:tcW w:w="823" w:type="dxa"/>
            <w:tcBorders/>
            <w:shd w:fill="auto" w:val="clear"/>
            <w:vAlign w:val="center"/>
          </w:tcPr>
          <w:p>
            <w:pPr>
              <w:pStyle w:val="TableContents"/>
              <w:spacing w:before="0" w:after="283"/>
              <w:jc w:val="left"/>
              <w:rPr>
                <w:color w:val="000000"/>
              </w:rPr>
            </w:pPr>
            <w:r>
              <w:rPr>
                <w:color w:val="000000"/>
              </w:rPr>
              <w:t>•</w:t>
            </w:r>
          </w:p>
        </w:tc>
        <w:tc>
          <w:tcPr>
            <w:tcW w:w="8528"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reviewing our executive compensation policies and plans;</w:t>
            </w:r>
          </w:p>
        </w:tc>
      </w:tr>
    </w:tbl>
    <w:tbl>
      <w:tblPr>
        <w:tblW w:w="5000" w:type="pct"/>
        <w:jc w:val="left"/>
        <w:tblInd w:w="0" w:type="dxa"/>
        <w:tblCellMar>
          <w:top w:w="0" w:type="dxa"/>
          <w:left w:w="0" w:type="dxa"/>
          <w:bottom w:w="0" w:type="dxa"/>
          <w:right w:w="0" w:type="dxa"/>
        </w:tblCellMar>
      </w:tblPr>
      <w:tblGrid>
        <w:gridCol w:w="555"/>
        <w:gridCol w:w="534"/>
        <w:gridCol w:w="9116"/>
      </w:tblGrid>
      <w:tr>
        <w:trPr/>
        <w:tc>
          <w:tcPr>
            <w:tcW w:w="555"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jc w:val="left"/>
              <w:rPr>
                <w:color w:val="000000"/>
              </w:rPr>
            </w:pPr>
            <w:r>
              <w:rPr>
                <w:color w:val="000000"/>
              </w:rPr>
              <w:t>•</w:t>
            </w:r>
          </w:p>
        </w:tc>
        <w:tc>
          <w:tcPr>
            <w:tcW w:w="9116"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 xml:space="preserve">implementing and administering our incentive compensation equity-based remuneration plans; </w:t>
            </w:r>
          </w:p>
        </w:tc>
      </w:tr>
    </w:tbl>
    <w:tbl>
      <w:tblPr>
        <w:tblW w:w="5000" w:type="pct"/>
        <w:jc w:val="left"/>
        <w:tblInd w:w="0" w:type="dxa"/>
        <w:tblCellMar>
          <w:top w:w="0" w:type="dxa"/>
          <w:left w:w="0" w:type="dxa"/>
          <w:bottom w:w="0" w:type="dxa"/>
          <w:right w:w="0" w:type="dxa"/>
        </w:tblCellMar>
      </w:tblPr>
      <w:tblGrid>
        <w:gridCol w:w="510"/>
        <w:gridCol w:w="492"/>
        <w:gridCol w:w="9203"/>
      </w:tblGrid>
      <w:tr>
        <w:trPr/>
        <w:tc>
          <w:tcPr>
            <w:tcW w:w="510"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jc w:val="left"/>
              <w:rPr>
                <w:color w:val="000000"/>
              </w:rPr>
            </w:pPr>
            <w:r>
              <w:rPr>
                <w:color w:val="000000"/>
              </w:rPr>
              <w:t>•</w:t>
            </w:r>
          </w:p>
        </w:tc>
        <w:tc>
          <w:tcPr>
            <w:tcW w:w="9203"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assisting management in complying with our proxy statement and annual report disclosure requirements;</w:t>
            </w:r>
          </w:p>
        </w:tc>
      </w:tr>
    </w:tbl>
    <w:tbl>
      <w:tblPr>
        <w:tblW w:w="5000" w:type="pct"/>
        <w:jc w:val="left"/>
        <w:tblInd w:w="0" w:type="dxa"/>
        <w:tblCellMar>
          <w:top w:w="0" w:type="dxa"/>
          <w:left w:w="0" w:type="dxa"/>
          <w:bottom w:w="0" w:type="dxa"/>
          <w:right w:w="0" w:type="dxa"/>
        </w:tblCellMar>
      </w:tblPr>
      <w:tblGrid>
        <w:gridCol w:w="377"/>
        <w:gridCol w:w="369"/>
        <w:gridCol w:w="9459"/>
      </w:tblGrid>
      <w:tr>
        <w:trPr/>
        <w:tc>
          <w:tcPr>
            <w:tcW w:w="377"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jc w:val="left"/>
              <w:rPr>
                <w:color w:val="000000"/>
              </w:rPr>
            </w:pPr>
            <w:r>
              <w:rPr>
                <w:color w:val="000000"/>
              </w:rPr>
              <w:t>•</w:t>
            </w:r>
          </w:p>
        </w:tc>
        <w:tc>
          <w:tcPr>
            <w:tcW w:w="9459"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approving all special perquisites, special cash payments and other special compensation and benefit arrangements for our officers and employees;</w:t>
            </w:r>
          </w:p>
        </w:tc>
      </w:tr>
    </w:tbl>
    <w:tbl>
      <w:tblPr>
        <w:tblW w:w="5000" w:type="pct"/>
        <w:jc w:val="left"/>
        <w:tblInd w:w="0" w:type="dxa"/>
        <w:tblCellMar>
          <w:top w:w="0" w:type="dxa"/>
          <w:left w:w="0" w:type="dxa"/>
          <w:bottom w:w="0" w:type="dxa"/>
          <w:right w:w="0" w:type="dxa"/>
        </w:tblCellMar>
      </w:tblPr>
      <w:tblGrid>
        <w:gridCol w:w="545"/>
        <w:gridCol w:w="525"/>
        <w:gridCol w:w="9135"/>
      </w:tblGrid>
      <w:tr>
        <w:trPr/>
        <w:tc>
          <w:tcPr>
            <w:tcW w:w="545"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jc w:val="left"/>
              <w:rPr>
                <w:color w:val="000000"/>
              </w:rPr>
            </w:pPr>
            <w:r>
              <w:rPr>
                <w:color w:val="000000"/>
              </w:rPr>
              <w:t>•</w:t>
            </w:r>
          </w:p>
        </w:tc>
        <w:tc>
          <w:tcPr>
            <w:tcW w:w="9135"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producing a report on executive compensation to be included in our annual proxy statement; and</w:t>
            </w:r>
          </w:p>
        </w:tc>
      </w:tr>
    </w:tbl>
    <w:tbl>
      <w:tblPr>
        <w:tblW w:w="5000" w:type="pct"/>
        <w:jc w:val="left"/>
        <w:tblInd w:w="0" w:type="dxa"/>
        <w:tblCellMar>
          <w:top w:w="0" w:type="dxa"/>
          <w:left w:w="0" w:type="dxa"/>
          <w:bottom w:w="0" w:type="dxa"/>
          <w:right w:w="0" w:type="dxa"/>
        </w:tblCellMar>
      </w:tblPr>
      <w:tblGrid>
        <w:gridCol w:w="532"/>
        <w:gridCol w:w="513"/>
        <w:gridCol w:w="9160"/>
      </w:tblGrid>
      <w:tr>
        <w:trPr/>
        <w:tc>
          <w:tcPr>
            <w:tcW w:w="532"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jc w:val="left"/>
              <w:rPr>
                <w:color w:val="000000"/>
              </w:rPr>
            </w:pPr>
            <w:r>
              <w:rPr>
                <w:color w:val="000000"/>
              </w:rPr>
              <w:t>•</w:t>
            </w:r>
          </w:p>
        </w:tc>
        <w:tc>
          <w:tcPr>
            <w:tcW w:w="9160"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reviewing, evaluating and recommending changes, if appropriate, to the remuneration for directors.</w:t>
            </w:r>
          </w:p>
        </w:tc>
      </w:tr>
    </w:tbl>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charter will also provide that the compensation committee may, in its sole discretion, retain or obtain the advice of a compensation consultant, independent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pStyle w:val="TextBody"/>
        <w:spacing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Nominating Committee</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Upon the effectiveness of the registration statement of which this prospectus forms a part, we will establish a nominating committee of the board of directors. The members of our nominating committee will be Orrin Devinsky, Richard Goldman and Kenneth Landis. Orrin Devinsky will serve as chair of the nominating committee. We will adopt a nominating committee charter, which will detail the purpose and responsibilities of the nominating committee, including: </w:t>
      </w:r>
    </w:p>
    <w:tbl>
      <w:tblPr>
        <w:tblW w:w="5000" w:type="pct"/>
        <w:jc w:val="left"/>
        <w:tblInd w:w="0" w:type="dxa"/>
        <w:tblCellMar>
          <w:top w:w="0" w:type="dxa"/>
          <w:left w:w="0" w:type="dxa"/>
          <w:bottom w:w="0" w:type="dxa"/>
          <w:right w:w="0" w:type="dxa"/>
        </w:tblCellMar>
      </w:tblPr>
      <w:tblGrid>
        <w:gridCol w:w="202"/>
        <w:gridCol w:w="236"/>
        <w:gridCol w:w="9767"/>
      </w:tblGrid>
      <w:tr>
        <w:trPr/>
        <w:tc>
          <w:tcPr>
            <w:tcW w:w="202"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jc w:val="left"/>
              <w:rPr>
                <w:color w:val="000000"/>
              </w:rPr>
            </w:pPr>
            <w:r>
              <w:rPr>
                <w:color w:val="000000"/>
              </w:rPr>
              <w:t>•</w:t>
            </w:r>
          </w:p>
        </w:tc>
        <w:tc>
          <w:tcPr>
            <w:tcW w:w="9767"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identifying, screening and reviewing individuals qualified to serve as directors, consistent with criteria approved by the board, and recommending to the board of directors candidates for nomination for election at the annual meeting of shareholders or to fill vacancies on the board of directors;</w:t>
            </w:r>
          </w:p>
        </w:tc>
      </w:tr>
    </w:tbl>
    <w:tbl>
      <w:tblPr>
        <w:tblW w:w="5000" w:type="pct"/>
        <w:jc w:val="left"/>
        <w:tblInd w:w="0" w:type="dxa"/>
        <w:tblCellMar>
          <w:top w:w="0" w:type="dxa"/>
          <w:left w:w="0" w:type="dxa"/>
          <w:bottom w:w="0" w:type="dxa"/>
          <w:right w:w="0" w:type="dxa"/>
        </w:tblCellMar>
      </w:tblPr>
      <w:tblGrid>
        <w:gridCol w:w="422"/>
        <w:gridCol w:w="407"/>
        <w:gridCol w:w="9376"/>
      </w:tblGrid>
      <w:tr>
        <w:trPr/>
        <w:tc>
          <w:tcPr>
            <w:tcW w:w="422"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jc w:val="left"/>
              <w:rPr>
                <w:color w:val="000000"/>
              </w:rPr>
            </w:pPr>
            <w:r>
              <w:rPr>
                <w:color w:val="000000"/>
              </w:rPr>
              <w:t>•</w:t>
            </w:r>
          </w:p>
        </w:tc>
        <w:tc>
          <w:tcPr>
            <w:tcW w:w="9376"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developing and recommending to the board of directors and overseeing implementation of our corporate governance guidelines;</w:t>
            </w:r>
          </w:p>
        </w:tc>
      </w:tr>
    </w:tbl>
    <w:tbl>
      <w:tblPr>
        <w:tblW w:w="5000" w:type="pct"/>
        <w:jc w:val="left"/>
        <w:tblInd w:w="0" w:type="dxa"/>
        <w:tblCellMar>
          <w:top w:w="0" w:type="dxa"/>
          <w:left w:w="0" w:type="dxa"/>
          <w:bottom w:w="0" w:type="dxa"/>
          <w:right w:w="0" w:type="dxa"/>
        </w:tblCellMar>
      </w:tblPr>
      <w:tblGrid>
        <w:gridCol w:w="319"/>
        <w:gridCol w:w="325"/>
        <w:gridCol w:w="9561"/>
      </w:tblGrid>
      <w:tr>
        <w:trPr/>
        <w:tc>
          <w:tcPr>
            <w:tcW w:w="319"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jc w:val="left"/>
              <w:rPr>
                <w:color w:val="000000"/>
              </w:rPr>
            </w:pPr>
            <w:r>
              <w:rPr>
                <w:color w:val="000000"/>
              </w:rPr>
              <w:t>•</w:t>
            </w:r>
          </w:p>
        </w:tc>
        <w:tc>
          <w:tcPr>
            <w:tcW w:w="9561"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coordinating and overseeing the annual self-evaluation of the board of directors, its committees, individual directors and management in the governance of the company; and</w:t>
            </w:r>
          </w:p>
        </w:tc>
      </w:tr>
    </w:tbl>
    <w:tbl>
      <w:tblPr>
        <w:tblW w:w="5000" w:type="pct"/>
        <w:jc w:val="left"/>
        <w:tblInd w:w="0" w:type="dxa"/>
        <w:tblCellMar>
          <w:top w:w="0" w:type="dxa"/>
          <w:left w:w="0" w:type="dxa"/>
          <w:bottom w:w="0" w:type="dxa"/>
          <w:right w:w="0" w:type="dxa"/>
        </w:tblCellMar>
      </w:tblPr>
      <w:tblGrid>
        <w:gridCol w:w="447"/>
        <w:gridCol w:w="431"/>
        <w:gridCol w:w="9327"/>
      </w:tblGrid>
      <w:tr>
        <w:trPr/>
        <w:tc>
          <w:tcPr>
            <w:tcW w:w="447"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jc w:val="left"/>
              <w:rPr>
                <w:color w:val="000000"/>
              </w:rPr>
            </w:pPr>
            <w:r>
              <w:rPr>
                <w:color w:val="000000"/>
              </w:rPr>
              <w:t>•</w:t>
            </w:r>
          </w:p>
        </w:tc>
        <w:tc>
          <w:tcPr>
            <w:tcW w:w="9327"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reviewing on a regular basis our overall corporate governance and recommending improvements as and when necessary.</w:t>
            </w:r>
          </w:p>
        </w:tc>
      </w:tr>
    </w:tbl>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charter will also provide that the nominating committee may, in their sole discretion, retain or obtain the advice of, and terminate, any search firm to be used to identify director candidates, and will be directly responsible for approving the search firms fees and other retention terms.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shareholders.</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115</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Compensation Committee Interlocks and Insider Participation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None of our officers currently serves, and in the past year has not served, as a member of the board of directors or compensation committee of any entity that has one or more officers serving on our board of directors.</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Code of Ethics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Prior to the effectiveness of the registration statement of which this prospectus is a part, we will have adopted a code of ethics applicable to our directors, officers and employees (our Code of Ethics). Our Code of Ethics will be available on our website upon the completion of this offering. Our Code of Ethics is a code of ethics, as defined in Item 406(b) of Regulation S-K. We will make any legally required disclosures regarding amendments to, or waivers of, provisions of our Code of Ethics on our website.</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Conflicts of Interest</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All of our executive officers and certain of our directors have or may have fiduciary and contractual duties to certain companies in which they have invested. These entities may compete with us for acquisition opportunities. If these entities decide to pursue any such opportunity, we may be precluded from pursuing it. However, we do not expect these duties to present a significant conflict of interest with our search for an initial business combination.</w:t>
      </w:r>
    </w:p>
    <w:p>
      <w:pPr>
        <w:pStyle w:val="TextBody"/>
        <w:spacing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Under Cayman Islands law, directors and officers owe the following fiduciary duties:</w:t>
      </w:r>
    </w:p>
    <w:tbl>
      <w:tblPr>
        <w:tblW w:w="5000" w:type="pct"/>
        <w:jc w:val="left"/>
        <w:tblInd w:w="0" w:type="dxa"/>
        <w:tblCellMar>
          <w:top w:w="0" w:type="dxa"/>
          <w:left w:w="0" w:type="dxa"/>
          <w:bottom w:w="0" w:type="dxa"/>
          <w:right w:w="0" w:type="dxa"/>
        </w:tblCellMar>
      </w:tblPr>
      <w:tblGrid>
        <w:gridCol w:w="464"/>
        <w:gridCol w:w="447"/>
        <w:gridCol w:w="9294"/>
      </w:tblGrid>
      <w:tr>
        <w:trPr/>
        <w:tc>
          <w:tcPr>
            <w:tcW w:w="464"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jc w:val="left"/>
              <w:rPr>
                <w:color w:val="000000"/>
              </w:rPr>
            </w:pPr>
            <w:r>
              <w:rPr>
                <w:color w:val="000000"/>
              </w:rPr>
              <w:t>•</w:t>
            </w:r>
          </w:p>
        </w:tc>
        <w:tc>
          <w:tcPr>
            <w:tcW w:w="9294"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duty to act in good faith in what the director or officer believes to be in the best interests of the company as a whole;</w:t>
            </w:r>
          </w:p>
        </w:tc>
      </w:tr>
    </w:tbl>
    <w:tbl>
      <w:tblPr>
        <w:tblW w:w="5000" w:type="pct"/>
        <w:jc w:val="left"/>
        <w:tblInd w:w="0" w:type="dxa"/>
        <w:tblCellMar>
          <w:top w:w="0" w:type="dxa"/>
          <w:left w:w="0" w:type="dxa"/>
          <w:bottom w:w="0" w:type="dxa"/>
          <w:right w:w="0" w:type="dxa"/>
        </w:tblCellMar>
      </w:tblPr>
      <w:tblGrid>
        <w:gridCol w:w="754"/>
        <w:gridCol w:w="726"/>
        <w:gridCol w:w="8725"/>
      </w:tblGrid>
      <w:tr>
        <w:trPr/>
        <w:tc>
          <w:tcPr>
            <w:tcW w:w="754"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jc w:val="left"/>
              <w:rPr>
                <w:color w:val="000000"/>
              </w:rPr>
            </w:pPr>
            <w:r>
              <w:rPr>
                <w:color w:val="000000"/>
              </w:rPr>
              <w:t>•</w:t>
            </w:r>
          </w:p>
        </w:tc>
        <w:tc>
          <w:tcPr>
            <w:tcW w:w="8725"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duty to exercise authority for the purpose for which it is conferred;</w:t>
            </w:r>
          </w:p>
        </w:tc>
      </w:tr>
    </w:tbl>
    <w:tbl>
      <w:tblPr>
        <w:tblW w:w="5000" w:type="pct"/>
        <w:jc w:val="left"/>
        <w:tblInd w:w="0" w:type="dxa"/>
        <w:tblCellMar>
          <w:top w:w="0" w:type="dxa"/>
          <w:left w:w="0" w:type="dxa"/>
          <w:bottom w:w="0" w:type="dxa"/>
          <w:right w:w="0" w:type="dxa"/>
        </w:tblCellMar>
      </w:tblPr>
      <w:tblGrid>
        <w:gridCol w:w="809"/>
        <w:gridCol w:w="780"/>
        <w:gridCol w:w="8616"/>
      </w:tblGrid>
      <w:tr>
        <w:trPr/>
        <w:tc>
          <w:tcPr>
            <w:tcW w:w="809"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jc w:val="left"/>
              <w:rPr>
                <w:color w:val="000000"/>
              </w:rPr>
            </w:pPr>
            <w:r>
              <w:rPr>
                <w:color w:val="000000"/>
              </w:rPr>
              <w:t>•</w:t>
            </w:r>
          </w:p>
        </w:tc>
        <w:tc>
          <w:tcPr>
            <w:tcW w:w="8616"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duty to not improperly fetter the exercise of future discretion;</w:t>
            </w:r>
          </w:p>
        </w:tc>
      </w:tr>
    </w:tbl>
    <w:tbl>
      <w:tblPr>
        <w:tblW w:w="5000" w:type="pct"/>
        <w:jc w:val="left"/>
        <w:tblInd w:w="0" w:type="dxa"/>
        <w:tblCellMar>
          <w:top w:w="0" w:type="dxa"/>
          <w:left w:w="0" w:type="dxa"/>
          <w:bottom w:w="0" w:type="dxa"/>
          <w:right w:w="0" w:type="dxa"/>
        </w:tblCellMar>
      </w:tblPr>
      <w:tblGrid>
        <w:gridCol w:w="407"/>
        <w:gridCol w:w="393"/>
        <w:gridCol w:w="9405"/>
      </w:tblGrid>
      <w:tr>
        <w:trPr/>
        <w:tc>
          <w:tcPr>
            <w:tcW w:w="407"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jc w:val="left"/>
              <w:rPr>
                <w:color w:val="000000"/>
              </w:rPr>
            </w:pPr>
            <w:r>
              <w:rPr>
                <w:color w:val="000000"/>
              </w:rPr>
              <w:t>•</w:t>
            </w:r>
          </w:p>
        </w:tc>
        <w:tc>
          <w:tcPr>
            <w:tcW w:w="9405"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duty not to put themselves in a position in which there is a conflict between their duty to the company and their personal interests; and</w:t>
            </w:r>
          </w:p>
        </w:tc>
      </w:tr>
    </w:tbl>
    <w:tbl>
      <w:tblPr>
        <w:tblW w:w="5000" w:type="pct"/>
        <w:jc w:val="left"/>
        <w:tblInd w:w="0" w:type="dxa"/>
        <w:tblCellMar>
          <w:top w:w="0" w:type="dxa"/>
          <w:left w:w="0" w:type="dxa"/>
          <w:bottom w:w="0" w:type="dxa"/>
          <w:right w:w="0" w:type="dxa"/>
        </w:tblCellMar>
      </w:tblPr>
      <w:tblGrid>
        <w:gridCol w:w="1156"/>
        <w:gridCol w:w="1113"/>
        <w:gridCol w:w="7936"/>
      </w:tblGrid>
      <w:tr>
        <w:trPr/>
        <w:tc>
          <w:tcPr>
            <w:tcW w:w="1156"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jc w:val="left"/>
              <w:rPr>
                <w:color w:val="000000"/>
              </w:rPr>
            </w:pPr>
            <w:r>
              <w:rPr>
                <w:color w:val="000000"/>
              </w:rPr>
              <w:t>•</w:t>
            </w:r>
          </w:p>
        </w:tc>
        <w:tc>
          <w:tcPr>
            <w:tcW w:w="7936"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duty to exercise independent judgment.</w:t>
            </w:r>
          </w:p>
        </w:tc>
      </w:tr>
    </w:tbl>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In addition to the above,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which that director has.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As set out above, directors have a duty not to put themselves in a position of conflict and this includes a duty not to engage in self-dealing, or to otherwise benefit as a result of their position at the expense of the company. However, in some instances what would otherwise be a breach of this duty can be forgiven and/or authorized in advance by the shareholders; provided that there is full disclosure by the directors. This can be done by way of permission granted in the amended and restated memorandum and articles of association or alternatively by shareholder approval at general meetings.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Certain of our officers and directors presently have, and any of them in the future may have additional, fiduciary or contractual obligations to other entities pursuant to which such officer or director is or will be required to present a business combination opportunity to such entity. Accordingly, if any of our officers or directors becomes aware of a business combination opportunity that is suitable for an entity to which he or she has then-current fiduciary or contractual obligations, he or she may need to honor these fiduciary or contractual obligations to present such business combination opportunity to such entity, subject to their fiduciary duties under Cayman Islands law. We do not believe, however, that the fiduciary duties or contractual obligations of our officers or directors will materially affect our ability to complete our initial business combination.</w:t>
      </w:r>
    </w:p>
    <w:p>
      <w:pPr>
        <w:pStyle w:val="TextBody"/>
        <w:spacing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Potential investors should also be aware of the following potential conflicts of interest:</w:t>
      </w:r>
    </w:p>
    <w:tbl>
      <w:tblPr>
        <w:tblW w:w="5000" w:type="pct"/>
        <w:jc w:val="left"/>
        <w:tblInd w:w="0" w:type="dxa"/>
        <w:tblCellMar>
          <w:top w:w="0" w:type="dxa"/>
          <w:left w:w="0" w:type="dxa"/>
          <w:bottom w:w="0" w:type="dxa"/>
          <w:right w:w="0" w:type="dxa"/>
        </w:tblCellMar>
      </w:tblPr>
      <w:tblGrid>
        <w:gridCol w:w="286"/>
        <w:gridCol w:w="300"/>
        <w:gridCol w:w="9619"/>
      </w:tblGrid>
      <w:tr>
        <w:trPr/>
        <w:tc>
          <w:tcPr>
            <w:tcW w:w="286"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jc w:val="left"/>
              <w:rPr>
                <w:color w:val="000000"/>
              </w:rPr>
            </w:pPr>
            <w:r>
              <w:rPr>
                <w:color w:val="000000"/>
              </w:rPr>
              <w:t>•</w:t>
            </w:r>
          </w:p>
        </w:tc>
        <w:tc>
          <w:tcPr>
            <w:tcW w:w="9619"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None of our officers or directors is required to commit his or her full time to our affairs and, accordingly, may have conflicts of interest in allocating his or her time among various business activities.</w:t>
            </w:r>
          </w:p>
        </w:tc>
      </w:tr>
    </w:tbl>
    <w:tbl>
      <w:tblPr>
        <w:tblW w:w="5000" w:type="pct"/>
        <w:jc w:val="left"/>
        <w:tblInd w:w="0" w:type="dxa"/>
        <w:tblCellMar>
          <w:top w:w="0" w:type="dxa"/>
          <w:left w:w="0" w:type="dxa"/>
          <w:bottom w:w="0" w:type="dxa"/>
          <w:right w:w="0" w:type="dxa"/>
        </w:tblCellMar>
      </w:tblPr>
      <w:tblGrid>
        <w:gridCol w:w="291"/>
        <w:gridCol w:w="304"/>
        <w:gridCol w:w="9610"/>
      </w:tblGrid>
      <w:tr>
        <w:trPr/>
        <w:tc>
          <w:tcPr>
            <w:tcW w:w="291"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jc w:val="left"/>
              <w:rPr>
                <w:color w:val="000000"/>
              </w:rPr>
            </w:pPr>
            <w:r>
              <w:rPr>
                <w:color w:val="000000"/>
              </w:rPr>
              <w:t>•</w:t>
            </w:r>
          </w:p>
        </w:tc>
        <w:tc>
          <w:tcPr>
            <w:tcW w:w="9610"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 xml:space="preserve">In the course of their other business activities, our officers and directors may become aware of investment and business opportunities that may be appropriate for presentation to us as well as the </w:t>
            </w:r>
          </w:p>
        </w:tc>
      </w:tr>
    </w:tbl>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116</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other entities with which they are affiliated. Our management may have conflicts of interest in determining to which entity a particular business opportunity should be presented. For a complete description of our managements other affiliations, see —Directors, Director Nominees and Executive Officers.</w:t>
      </w:r>
    </w:p>
    <w:tbl>
      <w:tblPr>
        <w:tblW w:w="5000" w:type="pct"/>
        <w:jc w:val="left"/>
        <w:tblInd w:w="0" w:type="dxa"/>
        <w:tblCellMar>
          <w:top w:w="0" w:type="dxa"/>
          <w:left w:w="0" w:type="dxa"/>
          <w:bottom w:w="0" w:type="dxa"/>
          <w:right w:w="0" w:type="dxa"/>
        </w:tblCellMar>
      </w:tblPr>
      <w:tblGrid>
        <w:gridCol w:w="54"/>
        <w:gridCol w:w="123"/>
        <w:gridCol w:w="10028"/>
      </w:tblGrid>
      <w:tr>
        <w:trPr/>
        <w:tc>
          <w:tcPr>
            <w:tcW w:w="54"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jc w:val="left"/>
              <w:rPr>
                <w:color w:val="000000"/>
              </w:rPr>
            </w:pPr>
            <w:r>
              <w:rPr>
                <w:color w:val="000000"/>
              </w:rPr>
              <w:t>•</w:t>
            </w:r>
          </w:p>
        </w:tc>
        <w:tc>
          <w:tcPr>
            <w:tcW w:w="10028"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Our initial shareholders have agreed to waive their redemption rights with respect to their founder shares and any public shares held by them in connection with the completion of our initial business combination. Our directors and officers have also entered into the letter agreement, imposing similar obligations on them with respect to public shares acquired by them, if any. Additionally, our initial shareholders have agreed to waive their redemption rights with respect to their founder shares if we fail to consummate our initial business combination within 18 months after the closing of this offering. However, if our initial shareholders or any of our officers, directors or affiliates acquire public shares in or after this offering, they will be entitled to liquidating distributions from the trust account with respect to such public shares if we fail to consummate our initial business combination within the prescribed time frame. If we do not complete our initial business combination within such applicable time period, the proceeds of the sale of the private placement warrants held in the trust account will be used to fund the redemption of our public shares, and the private placement warrants will expire worthless. With certain limited exceptions, the founder shares will not be transferable, assignable or salable by our initial shareholders until the earlier of (1) one year after the completion of our initial business combination and (2) the date on which we consummate a liquidation, merger, amalgamation, share exchange, reorganization, or other similar transaction after our initial business combination that results in all of our shareholders having the right to exchange their ordinary shares for cash, securities or other property. Notwithstanding the foregoing, if the last reported sale price of our Class A ordinary shares equals or exceeds $12.00 per share (as adjusted for share splits, share dividends, rights issuances, subdivisions, reorganizations, recapitalizations and the like) for any 20 trading days within any 30-trading day period commencing at least 150 days after our initial business combination, the founder shares will be released from the lock-up. With certain limited exceptions, the private placement warrants and the Class A ordinary shares underlying such warrants, will not be transferable, assignable or salable by our sponsor until 30 days after the completion of our initial business combination. Since our sponsor and officers and directors may directly or indirectly own ordinary shares and warrants following this offering, our officers and directors may have a conflict of interest in determining whether a particular target business is an appropriate business with which to effectuate our initial business combination.</w:t>
            </w:r>
          </w:p>
        </w:tc>
      </w:tr>
    </w:tbl>
    <w:tbl>
      <w:tblPr>
        <w:tblW w:w="5000" w:type="pct"/>
        <w:jc w:val="left"/>
        <w:tblInd w:w="0" w:type="dxa"/>
        <w:tblCellMar>
          <w:top w:w="0" w:type="dxa"/>
          <w:left w:w="0" w:type="dxa"/>
          <w:bottom w:w="0" w:type="dxa"/>
          <w:right w:w="0" w:type="dxa"/>
        </w:tblCellMar>
      </w:tblPr>
      <w:tblGrid>
        <w:gridCol w:w="158"/>
        <w:gridCol w:w="202"/>
        <w:gridCol w:w="9845"/>
      </w:tblGrid>
      <w:tr>
        <w:trPr/>
        <w:tc>
          <w:tcPr>
            <w:tcW w:w="158"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jc w:val="left"/>
              <w:rPr>
                <w:color w:val="000000"/>
              </w:rPr>
            </w:pPr>
            <w:r>
              <w:rPr>
                <w:color w:val="000000"/>
              </w:rPr>
              <w:t>•</w:t>
            </w:r>
          </w:p>
        </w:tc>
        <w:tc>
          <w:tcPr>
            <w:tcW w:w="9845"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Our officers and directors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to proceed with a particular business combination.</w:t>
            </w:r>
          </w:p>
        </w:tc>
      </w:tr>
    </w:tbl>
    <w:tbl>
      <w:tblPr>
        <w:tblW w:w="5000" w:type="pct"/>
        <w:jc w:val="left"/>
        <w:tblInd w:w="0" w:type="dxa"/>
        <w:tblCellMar>
          <w:top w:w="0" w:type="dxa"/>
          <w:left w:w="0" w:type="dxa"/>
          <w:bottom w:w="0" w:type="dxa"/>
          <w:right w:w="0" w:type="dxa"/>
        </w:tblCellMar>
      </w:tblPr>
      <w:tblGrid>
        <w:gridCol w:w="202"/>
        <w:gridCol w:w="236"/>
        <w:gridCol w:w="9767"/>
      </w:tblGrid>
      <w:tr>
        <w:trPr/>
        <w:tc>
          <w:tcPr>
            <w:tcW w:w="202"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jc w:val="left"/>
              <w:rPr>
                <w:color w:val="000000"/>
              </w:rPr>
            </w:pPr>
            <w:r>
              <w:rPr>
                <w:color w:val="000000"/>
              </w:rPr>
              <w:t>•</w:t>
            </w:r>
          </w:p>
        </w:tc>
        <w:tc>
          <w:tcPr>
            <w:tcW w:w="9767"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tc>
      </w:tr>
    </w:tbl>
    <w:p>
      <w:pPr>
        <w:pStyle w:val="TextBody"/>
        <w:spacing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conflicts described above may not be resolved in our favor.</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117</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Accordingly, as a result of multiple business affiliations, our officers and directors have similar legal obligations relating to presenting business opportunities meeting the above-listed criteria to multiple entities. Below is a table summarizing the entities to which our officers, directors and director nominees currently have fiduciary duties or contractual obligations:</w:t>
      </w:r>
    </w:p>
    <w:tbl>
      <w:tblPr>
        <w:tblW w:w="5000" w:type="pct"/>
        <w:jc w:val="center"/>
        <w:tblInd w:w="0" w:type="dxa"/>
        <w:tblCellMar>
          <w:top w:w="0" w:type="dxa"/>
          <w:left w:w="0" w:type="dxa"/>
          <w:bottom w:w="0" w:type="dxa"/>
          <w:right w:w="0" w:type="dxa"/>
        </w:tblCellMar>
      </w:tblPr>
      <w:tblGrid>
        <w:gridCol w:w="2475"/>
        <w:gridCol w:w="2576"/>
        <w:gridCol w:w="2577"/>
        <w:gridCol w:w="2577"/>
      </w:tblGrid>
      <w:tr>
        <w:trPr/>
        <w:tc>
          <w:tcPr>
            <w:tcW w:w="2475" w:type="dxa"/>
            <w:tcBorders/>
            <w:shd w:fill="auto" w:val="clear"/>
            <w:vAlign w:val="bottom"/>
          </w:tcPr>
          <w:p>
            <w:pPr>
              <w:pStyle w:val="TableContents"/>
              <w:spacing w:before="0" w:after="0"/>
              <w:ind w:left="0" w:right="0" w:firstLine="90"/>
              <w:jc w:val="left"/>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 xml:space="preserve">Individual </w:t>
            </w:r>
          </w:p>
        </w:tc>
        <w:tc>
          <w:tcPr>
            <w:tcW w:w="2576" w:type="dxa"/>
            <w:tcBorders/>
            <w:shd w:fill="auto" w:val="clear"/>
            <w:vAlign w:val="bottom"/>
          </w:tcPr>
          <w:p>
            <w:pPr>
              <w:pStyle w:val="TableContents"/>
              <w:spacing w:before="0" w:after="0"/>
              <w:ind w:left="0" w:right="0" w:firstLine="9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 xml:space="preserve">Entity </w:t>
            </w:r>
          </w:p>
        </w:tc>
        <w:tc>
          <w:tcPr>
            <w:tcW w:w="2577" w:type="dxa"/>
            <w:tcBorders/>
            <w:shd w:fill="auto" w:val="clear"/>
            <w:vAlign w:val="bottom"/>
          </w:tcPr>
          <w:p>
            <w:pPr>
              <w:pStyle w:val="TableContents"/>
              <w:spacing w:before="0" w:after="0"/>
              <w:ind w:left="0" w:right="0" w:firstLine="9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 xml:space="preserve">Entity’s Business </w:t>
            </w:r>
          </w:p>
        </w:tc>
        <w:tc>
          <w:tcPr>
            <w:tcW w:w="2577" w:type="dxa"/>
            <w:tcBorders/>
            <w:shd w:fill="auto" w:val="clear"/>
            <w:vAlign w:val="bottom"/>
          </w:tcPr>
          <w:p>
            <w:pPr>
              <w:pStyle w:val="TableContents"/>
              <w:spacing w:before="0" w:after="0"/>
              <w:ind w:left="0" w:right="0" w:hanging="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 xml:space="preserve">Affiliation </w:t>
            </w:r>
          </w:p>
        </w:tc>
      </w:tr>
      <w:tr>
        <w:trPr/>
        <w:tc>
          <w:tcPr>
            <w:tcW w:w="2475" w:type="dxa"/>
            <w:tcBorders/>
            <w:shd w:fill="CCEEFF"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Scott Gordon </w:t>
            </w:r>
          </w:p>
        </w:tc>
        <w:tc>
          <w:tcPr>
            <w:tcW w:w="2576" w:type="dxa"/>
            <w:tcBorders/>
            <w:shd w:fill="CCEEFF"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Egg Rock Holdings (including subsidiaries operating the Papa &amp; Barkley business line) </w:t>
            </w:r>
          </w:p>
        </w:tc>
        <w:tc>
          <w:tcPr>
            <w:tcW w:w="2577" w:type="dxa"/>
            <w:tcBorders/>
            <w:shd w:fill="CCEEFF"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Cannabis products, manufacturing, processing, and logistics; hemp-derived CBD </w:t>
            </w:r>
          </w:p>
        </w:tc>
        <w:tc>
          <w:tcPr>
            <w:tcW w:w="2577" w:type="dxa"/>
            <w:tcBorders/>
            <w:shd w:fill="CCEEFF"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Co-founder and Chairman </w:t>
            </w:r>
          </w:p>
        </w:tc>
      </w:tr>
      <w:tr>
        <w:trPr/>
        <w:tc>
          <w:tcPr>
            <w:tcW w:w="2475" w:type="dxa"/>
            <w:tcBorders/>
            <w:shd w:fill="auto" w:val="clear"/>
          </w:tcPr>
          <w:p>
            <w:pPr>
              <w:pStyle w:val="TableContents"/>
              <w:spacing w:before="0" w:after="0"/>
              <w:ind w:left="0" w:right="0" w:hanging="0"/>
              <w:jc w:val="left"/>
              <w:rPr>
                <w:color w:val="000000"/>
              </w:rPr>
            </w:pPr>
            <w:r>
              <w:rPr>
                <w:color w:val="000000"/>
              </w:rPr>
              <w:t> </w:t>
            </w:r>
          </w:p>
        </w:tc>
        <w:tc>
          <w:tcPr>
            <w:tcW w:w="2576" w:type="dxa"/>
            <w:tcBorders/>
            <w:shd w:fill="auto"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Silver Spike Capital </w:t>
            </w:r>
          </w:p>
        </w:tc>
        <w:tc>
          <w:tcPr>
            <w:tcW w:w="2577" w:type="dxa"/>
            <w:tcBorders/>
            <w:shd w:fill="auto"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Asset management fund focused on cannabis and related health &amp; wellness industries </w:t>
            </w:r>
          </w:p>
        </w:tc>
        <w:tc>
          <w:tcPr>
            <w:tcW w:w="2577" w:type="dxa"/>
            <w:tcBorders/>
            <w:shd w:fill="auto"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Manager, CEO </w:t>
            </w:r>
          </w:p>
        </w:tc>
      </w:tr>
      <w:tr>
        <w:trPr/>
        <w:tc>
          <w:tcPr>
            <w:tcW w:w="2475" w:type="dxa"/>
            <w:tcBorders/>
            <w:shd w:fill="CCEEFF"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William Healy </w:t>
            </w:r>
          </w:p>
        </w:tc>
        <w:tc>
          <w:tcPr>
            <w:tcW w:w="2576" w:type="dxa"/>
            <w:tcBorders/>
            <w:shd w:fill="CCEEFF"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Silver Spike Capital </w:t>
            </w:r>
          </w:p>
        </w:tc>
        <w:tc>
          <w:tcPr>
            <w:tcW w:w="2577" w:type="dxa"/>
            <w:tcBorders/>
            <w:shd w:fill="CCEEFF"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Asset management fund focused on cannabis and related health &amp; wellness industries </w:t>
            </w:r>
          </w:p>
        </w:tc>
        <w:tc>
          <w:tcPr>
            <w:tcW w:w="2577" w:type="dxa"/>
            <w:tcBorders/>
            <w:shd w:fill="CCEEFF"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Manager </w:t>
            </w:r>
          </w:p>
        </w:tc>
      </w:tr>
      <w:tr>
        <w:trPr/>
        <w:tc>
          <w:tcPr>
            <w:tcW w:w="2475" w:type="dxa"/>
            <w:tcBorders/>
            <w:shd w:fill="auto"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Greg Gentile </w:t>
            </w:r>
          </w:p>
        </w:tc>
        <w:tc>
          <w:tcPr>
            <w:tcW w:w="2576" w:type="dxa"/>
            <w:tcBorders/>
            <w:shd w:fill="auto"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Silver Spike Capital </w:t>
            </w:r>
          </w:p>
        </w:tc>
        <w:tc>
          <w:tcPr>
            <w:tcW w:w="2577" w:type="dxa"/>
            <w:tcBorders/>
            <w:shd w:fill="auto"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Asset management fund focused on cannabis and related health &amp; wellness industries </w:t>
            </w:r>
          </w:p>
        </w:tc>
        <w:tc>
          <w:tcPr>
            <w:tcW w:w="2577" w:type="dxa"/>
            <w:tcBorders/>
            <w:shd w:fill="auto"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Manager, CFO </w:t>
            </w:r>
          </w:p>
        </w:tc>
      </w:tr>
      <w:tr>
        <w:trPr/>
        <w:tc>
          <w:tcPr>
            <w:tcW w:w="2475" w:type="dxa"/>
            <w:tcBorders/>
            <w:shd w:fill="CCEEFF"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Mohammed Grimeh </w:t>
            </w:r>
          </w:p>
        </w:tc>
        <w:tc>
          <w:tcPr>
            <w:tcW w:w="2576" w:type="dxa"/>
            <w:tcBorders/>
            <w:shd w:fill="CCEEFF"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Silver Spike Capital </w:t>
            </w:r>
          </w:p>
        </w:tc>
        <w:tc>
          <w:tcPr>
            <w:tcW w:w="2577" w:type="dxa"/>
            <w:tcBorders/>
            <w:shd w:fill="CCEEFF"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Asset management fund focused on cannabis and related health &amp; wellness industries </w:t>
            </w:r>
          </w:p>
        </w:tc>
        <w:tc>
          <w:tcPr>
            <w:tcW w:w="2577" w:type="dxa"/>
            <w:tcBorders/>
            <w:shd w:fill="CCEEFF"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Manager, COO </w:t>
            </w:r>
          </w:p>
        </w:tc>
      </w:tr>
      <w:tr>
        <w:trPr/>
        <w:tc>
          <w:tcPr>
            <w:tcW w:w="2475" w:type="dxa"/>
            <w:tcBorders/>
            <w:shd w:fill="auto"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Orrin Devinsky</w:t>
            </w:r>
          </w:p>
        </w:tc>
        <w:tc>
          <w:tcPr>
            <w:tcW w:w="2576" w:type="dxa"/>
            <w:tcBorders/>
            <w:shd w:fill="auto"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NYU Langone Comprehensive Epilepsy Center</w:t>
            </w:r>
          </w:p>
        </w:tc>
        <w:tc>
          <w:tcPr>
            <w:tcW w:w="2577" w:type="dxa"/>
            <w:tcBorders/>
            <w:shd w:fill="auto"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Medical center</w:t>
            </w:r>
          </w:p>
        </w:tc>
        <w:tc>
          <w:tcPr>
            <w:tcW w:w="2577" w:type="dxa"/>
            <w:tcBorders/>
            <w:shd w:fill="auto"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Director</w:t>
            </w:r>
          </w:p>
        </w:tc>
      </w:tr>
      <w:tr>
        <w:trPr/>
        <w:tc>
          <w:tcPr>
            <w:tcW w:w="2475" w:type="dxa"/>
            <w:tcBorders/>
            <w:shd w:fill="CCEEFF" w:val="clear"/>
          </w:tcPr>
          <w:p>
            <w:pPr>
              <w:pStyle w:val="TableContents"/>
              <w:spacing w:before="0" w:after="0"/>
              <w:ind w:left="0" w:right="0" w:hanging="0"/>
              <w:jc w:val="left"/>
              <w:rPr>
                <w:color w:val="000000"/>
              </w:rPr>
            </w:pPr>
            <w:r>
              <w:rPr>
                <w:color w:val="000000"/>
              </w:rPr>
              <w:t> </w:t>
            </w:r>
          </w:p>
        </w:tc>
        <w:tc>
          <w:tcPr>
            <w:tcW w:w="2576" w:type="dxa"/>
            <w:tcBorders/>
            <w:shd w:fill="CCEEFF"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NYU School of Medicine</w:t>
            </w:r>
          </w:p>
        </w:tc>
        <w:tc>
          <w:tcPr>
            <w:tcW w:w="2577" w:type="dxa"/>
            <w:tcBorders/>
            <w:shd w:fill="CCEEFF"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Medical school</w:t>
            </w:r>
          </w:p>
        </w:tc>
        <w:tc>
          <w:tcPr>
            <w:tcW w:w="2577" w:type="dxa"/>
            <w:tcBorders/>
            <w:shd w:fill="CCEEFF"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Professor of Neurology, Neuroscience, Psychiatry and Neurosurgery</w:t>
            </w:r>
          </w:p>
        </w:tc>
      </w:tr>
      <w:tr>
        <w:trPr/>
        <w:tc>
          <w:tcPr>
            <w:tcW w:w="2475" w:type="dxa"/>
            <w:tcBorders/>
            <w:shd w:fill="auto" w:val="clear"/>
          </w:tcPr>
          <w:p>
            <w:pPr>
              <w:pStyle w:val="TableContents"/>
              <w:spacing w:before="0" w:after="0"/>
              <w:ind w:left="0" w:right="0" w:hanging="0"/>
              <w:jc w:val="left"/>
              <w:rPr>
                <w:color w:val="000000"/>
              </w:rPr>
            </w:pPr>
            <w:r>
              <w:rPr>
                <w:color w:val="000000"/>
              </w:rPr>
              <w:t> </w:t>
            </w:r>
          </w:p>
        </w:tc>
        <w:tc>
          <w:tcPr>
            <w:tcW w:w="2576" w:type="dxa"/>
            <w:tcBorders/>
            <w:shd w:fill="auto"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Tilray</w:t>
            </w:r>
          </w:p>
        </w:tc>
        <w:tc>
          <w:tcPr>
            <w:tcW w:w="2577" w:type="dxa"/>
            <w:tcBorders/>
            <w:shd w:fill="auto"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Pharmaceutical and cannabis</w:t>
            </w:r>
          </w:p>
        </w:tc>
        <w:tc>
          <w:tcPr>
            <w:tcW w:w="2577" w:type="dxa"/>
            <w:tcBorders/>
            <w:shd w:fill="auto"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Chair of the Medical Advisory Board</w:t>
            </w:r>
          </w:p>
        </w:tc>
      </w:tr>
      <w:tr>
        <w:trPr/>
        <w:tc>
          <w:tcPr>
            <w:tcW w:w="2475" w:type="dxa"/>
            <w:tcBorders/>
            <w:shd w:fill="CCEEFF" w:val="clear"/>
          </w:tcPr>
          <w:p>
            <w:pPr>
              <w:pStyle w:val="TableContents"/>
              <w:spacing w:before="0" w:after="0"/>
              <w:ind w:left="0" w:right="0" w:hanging="0"/>
              <w:jc w:val="left"/>
              <w:rPr>
                <w:color w:val="000000"/>
              </w:rPr>
            </w:pPr>
            <w:r>
              <w:rPr>
                <w:color w:val="000000"/>
              </w:rPr>
              <w:t> </w:t>
            </w:r>
          </w:p>
        </w:tc>
        <w:tc>
          <w:tcPr>
            <w:tcW w:w="2576" w:type="dxa"/>
            <w:tcBorders/>
            <w:shd w:fill="CCEEFF"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Papa &amp; Barkley</w:t>
            </w:r>
          </w:p>
        </w:tc>
        <w:tc>
          <w:tcPr>
            <w:tcW w:w="2577" w:type="dxa"/>
            <w:tcBorders/>
            <w:shd w:fill="CCEEFF"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 products, manufacturing, processing, and logistics; hemp-derived CBD</w:t>
            </w:r>
          </w:p>
        </w:tc>
        <w:tc>
          <w:tcPr>
            <w:tcW w:w="2577" w:type="dxa"/>
            <w:tcBorders/>
            <w:shd w:fill="CCEEFF"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Member of the Scientific Advisory Board</w:t>
            </w:r>
          </w:p>
        </w:tc>
      </w:tr>
      <w:tr>
        <w:trPr/>
        <w:tc>
          <w:tcPr>
            <w:tcW w:w="2475" w:type="dxa"/>
            <w:tcBorders/>
            <w:shd w:fill="auto" w:val="clear"/>
          </w:tcPr>
          <w:p>
            <w:pPr>
              <w:pStyle w:val="TableContents"/>
              <w:spacing w:before="0" w:after="0"/>
              <w:ind w:left="0" w:right="0" w:hanging="0"/>
              <w:jc w:val="left"/>
              <w:rPr>
                <w:color w:val="000000"/>
              </w:rPr>
            </w:pPr>
            <w:r>
              <w:rPr>
                <w:color w:val="000000"/>
              </w:rPr>
              <w:t> </w:t>
            </w:r>
          </w:p>
        </w:tc>
        <w:tc>
          <w:tcPr>
            <w:tcW w:w="2576" w:type="dxa"/>
            <w:tcBorders/>
            <w:shd w:fill="auto"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Tevard</w:t>
            </w:r>
          </w:p>
        </w:tc>
        <w:tc>
          <w:tcPr>
            <w:tcW w:w="2577" w:type="dxa"/>
            <w:tcBorders/>
            <w:shd w:fill="auto"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Genetic therapy</w:t>
            </w:r>
          </w:p>
        </w:tc>
        <w:tc>
          <w:tcPr>
            <w:tcW w:w="2577" w:type="dxa"/>
            <w:tcBorders/>
            <w:shd w:fill="auto"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Member of the Business and Scientific Advisory Boards</w:t>
            </w:r>
          </w:p>
        </w:tc>
      </w:tr>
      <w:tr>
        <w:trPr/>
        <w:tc>
          <w:tcPr>
            <w:tcW w:w="2475" w:type="dxa"/>
            <w:tcBorders/>
            <w:shd w:fill="CCEEFF" w:val="clear"/>
          </w:tcPr>
          <w:p>
            <w:pPr>
              <w:pStyle w:val="TableContents"/>
              <w:spacing w:before="0" w:after="0"/>
              <w:ind w:left="0" w:right="0" w:hanging="0"/>
              <w:jc w:val="left"/>
              <w:rPr>
                <w:color w:val="000000"/>
              </w:rPr>
            </w:pPr>
            <w:r>
              <w:rPr>
                <w:color w:val="000000"/>
              </w:rPr>
              <w:t> </w:t>
            </w:r>
          </w:p>
        </w:tc>
        <w:tc>
          <w:tcPr>
            <w:tcW w:w="2576" w:type="dxa"/>
            <w:tcBorders/>
            <w:shd w:fill="CCEEFF"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Engage Therapeutics</w:t>
            </w:r>
          </w:p>
        </w:tc>
        <w:tc>
          <w:tcPr>
            <w:tcW w:w="2577" w:type="dxa"/>
            <w:tcBorders/>
            <w:shd w:fill="CCEEFF"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Biopharmaceutical</w:t>
            </w:r>
          </w:p>
        </w:tc>
        <w:tc>
          <w:tcPr>
            <w:tcW w:w="2577" w:type="dxa"/>
            <w:tcBorders/>
            <w:shd w:fill="CCEEFF"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Member of the Business and Scientific Advisory Boards</w:t>
            </w:r>
          </w:p>
        </w:tc>
      </w:tr>
      <w:tr>
        <w:trPr/>
        <w:tc>
          <w:tcPr>
            <w:tcW w:w="2475" w:type="dxa"/>
            <w:tcBorders/>
            <w:shd w:fill="auto" w:val="clear"/>
          </w:tcPr>
          <w:p>
            <w:pPr>
              <w:pStyle w:val="TableContents"/>
              <w:spacing w:before="0" w:after="0"/>
              <w:ind w:left="0" w:right="0" w:hanging="0"/>
              <w:jc w:val="left"/>
              <w:rPr>
                <w:color w:val="000000"/>
              </w:rPr>
            </w:pPr>
            <w:r>
              <w:rPr>
                <w:color w:val="000000"/>
              </w:rPr>
              <w:t> </w:t>
            </w:r>
          </w:p>
        </w:tc>
        <w:tc>
          <w:tcPr>
            <w:tcW w:w="2576" w:type="dxa"/>
            <w:tcBorders/>
            <w:shd w:fill="auto"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Receptor Life Sciences</w:t>
            </w:r>
          </w:p>
        </w:tc>
        <w:tc>
          <w:tcPr>
            <w:tcW w:w="2577" w:type="dxa"/>
            <w:tcBorders/>
            <w:shd w:fill="auto"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Cannabinoid medicine drug development</w:t>
            </w:r>
          </w:p>
        </w:tc>
        <w:tc>
          <w:tcPr>
            <w:tcW w:w="2577" w:type="dxa"/>
            <w:tcBorders/>
            <w:shd w:fill="auto"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Chief Medical Officer</w:t>
            </w:r>
          </w:p>
        </w:tc>
      </w:tr>
      <w:tr>
        <w:trPr/>
        <w:tc>
          <w:tcPr>
            <w:tcW w:w="2475" w:type="dxa"/>
            <w:tcBorders/>
            <w:shd w:fill="CCEEFF" w:val="clear"/>
          </w:tcPr>
          <w:p>
            <w:pPr>
              <w:pStyle w:val="TableContents"/>
              <w:spacing w:before="0" w:after="0"/>
              <w:ind w:left="0" w:right="0" w:hanging="0"/>
              <w:jc w:val="left"/>
              <w:rPr>
                <w:color w:val="000000"/>
              </w:rPr>
            </w:pPr>
            <w:r>
              <w:rPr>
                <w:color w:val="000000"/>
              </w:rPr>
              <w:t> </w:t>
            </w:r>
          </w:p>
        </w:tc>
        <w:tc>
          <w:tcPr>
            <w:tcW w:w="2576" w:type="dxa"/>
            <w:tcBorders/>
            <w:shd w:fill="CCEEFF"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Empatica</w:t>
            </w:r>
          </w:p>
        </w:tc>
        <w:tc>
          <w:tcPr>
            <w:tcW w:w="2577" w:type="dxa"/>
            <w:tcBorders/>
            <w:shd w:fill="CCEEFF"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Seizure detection watch</w:t>
            </w:r>
          </w:p>
        </w:tc>
        <w:tc>
          <w:tcPr>
            <w:tcW w:w="2577" w:type="dxa"/>
            <w:tcBorders/>
            <w:shd w:fill="CCEEFF"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Member of the Scientific Advisory Board</w:t>
            </w:r>
          </w:p>
        </w:tc>
      </w:tr>
      <w:tr>
        <w:trPr/>
        <w:tc>
          <w:tcPr>
            <w:tcW w:w="2475" w:type="dxa"/>
            <w:tcBorders/>
            <w:shd w:fill="auto" w:val="clear"/>
          </w:tcPr>
          <w:p>
            <w:pPr>
              <w:pStyle w:val="TableContents"/>
              <w:spacing w:before="0" w:after="0"/>
              <w:ind w:left="0" w:right="0" w:hanging="0"/>
              <w:jc w:val="left"/>
              <w:rPr>
                <w:color w:val="000000"/>
              </w:rPr>
            </w:pPr>
            <w:r>
              <w:rPr>
                <w:color w:val="000000"/>
              </w:rPr>
              <w:t> </w:t>
            </w:r>
          </w:p>
        </w:tc>
        <w:tc>
          <w:tcPr>
            <w:tcW w:w="2576" w:type="dxa"/>
            <w:tcBorders/>
            <w:shd w:fill="auto"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RETTCO</w:t>
            </w:r>
          </w:p>
        </w:tc>
        <w:tc>
          <w:tcPr>
            <w:tcW w:w="2577" w:type="dxa"/>
            <w:tcBorders/>
            <w:shd w:fill="auto"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Genetic therapy</w:t>
            </w:r>
          </w:p>
        </w:tc>
        <w:tc>
          <w:tcPr>
            <w:tcW w:w="2577" w:type="dxa"/>
            <w:tcBorders/>
            <w:shd w:fill="auto"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Member of the Scientific Advisory Board</w:t>
            </w:r>
          </w:p>
        </w:tc>
      </w:tr>
      <w:tr>
        <w:trPr/>
        <w:tc>
          <w:tcPr>
            <w:tcW w:w="2475" w:type="dxa"/>
            <w:tcBorders/>
            <w:shd w:fill="CCEEFF" w:val="clear"/>
          </w:tcPr>
          <w:p>
            <w:pPr>
              <w:pStyle w:val="TableContents"/>
              <w:spacing w:before="0" w:after="0"/>
              <w:ind w:left="0" w:right="0" w:hanging="0"/>
              <w:jc w:val="left"/>
              <w:rPr>
                <w:color w:val="000000"/>
              </w:rPr>
            </w:pPr>
            <w:r>
              <w:rPr>
                <w:color w:val="000000"/>
              </w:rPr>
              <w:t> </w:t>
            </w:r>
          </w:p>
        </w:tc>
        <w:tc>
          <w:tcPr>
            <w:tcW w:w="2576" w:type="dxa"/>
            <w:tcBorders/>
            <w:shd w:fill="CCEEFF"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Qstate Biosciences</w:t>
            </w:r>
          </w:p>
        </w:tc>
        <w:tc>
          <w:tcPr>
            <w:tcW w:w="2577" w:type="dxa"/>
            <w:tcBorders/>
            <w:shd w:fill="CCEEFF"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Genetic therapy</w:t>
            </w:r>
          </w:p>
        </w:tc>
        <w:tc>
          <w:tcPr>
            <w:tcW w:w="2577" w:type="dxa"/>
            <w:tcBorders/>
            <w:shd w:fill="CCEEFF"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Member of the Scientific Advisory Board</w:t>
            </w:r>
          </w:p>
        </w:tc>
      </w:tr>
      <w:tr>
        <w:trPr/>
        <w:tc>
          <w:tcPr>
            <w:tcW w:w="2475" w:type="dxa"/>
            <w:tcBorders/>
            <w:shd w:fill="auto"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Richard Goldman</w:t>
            </w:r>
          </w:p>
        </w:tc>
        <w:tc>
          <w:tcPr>
            <w:tcW w:w="2576" w:type="dxa"/>
            <w:tcBorders/>
            <w:shd w:fill="auto"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Becket Capital, LLC</w:t>
            </w:r>
          </w:p>
        </w:tc>
        <w:tc>
          <w:tcPr>
            <w:tcW w:w="2577" w:type="dxa"/>
            <w:tcBorders/>
            <w:shd w:fill="auto"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Advisory services firm for investment management companies</w:t>
            </w:r>
          </w:p>
        </w:tc>
        <w:tc>
          <w:tcPr>
            <w:tcW w:w="2577" w:type="dxa"/>
            <w:tcBorders/>
            <w:shd w:fill="auto"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Managing Member</w:t>
            </w:r>
          </w:p>
        </w:tc>
      </w:tr>
      <w:tr>
        <w:trPr/>
        <w:tc>
          <w:tcPr>
            <w:tcW w:w="2475" w:type="dxa"/>
            <w:tcBorders/>
            <w:shd w:fill="CCEEFF" w:val="clear"/>
          </w:tcPr>
          <w:p>
            <w:pPr>
              <w:pStyle w:val="TableContents"/>
              <w:spacing w:before="0" w:after="0"/>
              <w:ind w:left="0" w:right="0" w:hanging="0"/>
              <w:jc w:val="left"/>
              <w:rPr>
                <w:color w:val="000000"/>
              </w:rPr>
            </w:pPr>
            <w:r>
              <w:rPr>
                <w:color w:val="000000"/>
              </w:rPr>
              <w:t> </w:t>
            </w:r>
          </w:p>
        </w:tc>
        <w:tc>
          <w:tcPr>
            <w:tcW w:w="2576" w:type="dxa"/>
            <w:tcBorders/>
            <w:shd w:fill="CCEEFF"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O’Shares Investments ETF Trust</w:t>
            </w:r>
          </w:p>
        </w:tc>
        <w:tc>
          <w:tcPr>
            <w:tcW w:w="2577" w:type="dxa"/>
            <w:tcBorders/>
            <w:shd w:fill="CCEEFF"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Exchange-traded investment fund</w:t>
            </w:r>
          </w:p>
        </w:tc>
        <w:tc>
          <w:tcPr>
            <w:tcW w:w="2577" w:type="dxa"/>
            <w:tcBorders/>
            <w:shd w:fill="CCEEFF"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Independent Director</w:t>
            </w:r>
          </w:p>
        </w:tc>
      </w:tr>
      <w:tr>
        <w:trPr/>
        <w:tc>
          <w:tcPr>
            <w:tcW w:w="2475" w:type="dxa"/>
            <w:tcBorders/>
            <w:shd w:fill="auto" w:val="clear"/>
          </w:tcPr>
          <w:p>
            <w:pPr>
              <w:pStyle w:val="TableContents"/>
              <w:spacing w:before="0" w:after="0"/>
              <w:ind w:left="0" w:right="0" w:hanging="0"/>
              <w:jc w:val="left"/>
              <w:rPr>
                <w:color w:val="000000"/>
              </w:rPr>
            </w:pPr>
            <w:r>
              <w:rPr>
                <w:color w:val="000000"/>
              </w:rPr>
              <w:t> </w:t>
            </w:r>
          </w:p>
        </w:tc>
        <w:tc>
          <w:tcPr>
            <w:tcW w:w="2576" w:type="dxa"/>
            <w:tcBorders/>
            <w:shd w:fill="auto"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Harvest Volatility Edge Trust</w:t>
            </w:r>
          </w:p>
        </w:tc>
        <w:tc>
          <w:tcPr>
            <w:tcW w:w="2577" w:type="dxa"/>
            <w:tcBorders/>
            <w:shd w:fill="auto"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Mutual fund investment trust</w:t>
            </w:r>
          </w:p>
        </w:tc>
        <w:tc>
          <w:tcPr>
            <w:tcW w:w="2577" w:type="dxa"/>
            <w:tcBorders/>
            <w:shd w:fill="auto"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Independent Chairman of the Board</w:t>
            </w:r>
          </w:p>
        </w:tc>
      </w:tr>
      <w:tr>
        <w:trPr/>
        <w:tc>
          <w:tcPr>
            <w:tcW w:w="2475" w:type="dxa"/>
            <w:tcBorders/>
            <w:shd w:fill="CCEEFF" w:val="clear"/>
          </w:tcPr>
          <w:p>
            <w:pPr>
              <w:pStyle w:val="TableContents"/>
              <w:spacing w:before="0" w:after="0"/>
              <w:ind w:left="0" w:right="0" w:hanging="0"/>
              <w:jc w:val="left"/>
              <w:rPr>
                <w:color w:val="000000"/>
              </w:rPr>
            </w:pPr>
            <w:r>
              <w:rPr>
                <w:color w:val="000000"/>
              </w:rPr>
              <w:t> </w:t>
            </w:r>
          </w:p>
        </w:tc>
        <w:tc>
          <w:tcPr>
            <w:tcW w:w="2576" w:type="dxa"/>
            <w:tcBorders/>
            <w:shd w:fill="CCEEFF"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Trinitas Capital Management</w:t>
            </w:r>
          </w:p>
        </w:tc>
        <w:tc>
          <w:tcPr>
            <w:tcW w:w="2577" w:type="dxa"/>
            <w:tcBorders/>
            <w:shd w:fill="CCEEFF"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Investment management firm</w:t>
            </w:r>
          </w:p>
        </w:tc>
        <w:tc>
          <w:tcPr>
            <w:tcW w:w="2577" w:type="dxa"/>
            <w:tcBorders/>
            <w:shd w:fill="CCEEFF"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Member of Board of Directors</w:t>
            </w:r>
          </w:p>
        </w:tc>
      </w:tr>
      <w:tr>
        <w:trPr/>
        <w:tc>
          <w:tcPr>
            <w:tcW w:w="2475" w:type="dxa"/>
            <w:tcBorders/>
            <w:shd w:fill="auto" w:val="clear"/>
          </w:tcPr>
          <w:p>
            <w:pPr>
              <w:pStyle w:val="TableContents"/>
              <w:spacing w:before="0" w:after="0"/>
              <w:ind w:left="0" w:right="0" w:hanging="0"/>
              <w:jc w:val="left"/>
              <w:rPr>
                <w:color w:val="000000"/>
              </w:rPr>
            </w:pPr>
            <w:r>
              <w:rPr>
                <w:color w:val="000000"/>
              </w:rPr>
              <w:t> </w:t>
            </w:r>
          </w:p>
        </w:tc>
        <w:tc>
          <w:tcPr>
            <w:tcW w:w="2576" w:type="dxa"/>
            <w:tcBorders/>
            <w:shd w:fill="auto"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Axonic Alternative Income Interval Fund</w:t>
            </w:r>
          </w:p>
        </w:tc>
        <w:tc>
          <w:tcPr>
            <w:tcW w:w="2577" w:type="dxa"/>
            <w:tcBorders/>
            <w:shd w:fill="auto"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Mutual fund</w:t>
            </w:r>
          </w:p>
        </w:tc>
        <w:tc>
          <w:tcPr>
            <w:tcW w:w="2577" w:type="dxa"/>
            <w:tcBorders/>
            <w:shd w:fill="auto"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Lead Independent Director</w:t>
            </w:r>
          </w:p>
        </w:tc>
      </w:tr>
      <w:tr>
        <w:trPr/>
        <w:tc>
          <w:tcPr>
            <w:tcW w:w="2475" w:type="dxa"/>
            <w:tcBorders/>
            <w:shd w:fill="CCEEFF"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Kenneth H. Landis</w:t>
            </w:r>
          </w:p>
        </w:tc>
        <w:tc>
          <w:tcPr>
            <w:tcW w:w="2576" w:type="dxa"/>
            <w:tcBorders/>
            <w:shd w:fill="CCEEFF"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Landis Capital, LLC</w:t>
            </w:r>
          </w:p>
        </w:tc>
        <w:tc>
          <w:tcPr>
            <w:tcW w:w="2577" w:type="dxa"/>
            <w:tcBorders/>
            <w:shd w:fill="CCEEFF"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Venture capital</w:t>
            </w:r>
          </w:p>
        </w:tc>
        <w:tc>
          <w:tcPr>
            <w:tcW w:w="2577" w:type="dxa"/>
            <w:tcBorders/>
            <w:shd w:fill="CCEEFF"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Chief Executive Officer</w:t>
            </w:r>
          </w:p>
        </w:tc>
      </w:tr>
      <w:tr>
        <w:trPr/>
        <w:tc>
          <w:tcPr>
            <w:tcW w:w="2475" w:type="dxa"/>
            <w:tcBorders/>
            <w:shd w:fill="auto" w:val="clear"/>
          </w:tcPr>
          <w:p>
            <w:pPr>
              <w:pStyle w:val="TableContents"/>
              <w:spacing w:before="0" w:after="0"/>
              <w:ind w:left="0" w:right="0" w:hanging="0"/>
              <w:jc w:val="left"/>
              <w:rPr>
                <w:color w:val="000000"/>
              </w:rPr>
            </w:pPr>
            <w:r>
              <w:rPr>
                <w:color w:val="000000"/>
              </w:rPr>
              <w:t> </w:t>
            </w:r>
          </w:p>
        </w:tc>
        <w:tc>
          <w:tcPr>
            <w:tcW w:w="2576" w:type="dxa"/>
            <w:tcBorders/>
            <w:shd w:fill="auto"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Suffield Academy</w:t>
            </w:r>
          </w:p>
        </w:tc>
        <w:tc>
          <w:tcPr>
            <w:tcW w:w="2577" w:type="dxa"/>
            <w:tcBorders/>
            <w:shd w:fill="auto"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Preparatory school</w:t>
            </w:r>
          </w:p>
        </w:tc>
        <w:tc>
          <w:tcPr>
            <w:tcW w:w="2577" w:type="dxa"/>
            <w:tcBorders/>
            <w:shd w:fill="auto"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Trustee</w:t>
            </w:r>
          </w:p>
        </w:tc>
      </w:tr>
      <w:tr>
        <w:trPr/>
        <w:tc>
          <w:tcPr>
            <w:tcW w:w="2475" w:type="dxa"/>
            <w:tcBorders/>
            <w:shd w:fill="CCEEFF" w:val="clear"/>
          </w:tcPr>
          <w:p>
            <w:pPr>
              <w:pStyle w:val="TableContents"/>
              <w:spacing w:before="0" w:after="0"/>
              <w:ind w:left="0" w:right="0" w:hanging="0"/>
              <w:jc w:val="left"/>
              <w:rPr>
                <w:color w:val="000000"/>
              </w:rPr>
            </w:pPr>
            <w:r>
              <w:rPr>
                <w:color w:val="000000"/>
              </w:rPr>
              <w:t> </w:t>
            </w:r>
          </w:p>
        </w:tc>
        <w:tc>
          <w:tcPr>
            <w:tcW w:w="2576" w:type="dxa"/>
            <w:tcBorders/>
            <w:shd w:fill="CCEEFF"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TULA Life, INC</w:t>
            </w:r>
          </w:p>
        </w:tc>
        <w:tc>
          <w:tcPr>
            <w:tcW w:w="2577" w:type="dxa"/>
            <w:tcBorders/>
            <w:shd w:fill="CCEEFF"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Cosmetics</w:t>
            </w:r>
          </w:p>
        </w:tc>
        <w:tc>
          <w:tcPr>
            <w:tcW w:w="2577" w:type="dxa"/>
            <w:tcBorders/>
            <w:shd w:fill="CCEEFF"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Member of Board of Directors</w:t>
            </w:r>
          </w:p>
        </w:tc>
      </w:tr>
      <w:tr>
        <w:trPr/>
        <w:tc>
          <w:tcPr>
            <w:tcW w:w="2475" w:type="dxa"/>
            <w:tcBorders/>
            <w:shd w:fill="auto" w:val="clear"/>
          </w:tcPr>
          <w:p>
            <w:pPr>
              <w:pStyle w:val="TableContents"/>
              <w:spacing w:before="0" w:after="0"/>
              <w:ind w:left="0" w:right="0" w:hanging="0"/>
              <w:jc w:val="left"/>
              <w:rPr>
                <w:color w:val="000000"/>
              </w:rPr>
            </w:pPr>
            <w:r>
              <w:rPr>
                <w:color w:val="000000"/>
              </w:rPr>
              <w:t> </w:t>
            </w:r>
          </w:p>
        </w:tc>
        <w:tc>
          <w:tcPr>
            <w:tcW w:w="2576" w:type="dxa"/>
            <w:tcBorders/>
            <w:shd w:fill="auto"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AllWork, Inc.</w:t>
            </w:r>
          </w:p>
        </w:tc>
        <w:tc>
          <w:tcPr>
            <w:tcW w:w="2577" w:type="dxa"/>
            <w:tcBorders/>
            <w:shd w:fill="auto" w:val="clear"/>
          </w:tcPr>
          <w:p>
            <w:pPr>
              <w:pStyle w:val="TableContents"/>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Human resources technology</w:t>
            </w:r>
          </w:p>
        </w:tc>
        <w:tc>
          <w:tcPr>
            <w:tcW w:w="2577" w:type="dxa"/>
            <w:tcBorders/>
            <w:shd w:fill="auto" w:val="clear"/>
          </w:tcPr>
          <w:p>
            <w:pPr>
              <w:pStyle w:val="TableContents"/>
              <w:spacing w:before="0" w:after="0"/>
              <w:ind w:left="0" w:right="0" w:firstLine="30"/>
              <w:jc w:val="left"/>
              <w:rPr>
                <w:rFonts w:ascii="Times New Roman;Times;Serif" w:hAnsi="Times New Roman;Times;Serif"/>
                <w:color w:val="000000"/>
                <w:sz w:val="14"/>
              </w:rPr>
            </w:pPr>
            <w:r>
              <w:rPr>
                <w:rFonts w:ascii="Times New Roman;Times;Serif" w:hAnsi="Times New Roman;Times;Serif"/>
                <w:color w:val="000000"/>
                <w:sz w:val="14"/>
              </w:rPr>
              <w:t>Member of Board of Directors</w:t>
            </w:r>
          </w:p>
        </w:tc>
      </w:tr>
    </w:tbl>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118</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Accordingly, if any of the above officers or directors become aware of a business combination opportunity which is suitable for any of the above entities to which he or she has then-current fiduciary or contractual obligations, he or she may need to honor his or her fiduciary or contractual obligations to present such business combination opportunity to such entity, and only present it to us if such entity chooses not to pursue the opportunity, subject to their fiduciary duties under Cayman Islands law. We do not believe, however, that any of the foregoing fiduciary duties or contractual obligations will materially affect our ability to complete our initial business combination.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are not prohibited from pursuing an initial business combination with a company that is affiliated with our sponsor, officers or directors. In the event we seek to complete our initial business combination with such a company, we would obtain an opinion from an independent investment banking firm or from an independent accounting firm, that such an initial business combination is fair to our company from a financial point of view.</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In addition, our sponsor or any of its affiliates may make additional investments in the company in connection with the initial business combination, although our sponsor and its affiliates have no obligation or current intention to do so. If our sponsor or any of its affiliates elects to make additional investments, such proposed investments could influence our sponsors motivation to complete an initial business combination.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In the event that we submit our initial business combination to our public shareholders for a vote, our initial shareholders have agreed, pursuant to the terms of a letter agreement entered into with us, to vote their founder shares (and their permitted transferees will agree) and any public shares held by them in favor of our initial business combination. Our directors and officers have also entered into the letter agreement, imposing similar obligations on them with respect to public shares acquired by them, if any.</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Limitation on Liability and Indemnification of Officers and Directors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fraud or the consequences of committing a crime. Our amended and restated memorandum and articles of association will provide for indemnification of our officers and directors to the maximum extent permitted by law, including for any liability incurred in their capacities as such, except through their own actual fraud, willful default or willful neglect.</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may purchase a policy of directors and officers liability insurance that insures our officers and directors against the cost of defense, settlement or payment of a judgment in some circumstances and insures us against our obligations to indemnify our officers and directors. We also intend to enter into indemnity agreements with them.</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Our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us and will not seek recourse against the trust account for any reason whatsoever. Accordingly, any indemnification provided will only be able to be satisfied by us if we (i) have sufficient funds outside of the trust account or (ii) consummate an initial business combination. Furthermore, a shareholders investment may be adversely affected to the extent we pay the costs of settlement and damage awards against our officers and directors pursuant to these indemnification provisions.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believe that these provisions, the insurance and the indemnity agreements are necessary to attract and retain talented and experienced officers and directors.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Insofar as indemnification for liabilities arising under the Securities Act may be permitted to directors and officers or persons controlling us pursuant to the foregoing provisions, we have been informed that in the opinion of the SEC such indemnification is against public policy as expressed in the Securities Act and is therefore unenforceable.</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119</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before="240" w:after="0"/>
        <w:ind w:left="0" w:right="0" w:hanging="0"/>
        <w:jc w:val="center"/>
        <w:rPr>
          <w:rFonts w:ascii="Times New Roman;Times;Serif" w:hAnsi="Times New Roman;Times;Serif"/>
          <w:b/>
          <w:color w:val="000000"/>
          <w:sz w:val="17"/>
        </w:rPr>
      </w:pPr>
      <w:bookmarkStart w:id="15" w:name="tPS"/>
      <w:bookmarkEnd w:id="15"/>
      <w:r>
        <w:rPr>
          <w:rFonts w:ascii="Times New Roman;Times;Serif" w:hAnsi="Times New Roman;Times;Serif"/>
          <w:b/>
          <w:color w:val="000000"/>
          <w:sz w:val="17"/>
        </w:rPr>
        <w:t>PRINCIPAL SHAREHOLDERS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following table sets forth information regarding the beneficial ownership of our ordinary shares as of the date of this prospectus, and as adjusted to reflect the sale of our Class A ordinary shares included in the units offered by this prospectus, and assuming no purchase of units in this offering, by:</w:t>
      </w:r>
    </w:p>
    <w:tbl>
      <w:tblPr>
        <w:tblW w:w="5000" w:type="pct"/>
        <w:jc w:val="left"/>
        <w:tblInd w:w="0" w:type="dxa"/>
        <w:tblCellMar>
          <w:top w:w="0" w:type="dxa"/>
          <w:left w:w="0" w:type="dxa"/>
          <w:bottom w:w="0" w:type="dxa"/>
          <w:right w:w="0" w:type="dxa"/>
        </w:tblCellMar>
      </w:tblPr>
      <w:tblGrid>
        <w:gridCol w:w="463"/>
        <w:gridCol w:w="446"/>
        <w:gridCol w:w="9296"/>
      </w:tblGrid>
      <w:tr>
        <w:trPr/>
        <w:tc>
          <w:tcPr>
            <w:tcW w:w="463"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jc w:val="left"/>
              <w:rPr>
                <w:color w:val="000000"/>
              </w:rPr>
            </w:pPr>
            <w:r>
              <w:rPr>
                <w:color w:val="000000"/>
              </w:rPr>
              <w:t>•</w:t>
            </w:r>
          </w:p>
        </w:tc>
        <w:tc>
          <w:tcPr>
            <w:tcW w:w="9296"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each person known by us to be the beneficial owner of more than 5% of our issued and outstanding ordinary shares;</w:t>
            </w:r>
          </w:p>
        </w:tc>
      </w:tr>
    </w:tbl>
    <w:tbl>
      <w:tblPr>
        <w:tblW w:w="5000" w:type="pct"/>
        <w:jc w:val="left"/>
        <w:tblInd w:w="0" w:type="dxa"/>
        <w:tblCellMar>
          <w:top w:w="0" w:type="dxa"/>
          <w:left w:w="0" w:type="dxa"/>
          <w:bottom w:w="0" w:type="dxa"/>
          <w:right w:w="0" w:type="dxa"/>
        </w:tblCellMar>
      </w:tblPr>
      <w:tblGrid>
        <w:gridCol w:w="857"/>
        <w:gridCol w:w="826"/>
        <w:gridCol w:w="8522"/>
      </w:tblGrid>
      <w:tr>
        <w:trPr/>
        <w:tc>
          <w:tcPr>
            <w:tcW w:w="857"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jc w:val="left"/>
              <w:rPr>
                <w:color w:val="000000"/>
              </w:rPr>
            </w:pPr>
            <w:r>
              <w:rPr>
                <w:color w:val="000000"/>
              </w:rPr>
              <w:t>•</w:t>
            </w:r>
          </w:p>
        </w:tc>
        <w:tc>
          <w:tcPr>
            <w:tcW w:w="8522"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each of our officers, directors and director nominees; and</w:t>
            </w:r>
          </w:p>
        </w:tc>
      </w:tr>
    </w:tbl>
    <w:tbl>
      <w:tblPr>
        <w:tblW w:w="5000" w:type="pct"/>
        <w:jc w:val="left"/>
        <w:tblInd w:w="0" w:type="dxa"/>
        <w:tblCellMar>
          <w:top w:w="0" w:type="dxa"/>
          <w:left w:w="0" w:type="dxa"/>
          <w:bottom w:w="0" w:type="dxa"/>
          <w:right w:w="0" w:type="dxa"/>
        </w:tblCellMar>
      </w:tblPr>
      <w:tblGrid>
        <w:gridCol w:w="836"/>
        <w:gridCol w:w="806"/>
        <w:gridCol w:w="8563"/>
      </w:tblGrid>
      <w:tr>
        <w:trPr/>
        <w:tc>
          <w:tcPr>
            <w:tcW w:w="836"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jc w:val="left"/>
              <w:rPr>
                <w:color w:val="000000"/>
              </w:rPr>
            </w:pPr>
            <w:r>
              <w:rPr>
                <w:color w:val="000000"/>
              </w:rPr>
              <w:t>•</w:t>
            </w:r>
          </w:p>
        </w:tc>
        <w:tc>
          <w:tcPr>
            <w:tcW w:w="8563"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all our officers, directors and director nominees as a group.</w:t>
            </w:r>
          </w:p>
        </w:tc>
      </w:tr>
    </w:tbl>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Unless otherwise indicated, we believe that all persons named in the table have sole voting and investment power with respect to all ordinary shares beneficially owned by them. The following table does not reflect record or beneficial ownership of the private placement warrants as these warrants are not exercisable within 60 days of the date of this prospectus.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The post-offering ownership percentage column below assumes that the underwriters do not exercise their over-allotment option, that our sponsor forfeits 937,500 founder shares and that there are 31,250,000 ordinary shares issued and outstanding after this offering. </w:t>
      </w:r>
    </w:p>
    <w:tbl>
      <w:tblPr>
        <w:tblW w:w="5000" w:type="pct"/>
        <w:jc w:val="center"/>
        <w:tblInd w:w="0" w:type="dxa"/>
        <w:tblCellMar>
          <w:top w:w="0" w:type="dxa"/>
          <w:left w:w="0" w:type="dxa"/>
          <w:bottom w:w="0" w:type="dxa"/>
          <w:right w:w="0" w:type="dxa"/>
        </w:tblCellMar>
      </w:tblPr>
      <w:tblGrid>
        <w:gridCol w:w="4770"/>
        <w:gridCol w:w="260"/>
        <w:gridCol w:w="1312"/>
        <w:gridCol w:w="413"/>
        <w:gridCol w:w="260"/>
        <w:gridCol w:w="1149"/>
        <w:gridCol w:w="331"/>
        <w:gridCol w:w="260"/>
        <w:gridCol w:w="1055"/>
        <w:gridCol w:w="395"/>
      </w:tblGrid>
      <w:tr>
        <w:trPr/>
        <w:tc>
          <w:tcPr>
            <w:tcW w:w="4770" w:type="dxa"/>
            <w:tcBorders/>
            <w:shd w:fill="auto" w:val="clear"/>
            <w:vAlign w:val="bottom"/>
          </w:tcPr>
          <w:p>
            <w:pPr>
              <w:pStyle w:val="TableContents"/>
              <w:spacing w:before="0" w:after="0"/>
              <w:ind w:left="0" w:right="0" w:firstLine="90"/>
              <w:jc w:val="left"/>
              <w:rPr>
                <w:color w:val="000000"/>
              </w:rPr>
            </w:pPr>
            <w:r>
              <w:rPr>
                <w:color w:val="000000"/>
              </w:rPr>
              <w:t> </w:t>
            </w:r>
          </w:p>
        </w:tc>
        <w:tc>
          <w:tcPr>
            <w:tcW w:w="1985" w:type="dxa"/>
            <w:gridSpan w:val="3"/>
            <w:vMerge w:val="restart"/>
            <w:tcBorders/>
            <w:shd w:fill="auto" w:val="clear"/>
            <w:vAlign w:val="bottom"/>
          </w:tcPr>
          <w:p>
            <w:pPr>
              <w:pStyle w:val="TableContents"/>
              <w:spacing w:lineRule="auto" w:line="240" w:before="0" w:after="0"/>
              <w:ind w:left="0" w:right="0" w:firstLine="90"/>
              <w:jc w:val="center"/>
              <w:rPr>
                <w:rFonts w:ascii="Times New Roman;Times;Serif" w:hAnsi="Times New Roman;Times;Serif"/>
                <w:color w:val="000000"/>
                <w:sz w:val="12"/>
                <w:bdr w:val="single" w:sz="8" w:space="1" w:color="000000"/>
              </w:rPr>
            </w:pPr>
            <w:r>
              <w:rPr>
                <w:rFonts w:ascii="Times New Roman;Times;Serif" w:hAnsi="Times New Roman;Times;Serif"/>
                <w:b/>
                <w:color w:val="000000"/>
                <w:sz w:val="12"/>
                <w:bdr w:val="single" w:sz="8" w:space="1" w:color="000000"/>
              </w:rPr>
              <w:t>Number of</w:t>
              <w:br/>
              <w:t>Class A Shares</w:t>
              <w:br/>
              <w:t>Beneficially</w:t>
              <w:br/>
              <w:t>Owned(2)</w:t>
            </w:r>
            <w:r>
              <w:rPr>
                <w:rFonts w:ascii="Times New Roman;Times;Serif" w:hAnsi="Times New Roman;Times;Serif"/>
                <w:color w:val="000000"/>
                <w:sz w:val="12"/>
                <w:bdr w:val="single" w:sz="8" w:space="1" w:color="000000"/>
              </w:rPr>
              <w:t xml:space="preserve"> </w:t>
            </w:r>
          </w:p>
        </w:tc>
        <w:tc>
          <w:tcPr>
            <w:tcW w:w="3450" w:type="dxa"/>
            <w:gridSpan w:val="6"/>
            <w:tcBorders/>
            <w:shd w:fill="auto" w:val="clear"/>
            <w:vAlign w:val="bottom"/>
          </w:tcPr>
          <w:p>
            <w:pPr>
              <w:pStyle w:val="TableContents"/>
              <w:spacing w:before="0" w:after="0"/>
              <w:ind w:left="0" w:right="0" w:hanging="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Approximate Percentage of Issued</w:t>
              <w:br/>
              <w:t xml:space="preserve">and Outstanding Ordinary Shares </w:t>
            </w:r>
          </w:p>
        </w:tc>
      </w:tr>
      <w:tr>
        <w:trPr/>
        <w:tc>
          <w:tcPr>
            <w:tcW w:w="4770" w:type="dxa"/>
            <w:tcBorders/>
            <w:shd w:fill="auto" w:val="clear"/>
            <w:vAlign w:val="bottom"/>
          </w:tcPr>
          <w:p>
            <w:pPr>
              <w:pStyle w:val="TableContents"/>
              <w:spacing w:lineRule="auto" w:line="240" w:before="0" w:after="0"/>
              <w:ind w:left="0" w:right="0" w:firstLine="90"/>
              <w:jc w:val="center"/>
              <w:rPr>
                <w:rFonts w:ascii="Times New Roman;Times;Serif" w:hAnsi="Times New Roman;Times;Serif"/>
                <w:color w:val="000000"/>
                <w:sz w:val="12"/>
                <w:bdr w:val="single" w:sz="8" w:space="1" w:color="000000"/>
              </w:rPr>
            </w:pPr>
            <w:r>
              <w:rPr>
                <w:rFonts w:ascii="Times New Roman;Times;Serif" w:hAnsi="Times New Roman;Times;Serif"/>
                <w:b/>
                <w:color w:val="000000"/>
                <w:sz w:val="12"/>
                <w:bdr w:val="single" w:sz="8" w:space="1" w:color="000000"/>
              </w:rPr>
              <w:t>Name and Address of Beneficial Owner(1)</w:t>
            </w:r>
            <w:r>
              <w:rPr>
                <w:rFonts w:ascii="Times New Roman;Times;Serif" w:hAnsi="Times New Roman;Times;Serif"/>
                <w:color w:val="000000"/>
                <w:sz w:val="12"/>
                <w:bdr w:val="single" w:sz="8" w:space="1" w:color="000000"/>
              </w:rPr>
              <w:t xml:space="preserve"> </w:t>
            </w:r>
          </w:p>
        </w:tc>
        <w:tc>
          <w:tcPr>
            <w:tcW w:w="1985" w:type="dxa"/>
            <w:gridSpan w:val="3"/>
            <w:vMerge w:val="continue"/>
            <w:tcBorders/>
            <w:shd w:fill="auto" w:val="clear"/>
            <w:vAlign w:val="bottom"/>
          </w:tcPr>
          <w:p>
            <w:pPr>
              <w:pStyle w:val="Normal"/>
              <w:rPr/>
            </w:pPr>
            <w:r>
              <w:rPr/>
            </w:r>
          </w:p>
        </w:tc>
        <w:tc>
          <w:tcPr>
            <w:tcW w:w="1740" w:type="dxa"/>
            <w:gridSpan w:val="3"/>
            <w:tcBorders/>
            <w:shd w:fill="auto" w:val="clear"/>
            <w:vAlign w:val="bottom"/>
          </w:tcPr>
          <w:p>
            <w:pPr>
              <w:pStyle w:val="TableContents"/>
              <w:spacing w:before="0" w:after="0"/>
              <w:ind w:left="0" w:right="0" w:firstLine="9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 xml:space="preserve">Before Offering </w:t>
            </w:r>
          </w:p>
        </w:tc>
        <w:tc>
          <w:tcPr>
            <w:tcW w:w="1710" w:type="dxa"/>
            <w:gridSpan w:val="3"/>
            <w:tcBorders/>
            <w:shd w:fill="auto" w:val="clear"/>
            <w:vAlign w:val="bottom"/>
          </w:tcPr>
          <w:p>
            <w:pPr>
              <w:pStyle w:val="TableContents"/>
              <w:spacing w:before="0" w:after="0"/>
              <w:ind w:left="0" w:right="0" w:hanging="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After Offering</w:t>
            </w:r>
          </w:p>
        </w:tc>
      </w:tr>
      <w:tr>
        <w:trPr/>
        <w:tc>
          <w:tcPr>
            <w:tcW w:w="4770" w:type="dxa"/>
            <w:tcBorders/>
            <w:shd w:fill="CCEEFF"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Silver Spike Sponsor, LLC</w:t>
            </w:r>
          </w:p>
        </w:tc>
        <w:tc>
          <w:tcPr>
            <w:tcW w:w="260" w:type="dxa"/>
            <w:tcBorders/>
            <w:shd w:fill="CCEEFF" w:val="clear"/>
            <w:vAlign w:val="bottom"/>
          </w:tcPr>
          <w:p>
            <w:pPr>
              <w:pStyle w:val="TableContents"/>
              <w:spacing w:before="0" w:after="0"/>
              <w:ind w:left="0" w:right="0" w:hanging="0"/>
              <w:jc w:val="right"/>
              <w:rPr>
                <w:color w:val="000000"/>
              </w:rPr>
            </w:pPr>
            <w:r>
              <w:rPr>
                <w:color w:val="000000"/>
              </w:rPr>
              <w:t> </w:t>
            </w:r>
          </w:p>
        </w:tc>
        <w:tc>
          <w:tcPr>
            <w:tcW w:w="1312"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7,187,500</w:t>
            </w:r>
          </w:p>
        </w:tc>
        <w:tc>
          <w:tcPr>
            <w:tcW w:w="413" w:type="dxa"/>
            <w:tcBorders/>
            <w:shd w:fill="CCEEFF" w:val="clear"/>
            <w:vAlign w:val="bottom"/>
          </w:tcPr>
          <w:p>
            <w:pPr>
              <w:pStyle w:val="TableContents"/>
              <w:spacing w:lineRule="auto" w:line="240"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(3) </w:t>
            </w:r>
          </w:p>
        </w:tc>
        <w:tc>
          <w:tcPr>
            <w:tcW w:w="260" w:type="dxa"/>
            <w:tcBorders/>
            <w:shd w:fill="CCEEFF" w:val="clear"/>
            <w:vAlign w:val="bottom"/>
          </w:tcPr>
          <w:p>
            <w:pPr>
              <w:pStyle w:val="TableContents"/>
              <w:spacing w:before="0" w:after="0"/>
              <w:ind w:left="0" w:right="0" w:hanging="0"/>
              <w:jc w:val="right"/>
              <w:rPr>
                <w:color w:val="000000"/>
              </w:rPr>
            </w:pPr>
            <w:r>
              <w:rPr>
                <w:color w:val="000000"/>
              </w:rPr>
              <w:t> </w:t>
            </w:r>
          </w:p>
        </w:tc>
        <w:tc>
          <w:tcPr>
            <w:tcW w:w="1149"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100</w:t>
            </w:r>
          </w:p>
        </w:tc>
        <w:tc>
          <w:tcPr>
            <w:tcW w:w="331" w:type="dxa"/>
            <w:tcBorders/>
            <w:shd w:fill="CCEEFF"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w:t>
            </w:r>
          </w:p>
        </w:tc>
        <w:tc>
          <w:tcPr>
            <w:tcW w:w="260" w:type="dxa"/>
            <w:tcBorders/>
            <w:shd w:fill="CCEEFF" w:val="clear"/>
            <w:vAlign w:val="bottom"/>
          </w:tcPr>
          <w:p>
            <w:pPr>
              <w:pStyle w:val="TableContents"/>
              <w:spacing w:before="0" w:after="0"/>
              <w:ind w:left="0" w:right="0" w:hanging="0"/>
              <w:jc w:val="right"/>
              <w:rPr>
                <w:color w:val="000000"/>
              </w:rPr>
            </w:pPr>
            <w:r>
              <w:rPr>
                <w:color w:val="000000"/>
              </w:rPr>
              <w:t> </w:t>
            </w:r>
          </w:p>
        </w:tc>
        <w:tc>
          <w:tcPr>
            <w:tcW w:w="1055"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20</w:t>
            </w:r>
          </w:p>
        </w:tc>
        <w:tc>
          <w:tcPr>
            <w:tcW w:w="395" w:type="dxa"/>
            <w:tcBorders/>
            <w:shd w:fill="CCEEFF" w:val="clear"/>
            <w:vAlign w:val="bottom"/>
          </w:tcPr>
          <w:p>
            <w:pPr>
              <w:pStyle w:val="TableContents"/>
              <w:spacing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p>
        </w:tc>
      </w:tr>
      <w:tr>
        <w:trPr/>
        <w:tc>
          <w:tcPr>
            <w:tcW w:w="4770" w:type="dxa"/>
            <w:tcBorders/>
            <w:shd w:fill="auto"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Scott Gordon</w:t>
            </w:r>
          </w:p>
        </w:tc>
        <w:tc>
          <w:tcPr>
            <w:tcW w:w="260" w:type="dxa"/>
            <w:tcBorders/>
            <w:shd w:fill="auto" w:val="clear"/>
            <w:vAlign w:val="bottom"/>
          </w:tcPr>
          <w:p>
            <w:pPr>
              <w:pStyle w:val="TableContents"/>
              <w:spacing w:before="0" w:after="0"/>
              <w:ind w:left="0" w:right="0" w:hanging="0"/>
              <w:jc w:val="right"/>
              <w:rPr>
                <w:color w:val="000000"/>
              </w:rPr>
            </w:pPr>
            <w:r>
              <w:rPr>
                <w:color w:val="000000"/>
              </w:rPr>
              <w:t> </w:t>
            </w:r>
          </w:p>
        </w:tc>
        <w:tc>
          <w:tcPr>
            <w:tcW w:w="1312" w:type="dxa"/>
            <w:tcBorders/>
            <w:shd w:fill="auto" w:val="clear"/>
            <w:vAlign w:val="bottom"/>
          </w:tcPr>
          <w:p>
            <w:pPr>
              <w:pStyle w:val="TableContents"/>
              <w:spacing w:before="0" w:after="0"/>
              <w:ind w:left="0" w:right="0" w:hanging="0"/>
              <w:jc w:val="right"/>
              <w:rPr>
                <w:color w:val="000000"/>
              </w:rPr>
            </w:pPr>
            <w:r>
              <w:rPr>
                <w:color w:val="000000"/>
              </w:rPr>
              <w:t>—</w:t>
            </w:r>
          </w:p>
        </w:tc>
        <w:tc>
          <w:tcPr>
            <w:tcW w:w="413" w:type="dxa"/>
            <w:tcBorders/>
            <w:shd w:fill="auto" w:val="clear"/>
            <w:vAlign w:val="bottom"/>
          </w:tcPr>
          <w:p>
            <w:pPr>
              <w:pStyle w:val="TableContents"/>
              <w:spacing w:before="0" w:after="0"/>
              <w:ind w:left="0" w:right="0" w:firstLine="75"/>
              <w:jc w:val="left"/>
              <w:rPr>
                <w:color w:val="000000"/>
              </w:rPr>
            </w:pPr>
            <w:r>
              <w:rPr>
                <w:color w:val="000000"/>
              </w:rPr>
              <w:t> </w:t>
            </w:r>
          </w:p>
        </w:tc>
        <w:tc>
          <w:tcPr>
            <w:tcW w:w="260" w:type="dxa"/>
            <w:tcBorders/>
            <w:shd w:fill="auto" w:val="clear"/>
            <w:vAlign w:val="bottom"/>
          </w:tcPr>
          <w:p>
            <w:pPr>
              <w:pStyle w:val="TableContents"/>
              <w:spacing w:before="0" w:after="0"/>
              <w:ind w:left="0" w:right="0" w:hanging="0"/>
              <w:jc w:val="right"/>
              <w:rPr>
                <w:color w:val="000000"/>
              </w:rPr>
            </w:pPr>
            <w:r>
              <w:rPr>
                <w:color w:val="000000"/>
              </w:rPr>
              <w:t> </w:t>
            </w:r>
          </w:p>
        </w:tc>
        <w:tc>
          <w:tcPr>
            <w:tcW w:w="1149" w:type="dxa"/>
            <w:tcBorders/>
            <w:shd w:fill="auto" w:val="clear"/>
            <w:vAlign w:val="bottom"/>
          </w:tcPr>
          <w:p>
            <w:pPr>
              <w:pStyle w:val="TableContents"/>
              <w:spacing w:before="0" w:after="0"/>
              <w:ind w:left="0" w:right="0" w:hanging="0"/>
              <w:jc w:val="right"/>
              <w:rPr>
                <w:color w:val="000000"/>
              </w:rPr>
            </w:pPr>
            <w:r>
              <w:rPr>
                <w:color w:val="000000"/>
              </w:rPr>
              <w:t>—</w:t>
            </w:r>
          </w:p>
        </w:tc>
        <w:tc>
          <w:tcPr>
            <w:tcW w:w="331" w:type="dxa"/>
            <w:tcBorders/>
            <w:shd w:fill="auto" w:val="clear"/>
            <w:vAlign w:val="bottom"/>
          </w:tcPr>
          <w:p>
            <w:pPr>
              <w:pStyle w:val="TableContents"/>
              <w:spacing w:before="0" w:after="0"/>
              <w:ind w:left="0" w:right="0" w:firstLine="75"/>
              <w:jc w:val="left"/>
              <w:rPr>
                <w:color w:val="000000"/>
              </w:rPr>
            </w:pPr>
            <w:r>
              <w:rPr>
                <w:color w:val="000000"/>
              </w:rPr>
              <w:t> </w:t>
            </w:r>
          </w:p>
        </w:tc>
        <w:tc>
          <w:tcPr>
            <w:tcW w:w="260" w:type="dxa"/>
            <w:tcBorders/>
            <w:shd w:fill="auto" w:val="clear"/>
            <w:vAlign w:val="bottom"/>
          </w:tcPr>
          <w:p>
            <w:pPr>
              <w:pStyle w:val="TableContents"/>
              <w:spacing w:before="0" w:after="0"/>
              <w:ind w:left="0" w:right="0" w:hanging="0"/>
              <w:jc w:val="right"/>
              <w:rPr>
                <w:color w:val="000000"/>
              </w:rPr>
            </w:pPr>
            <w:r>
              <w:rPr>
                <w:color w:val="000000"/>
              </w:rPr>
              <w:t> </w:t>
            </w:r>
          </w:p>
        </w:tc>
        <w:tc>
          <w:tcPr>
            <w:tcW w:w="1055" w:type="dxa"/>
            <w:tcBorders/>
            <w:shd w:fill="auto" w:val="clear"/>
            <w:vAlign w:val="bottom"/>
          </w:tcPr>
          <w:p>
            <w:pPr>
              <w:pStyle w:val="TableContents"/>
              <w:spacing w:before="0" w:after="0"/>
              <w:ind w:left="0" w:right="0" w:hanging="0"/>
              <w:jc w:val="right"/>
              <w:rPr>
                <w:color w:val="000000"/>
              </w:rPr>
            </w:pPr>
            <w:r>
              <w:rPr>
                <w:color w:val="000000"/>
              </w:rPr>
              <w:t>—</w:t>
            </w:r>
          </w:p>
        </w:tc>
        <w:tc>
          <w:tcPr>
            <w:tcW w:w="395" w:type="dxa"/>
            <w:tcBorders/>
            <w:shd w:fill="auto" w:val="clear"/>
            <w:vAlign w:val="bottom"/>
          </w:tcPr>
          <w:p>
            <w:pPr>
              <w:pStyle w:val="TableContents"/>
              <w:spacing w:before="0" w:after="0"/>
              <w:ind w:left="0" w:right="0" w:hanging="0"/>
              <w:jc w:val="left"/>
              <w:rPr>
                <w:color w:val="000000"/>
              </w:rPr>
            </w:pPr>
            <w:r>
              <w:rPr>
                <w:color w:val="000000"/>
              </w:rPr>
              <w:t> </w:t>
            </w:r>
          </w:p>
        </w:tc>
      </w:tr>
      <w:tr>
        <w:trPr/>
        <w:tc>
          <w:tcPr>
            <w:tcW w:w="4770" w:type="dxa"/>
            <w:tcBorders/>
            <w:shd w:fill="CCEEFF"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William Healy</w:t>
            </w:r>
          </w:p>
        </w:tc>
        <w:tc>
          <w:tcPr>
            <w:tcW w:w="260" w:type="dxa"/>
            <w:tcBorders/>
            <w:shd w:fill="CCEEFF" w:val="clear"/>
            <w:vAlign w:val="bottom"/>
          </w:tcPr>
          <w:p>
            <w:pPr>
              <w:pStyle w:val="TableContents"/>
              <w:spacing w:before="0" w:after="0"/>
              <w:ind w:left="0" w:right="0" w:hanging="0"/>
              <w:jc w:val="right"/>
              <w:rPr>
                <w:color w:val="000000"/>
              </w:rPr>
            </w:pPr>
            <w:r>
              <w:rPr>
                <w:color w:val="000000"/>
              </w:rPr>
              <w:t> </w:t>
            </w:r>
          </w:p>
        </w:tc>
        <w:tc>
          <w:tcPr>
            <w:tcW w:w="1312" w:type="dxa"/>
            <w:tcBorders/>
            <w:shd w:fill="CCEEFF" w:val="clear"/>
            <w:vAlign w:val="bottom"/>
          </w:tcPr>
          <w:p>
            <w:pPr>
              <w:pStyle w:val="TableContents"/>
              <w:spacing w:before="0" w:after="0"/>
              <w:ind w:left="0" w:right="0" w:hanging="0"/>
              <w:jc w:val="right"/>
              <w:rPr>
                <w:color w:val="000000"/>
              </w:rPr>
            </w:pPr>
            <w:r>
              <w:rPr>
                <w:color w:val="000000"/>
              </w:rPr>
              <w:t>—</w:t>
            </w:r>
          </w:p>
        </w:tc>
        <w:tc>
          <w:tcPr>
            <w:tcW w:w="413" w:type="dxa"/>
            <w:tcBorders/>
            <w:shd w:fill="CCEEFF" w:val="clear"/>
            <w:vAlign w:val="bottom"/>
          </w:tcPr>
          <w:p>
            <w:pPr>
              <w:pStyle w:val="TableContents"/>
              <w:spacing w:before="0" w:after="0"/>
              <w:ind w:left="0" w:right="0" w:firstLine="75"/>
              <w:jc w:val="left"/>
              <w:rPr>
                <w:color w:val="000000"/>
              </w:rPr>
            </w:pPr>
            <w:r>
              <w:rPr>
                <w:color w:val="000000"/>
              </w:rPr>
              <w:t> </w:t>
            </w:r>
          </w:p>
        </w:tc>
        <w:tc>
          <w:tcPr>
            <w:tcW w:w="260" w:type="dxa"/>
            <w:tcBorders/>
            <w:shd w:fill="CCEEFF" w:val="clear"/>
            <w:vAlign w:val="bottom"/>
          </w:tcPr>
          <w:p>
            <w:pPr>
              <w:pStyle w:val="TableContents"/>
              <w:spacing w:before="0" w:after="0"/>
              <w:ind w:left="0" w:right="0" w:hanging="0"/>
              <w:jc w:val="right"/>
              <w:rPr>
                <w:color w:val="000000"/>
              </w:rPr>
            </w:pPr>
            <w:r>
              <w:rPr>
                <w:color w:val="000000"/>
              </w:rPr>
              <w:t> </w:t>
            </w:r>
          </w:p>
        </w:tc>
        <w:tc>
          <w:tcPr>
            <w:tcW w:w="1149" w:type="dxa"/>
            <w:tcBorders/>
            <w:shd w:fill="CCEEFF" w:val="clear"/>
            <w:vAlign w:val="bottom"/>
          </w:tcPr>
          <w:p>
            <w:pPr>
              <w:pStyle w:val="TableContents"/>
              <w:spacing w:before="0" w:after="0"/>
              <w:ind w:left="0" w:right="0" w:hanging="0"/>
              <w:jc w:val="right"/>
              <w:rPr>
                <w:color w:val="000000"/>
              </w:rPr>
            </w:pPr>
            <w:r>
              <w:rPr>
                <w:color w:val="000000"/>
              </w:rPr>
              <w:t>—</w:t>
            </w:r>
          </w:p>
        </w:tc>
        <w:tc>
          <w:tcPr>
            <w:tcW w:w="331" w:type="dxa"/>
            <w:tcBorders/>
            <w:shd w:fill="CCEEFF" w:val="clear"/>
            <w:vAlign w:val="bottom"/>
          </w:tcPr>
          <w:p>
            <w:pPr>
              <w:pStyle w:val="TableContents"/>
              <w:spacing w:before="0" w:after="0"/>
              <w:ind w:left="0" w:right="0" w:firstLine="75"/>
              <w:jc w:val="left"/>
              <w:rPr>
                <w:color w:val="000000"/>
              </w:rPr>
            </w:pPr>
            <w:r>
              <w:rPr>
                <w:color w:val="000000"/>
              </w:rPr>
              <w:t> </w:t>
            </w:r>
          </w:p>
        </w:tc>
        <w:tc>
          <w:tcPr>
            <w:tcW w:w="260" w:type="dxa"/>
            <w:tcBorders/>
            <w:shd w:fill="CCEEFF" w:val="clear"/>
            <w:vAlign w:val="bottom"/>
          </w:tcPr>
          <w:p>
            <w:pPr>
              <w:pStyle w:val="TableContents"/>
              <w:spacing w:before="0" w:after="0"/>
              <w:ind w:left="0" w:right="0" w:hanging="0"/>
              <w:jc w:val="right"/>
              <w:rPr>
                <w:color w:val="000000"/>
              </w:rPr>
            </w:pPr>
            <w:r>
              <w:rPr>
                <w:color w:val="000000"/>
              </w:rPr>
              <w:t> </w:t>
            </w:r>
          </w:p>
        </w:tc>
        <w:tc>
          <w:tcPr>
            <w:tcW w:w="1055" w:type="dxa"/>
            <w:tcBorders/>
            <w:shd w:fill="CCEEFF" w:val="clear"/>
            <w:vAlign w:val="bottom"/>
          </w:tcPr>
          <w:p>
            <w:pPr>
              <w:pStyle w:val="TableContents"/>
              <w:spacing w:before="0" w:after="0"/>
              <w:ind w:left="0" w:right="0" w:hanging="0"/>
              <w:jc w:val="right"/>
              <w:rPr>
                <w:color w:val="000000"/>
              </w:rPr>
            </w:pPr>
            <w:r>
              <w:rPr>
                <w:color w:val="000000"/>
              </w:rPr>
              <w:t>—</w:t>
            </w:r>
          </w:p>
        </w:tc>
        <w:tc>
          <w:tcPr>
            <w:tcW w:w="395" w:type="dxa"/>
            <w:tcBorders/>
            <w:shd w:fill="CCEEFF" w:val="clear"/>
            <w:vAlign w:val="bottom"/>
          </w:tcPr>
          <w:p>
            <w:pPr>
              <w:pStyle w:val="TableContents"/>
              <w:spacing w:before="0" w:after="0"/>
              <w:ind w:left="0" w:right="0" w:hanging="0"/>
              <w:jc w:val="left"/>
              <w:rPr>
                <w:color w:val="000000"/>
              </w:rPr>
            </w:pPr>
            <w:r>
              <w:rPr>
                <w:color w:val="000000"/>
              </w:rPr>
              <w:t> </w:t>
            </w:r>
          </w:p>
        </w:tc>
      </w:tr>
      <w:tr>
        <w:trPr/>
        <w:tc>
          <w:tcPr>
            <w:tcW w:w="4770" w:type="dxa"/>
            <w:tcBorders/>
            <w:shd w:fill="auto"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Gregory Gentile</w:t>
            </w:r>
          </w:p>
        </w:tc>
        <w:tc>
          <w:tcPr>
            <w:tcW w:w="260" w:type="dxa"/>
            <w:tcBorders/>
            <w:shd w:fill="auto" w:val="clear"/>
            <w:vAlign w:val="bottom"/>
          </w:tcPr>
          <w:p>
            <w:pPr>
              <w:pStyle w:val="TableContents"/>
              <w:spacing w:before="0" w:after="0"/>
              <w:ind w:left="0" w:right="0" w:hanging="0"/>
              <w:jc w:val="right"/>
              <w:rPr>
                <w:color w:val="000000"/>
              </w:rPr>
            </w:pPr>
            <w:r>
              <w:rPr>
                <w:color w:val="000000"/>
              </w:rPr>
              <w:t> </w:t>
            </w:r>
          </w:p>
        </w:tc>
        <w:tc>
          <w:tcPr>
            <w:tcW w:w="1312" w:type="dxa"/>
            <w:tcBorders/>
            <w:shd w:fill="auto" w:val="clear"/>
            <w:vAlign w:val="bottom"/>
          </w:tcPr>
          <w:p>
            <w:pPr>
              <w:pStyle w:val="TableContents"/>
              <w:spacing w:before="0" w:after="0"/>
              <w:ind w:left="0" w:right="0" w:hanging="0"/>
              <w:jc w:val="right"/>
              <w:rPr>
                <w:color w:val="000000"/>
              </w:rPr>
            </w:pPr>
            <w:r>
              <w:rPr>
                <w:color w:val="000000"/>
              </w:rPr>
              <w:t>—</w:t>
            </w:r>
          </w:p>
        </w:tc>
        <w:tc>
          <w:tcPr>
            <w:tcW w:w="413" w:type="dxa"/>
            <w:tcBorders/>
            <w:shd w:fill="auto" w:val="clear"/>
            <w:vAlign w:val="bottom"/>
          </w:tcPr>
          <w:p>
            <w:pPr>
              <w:pStyle w:val="TableContents"/>
              <w:spacing w:before="0" w:after="0"/>
              <w:ind w:left="0" w:right="0" w:firstLine="75"/>
              <w:jc w:val="left"/>
              <w:rPr>
                <w:color w:val="000000"/>
              </w:rPr>
            </w:pPr>
            <w:r>
              <w:rPr>
                <w:color w:val="000000"/>
              </w:rPr>
              <w:t> </w:t>
            </w:r>
          </w:p>
        </w:tc>
        <w:tc>
          <w:tcPr>
            <w:tcW w:w="260" w:type="dxa"/>
            <w:tcBorders/>
            <w:shd w:fill="auto" w:val="clear"/>
            <w:vAlign w:val="bottom"/>
          </w:tcPr>
          <w:p>
            <w:pPr>
              <w:pStyle w:val="TableContents"/>
              <w:spacing w:before="0" w:after="0"/>
              <w:ind w:left="0" w:right="0" w:hanging="0"/>
              <w:jc w:val="right"/>
              <w:rPr>
                <w:color w:val="000000"/>
              </w:rPr>
            </w:pPr>
            <w:r>
              <w:rPr>
                <w:color w:val="000000"/>
              </w:rPr>
              <w:t> </w:t>
            </w:r>
          </w:p>
        </w:tc>
        <w:tc>
          <w:tcPr>
            <w:tcW w:w="1149" w:type="dxa"/>
            <w:tcBorders/>
            <w:shd w:fill="auto" w:val="clear"/>
            <w:vAlign w:val="bottom"/>
          </w:tcPr>
          <w:p>
            <w:pPr>
              <w:pStyle w:val="TableContents"/>
              <w:spacing w:before="0" w:after="0"/>
              <w:ind w:left="0" w:right="0" w:hanging="0"/>
              <w:jc w:val="right"/>
              <w:rPr>
                <w:color w:val="000000"/>
              </w:rPr>
            </w:pPr>
            <w:r>
              <w:rPr>
                <w:color w:val="000000"/>
              </w:rPr>
              <w:t>—</w:t>
            </w:r>
          </w:p>
        </w:tc>
        <w:tc>
          <w:tcPr>
            <w:tcW w:w="331" w:type="dxa"/>
            <w:tcBorders/>
            <w:shd w:fill="auto" w:val="clear"/>
            <w:vAlign w:val="bottom"/>
          </w:tcPr>
          <w:p>
            <w:pPr>
              <w:pStyle w:val="TableContents"/>
              <w:spacing w:before="0" w:after="0"/>
              <w:ind w:left="0" w:right="0" w:firstLine="75"/>
              <w:jc w:val="left"/>
              <w:rPr>
                <w:color w:val="000000"/>
              </w:rPr>
            </w:pPr>
            <w:r>
              <w:rPr>
                <w:color w:val="000000"/>
              </w:rPr>
              <w:t> </w:t>
            </w:r>
          </w:p>
        </w:tc>
        <w:tc>
          <w:tcPr>
            <w:tcW w:w="260" w:type="dxa"/>
            <w:tcBorders/>
            <w:shd w:fill="auto" w:val="clear"/>
            <w:vAlign w:val="bottom"/>
          </w:tcPr>
          <w:p>
            <w:pPr>
              <w:pStyle w:val="TableContents"/>
              <w:spacing w:before="0" w:after="0"/>
              <w:ind w:left="0" w:right="0" w:hanging="0"/>
              <w:jc w:val="right"/>
              <w:rPr>
                <w:color w:val="000000"/>
              </w:rPr>
            </w:pPr>
            <w:r>
              <w:rPr>
                <w:color w:val="000000"/>
              </w:rPr>
              <w:t> </w:t>
            </w:r>
          </w:p>
        </w:tc>
        <w:tc>
          <w:tcPr>
            <w:tcW w:w="1055" w:type="dxa"/>
            <w:tcBorders/>
            <w:shd w:fill="auto" w:val="clear"/>
            <w:vAlign w:val="bottom"/>
          </w:tcPr>
          <w:p>
            <w:pPr>
              <w:pStyle w:val="TableContents"/>
              <w:spacing w:before="0" w:after="0"/>
              <w:ind w:left="0" w:right="0" w:hanging="0"/>
              <w:jc w:val="right"/>
              <w:rPr>
                <w:color w:val="000000"/>
              </w:rPr>
            </w:pPr>
            <w:r>
              <w:rPr>
                <w:color w:val="000000"/>
              </w:rPr>
              <w:t>—</w:t>
            </w:r>
          </w:p>
        </w:tc>
        <w:tc>
          <w:tcPr>
            <w:tcW w:w="395" w:type="dxa"/>
            <w:tcBorders/>
            <w:shd w:fill="auto" w:val="clear"/>
            <w:vAlign w:val="bottom"/>
          </w:tcPr>
          <w:p>
            <w:pPr>
              <w:pStyle w:val="TableContents"/>
              <w:spacing w:before="0" w:after="0"/>
              <w:ind w:left="0" w:right="0" w:hanging="0"/>
              <w:jc w:val="left"/>
              <w:rPr>
                <w:color w:val="000000"/>
              </w:rPr>
            </w:pPr>
            <w:r>
              <w:rPr>
                <w:color w:val="000000"/>
              </w:rPr>
              <w:t> </w:t>
            </w:r>
          </w:p>
        </w:tc>
      </w:tr>
      <w:tr>
        <w:trPr/>
        <w:tc>
          <w:tcPr>
            <w:tcW w:w="4770" w:type="dxa"/>
            <w:tcBorders/>
            <w:shd w:fill="CCEEFF"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Mohammed Grimeh</w:t>
            </w:r>
          </w:p>
        </w:tc>
        <w:tc>
          <w:tcPr>
            <w:tcW w:w="260" w:type="dxa"/>
            <w:tcBorders/>
            <w:shd w:fill="CCEEFF" w:val="clear"/>
            <w:vAlign w:val="bottom"/>
          </w:tcPr>
          <w:p>
            <w:pPr>
              <w:pStyle w:val="TableContents"/>
              <w:spacing w:before="0" w:after="0"/>
              <w:ind w:left="0" w:right="0" w:hanging="0"/>
              <w:jc w:val="right"/>
              <w:rPr>
                <w:color w:val="000000"/>
              </w:rPr>
            </w:pPr>
            <w:r>
              <w:rPr>
                <w:color w:val="000000"/>
              </w:rPr>
              <w:t> </w:t>
            </w:r>
          </w:p>
        </w:tc>
        <w:tc>
          <w:tcPr>
            <w:tcW w:w="1312" w:type="dxa"/>
            <w:tcBorders/>
            <w:shd w:fill="CCEEFF" w:val="clear"/>
            <w:vAlign w:val="bottom"/>
          </w:tcPr>
          <w:p>
            <w:pPr>
              <w:pStyle w:val="TableContents"/>
              <w:spacing w:before="0" w:after="0"/>
              <w:ind w:left="0" w:right="0" w:hanging="0"/>
              <w:jc w:val="right"/>
              <w:rPr>
                <w:color w:val="000000"/>
              </w:rPr>
            </w:pPr>
            <w:r>
              <w:rPr>
                <w:color w:val="000000"/>
              </w:rPr>
              <w:t>—</w:t>
            </w:r>
          </w:p>
        </w:tc>
        <w:tc>
          <w:tcPr>
            <w:tcW w:w="413" w:type="dxa"/>
            <w:tcBorders/>
            <w:shd w:fill="CCEEFF" w:val="clear"/>
            <w:vAlign w:val="bottom"/>
          </w:tcPr>
          <w:p>
            <w:pPr>
              <w:pStyle w:val="TableContents"/>
              <w:spacing w:before="0" w:after="0"/>
              <w:ind w:left="0" w:right="0" w:firstLine="75"/>
              <w:jc w:val="left"/>
              <w:rPr>
                <w:color w:val="000000"/>
              </w:rPr>
            </w:pPr>
            <w:r>
              <w:rPr>
                <w:color w:val="000000"/>
              </w:rPr>
              <w:t> </w:t>
            </w:r>
          </w:p>
        </w:tc>
        <w:tc>
          <w:tcPr>
            <w:tcW w:w="260" w:type="dxa"/>
            <w:tcBorders/>
            <w:shd w:fill="CCEEFF" w:val="clear"/>
            <w:vAlign w:val="bottom"/>
          </w:tcPr>
          <w:p>
            <w:pPr>
              <w:pStyle w:val="TableContents"/>
              <w:spacing w:before="0" w:after="0"/>
              <w:ind w:left="0" w:right="0" w:hanging="0"/>
              <w:jc w:val="right"/>
              <w:rPr>
                <w:color w:val="000000"/>
              </w:rPr>
            </w:pPr>
            <w:r>
              <w:rPr>
                <w:color w:val="000000"/>
              </w:rPr>
              <w:t> </w:t>
            </w:r>
          </w:p>
        </w:tc>
        <w:tc>
          <w:tcPr>
            <w:tcW w:w="1149" w:type="dxa"/>
            <w:tcBorders/>
            <w:shd w:fill="CCEEFF" w:val="clear"/>
            <w:vAlign w:val="bottom"/>
          </w:tcPr>
          <w:p>
            <w:pPr>
              <w:pStyle w:val="TableContents"/>
              <w:spacing w:before="0" w:after="0"/>
              <w:ind w:left="0" w:right="0" w:hanging="0"/>
              <w:jc w:val="right"/>
              <w:rPr>
                <w:color w:val="000000"/>
              </w:rPr>
            </w:pPr>
            <w:r>
              <w:rPr>
                <w:color w:val="000000"/>
              </w:rPr>
              <w:t>—</w:t>
            </w:r>
          </w:p>
        </w:tc>
        <w:tc>
          <w:tcPr>
            <w:tcW w:w="331" w:type="dxa"/>
            <w:tcBorders/>
            <w:shd w:fill="CCEEFF" w:val="clear"/>
            <w:vAlign w:val="bottom"/>
          </w:tcPr>
          <w:p>
            <w:pPr>
              <w:pStyle w:val="TableContents"/>
              <w:spacing w:before="0" w:after="0"/>
              <w:ind w:left="0" w:right="0" w:firstLine="75"/>
              <w:jc w:val="left"/>
              <w:rPr>
                <w:color w:val="000000"/>
              </w:rPr>
            </w:pPr>
            <w:r>
              <w:rPr>
                <w:color w:val="000000"/>
              </w:rPr>
              <w:t> </w:t>
            </w:r>
          </w:p>
        </w:tc>
        <w:tc>
          <w:tcPr>
            <w:tcW w:w="260" w:type="dxa"/>
            <w:tcBorders/>
            <w:shd w:fill="CCEEFF" w:val="clear"/>
            <w:vAlign w:val="bottom"/>
          </w:tcPr>
          <w:p>
            <w:pPr>
              <w:pStyle w:val="TableContents"/>
              <w:spacing w:before="0" w:after="0"/>
              <w:ind w:left="0" w:right="0" w:hanging="0"/>
              <w:jc w:val="right"/>
              <w:rPr>
                <w:color w:val="000000"/>
              </w:rPr>
            </w:pPr>
            <w:r>
              <w:rPr>
                <w:color w:val="000000"/>
              </w:rPr>
              <w:t> </w:t>
            </w:r>
          </w:p>
        </w:tc>
        <w:tc>
          <w:tcPr>
            <w:tcW w:w="1055" w:type="dxa"/>
            <w:tcBorders/>
            <w:shd w:fill="CCEEFF" w:val="clear"/>
            <w:vAlign w:val="bottom"/>
          </w:tcPr>
          <w:p>
            <w:pPr>
              <w:pStyle w:val="TableContents"/>
              <w:spacing w:before="0" w:after="0"/>
              <w:ind w:left="0" w:right="0" w:hanging="0"/>
              <w:jc w:val="right"/>
              <w:rPr>
                <w:color w:val="000000"/>
              </w:rPr>
            </w:pPr>
            <w:r>
              <w:rPr>
                <w:color w:val="000000"/>
              </w:rPr>
              <w:t>—</w:t>
            </w:r>
          </w:p>
        </w:tc>
        <w:tc>
          <w:tcPr>
            <w:tcW w:w="395" w:type="dxa"/>
            <w:tcBorders/>
            <w:shd w:fill="CCEEFF" w:val="clear"/>
            <w:vAlign w:val="bottom"/>
          </w:tcPr>
          <w:p>
            <w:pPr>
              <w:pStyle w:val="TableContents"/>
              <w:spacing w:before="0" w:after="0"/>
              <w:ind w:left="0" w:right="0" w:hanging="0"/>
              <w:jc w:val="left"/>
              <w:rPr>
                <w:color w:val="000000"/>
              </w:rPr>
            </w:pPr>
            <w:r>
              <w:rPr>
                <w:color w:val="000000"/>
              </w:rPr>
              <w:t> </w:t>
            </w:r>
          </w:p>
        </w:tc>
      </w:tr>
      <w:tr>
        <w:trPr/>
        <w:tc>
          <w:tcPr>
            <w:tcW w:w="4770" w:type="dxa"/>
            <w:tcBorders/>
            <w:shd w:fill="auto"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Orrin Devinsky</w:t>
            </w:r>
          </w:p>
        </w:tc>
        <w:tc>
          <w:tcPr>
            <w:tcW w:w="260" w:type="dxa"/>
            <w:tcBorders/>
            <w:shd w:fill="auto" w:val="clear"/>
            <w:vAlign w:val="bottom"/>
          </w:tcPr>
          <w:p>
            <w:pPr>
              <w:pStyle w:val="TableContents"/>
              <w:spacing w:before="0" w:after="0"/>
              <w:ind w:left="0" w:right="0" w:hanging="0"/>
              <w:jc w:val="right"/>
              <w:rPr>
                <w:color w:val="000000"/>
              </w:rPr>
            </w:pPr>
            <w:r>
              <w:rPr>
                <w:color w:val="000000"/>
              </w:rPr>
              <w:t> </w:t>
            </w:r>
          </w:p>
        </w:tc>
        <w:tc>
          <w:tcPr>
            <w:tcW w:w="1312" w:type="dxa"/>
            <w:tcBorders/>
            <w:shd w:fill="auto" w:val="clear"/>
            <w:vAlign w:val="bottom"/>
          </w:tcPr>
          <w:p>
            <w:pPr>
              <w:pStyle w:val="TableContents"/>
              <w:spacing w:before="0" w:after="0"/>
              <w:ind w:left="0" w:right="0" w:hanging="0"/>
              <w:jc w:val="right"/>
              <w:rPr>
                <w:color w:val="000000"/>
              </w:rPr>
            </w:pPr>
            <w:r>
              <w:rPr>
                <w:color w:val="000000"/>
              </w:rPr>
              <w:t>—</w:t>
            </w:r>
          </w:p>
        </w:tc>
        <w:tc>
          <w:tcPr>
            <w:tcW w:w="413" w:type="dxa"/>
            <w:tcBorders/>
            <w:shd w:fill="auto" w:val="clear"/>
            <w:vAlign w:val="bottom"/>
          </w:tcPr>
          <w:p>
            <w:pPr>
              <w:pStyle w:val="TableContents"/>
              <w:spacing w:before="0" w:after="0"/>
              <w:ind w:left="0" w:right="0" w:firstLine="75"/>
              <w:jc w:val="left"/>
              <w:rPr>
                <w:color w:val="000000"/>
              </w:rPr>
            </w:pPr>
            <w:r>
              <w:rPr>
                <w:color w:val="000000"/>
              </w:rPr>
              <w:t> </w:t>
            </w:r>
          </w:p>
        </w:tc>
        <w:tc>
          <w:tcPr>
            <w:tcW w:w="260" w:type="dxa"/>
            <w:tcBorders/>
            <w:shd w:fill="auto" w:val="clear"/>
            <w:vAlign w:val="bottom"/>
          </w:tcPr>
          <w:p>
            <w:pPr>
              <w:pStyle w:val="TableContents"/>
              <w:spacing w:before="0" w:after="0"/>
              <w:ind w:left="0" w:right="0" w:hanging="0"/>
              <w:jc w:val="right"/>
              <w:rPr>
                <w:color w:val="000000"/>
              </w:rPr>
            </w:pPr>
            <w:r>
              <w:rPr>
                <w:color w:val="000000"/>
              </w:rPr>
              <w:t> </w:t>
            </w:r>
          </w:p>
        </w:tc>
        <w:tc>
          <w:tcPr>
            <w:tcW w:w="1149" w:type="dxa"/>
            <w:tcBorders/>
            <w:shd w:fill="auto" w:val="clear"/>
            <w:vAlign w:val="bottom"/>
          </w:tcPr>
          <w:p>
            <w:pPr>
              <w:pStyle w:val="TableContents"/>
              <w:spacing w:before="0" w:after="0"/>
              <w:ind w:left="0" w:right="0" w:hanging="0"/>
              <w:jc w:val="right"/>
              <w:rPr>
                <w:color w:val="000000"/>
              </w:rPr>
            </w:pPr>
            <w:r>
              <w:rPr>
                <w:color w:val="000000"/>
              </w:rPr>
              <w:t>—</w:t>
            </w:r>
          </w:p>
        </w:tc>
        <w:tc>
          <w:tcPr>
            <w:tcW w:w="331" w:type="dxa"/>
            <w:tcBorders/>
            <w:shd w:fill="auto" w:val="clear"/>
            <w:vAlign w:val="bottom"/>
          </w:tcPr>
          <w:p>
            <w:pPr>
              <w:pStyle w:val="TableContents"/>
              <w:spacing w:before="0" w:after="0"/>
              <w:ind w:left="0" w:right="0" w:firstLine="75"/>
              <w:jc w:val="left"/>
              <w:rPr>
                <w:color w:val="000000"/>
              </w:rPr>
            </w:pPr>
            <w:r>
              <w:rPr>
                <w:color w:val="000000"/>
              </w:rPr>
              <w:t> </w:t>
            </w:r>
          </w:p>
        </w:tc>
        <w:tc>
          <w:tcPr>
            <w:tcW w:w="260" w:type="dxa"/>
            <w:tcBorders/>
            <w:shd w:fill="auto" w:val="clear"/>
            <w:vAlign w:val="bottom"/>
          </w:tcPr>
          <w:p>
            <w:pPr>
              <w:pStyle w:val="TableContents"/>
              <w:spacing w:before="0" w:after="0"/>
              <w:ind w:left="0" w:right="0" w:hanging="0"/>
              <w:jc w:val="right"/>
              <w:rPr>
                <w:color w:val="000000"/>
              </w:rPr>
            </w:pPr>
            <w:r>
              <w:rPr>
                <w:color w:val="000000"/>
              </w:rPr>
              <w:t> </w:t>
            </w:r>
          </w:p>
        </w:tc>
        <w:tc>
          <w:tcPr>
            <w:tcW w:w="1055" w:type="dxa"/>
            <w:tcBorders/>
            <w:shd w:fill="auto" w:val="clear"/>
            <w:vAlign w:val="bottom"/>
          </w:tcPr>
          <w:p>
            <w:pPr>
              <w:pStyle w:val="TableContents"/>
              <w:spacing w:before="0" w:after="0"/>
              <w:ind w:left="0" w:right="0" w:hanging="0"/>
              <w:jc w:val="right"/>
              <w:rPr>
                <w:color w:val="000000"/>
              </w:rPr>
            </w:pPr>
            <w:r>
              <w:rPr>
                <w:color w:val="000000"/>
              </w:rPr>
              <w:t>—</w:t>
            </w:r>
          </w:p>
        </w:tc>
        <w:tc>
          <w:tcPr>
            <w:tcW w:w="395" w:type="dxa"/>
            <w:tcBorders/>
            <w:shd w:fill="auto" w:val="clear"/>
            <w:vAlign w:val="bottom"/>
          </w:tcPr>
          <w:p>
            <w:pPr>
              <w:pStyle w:val="TableContents"/>
              <w:spacing w:before="0" w:after="0"/>
              <w:ind w:left="0" w:right="0" w:hanging="0"/>
              <w:jc w:val="left"/>
              <w:rPr>
                <w:color w:val="000000"/>
              </w:rPr>
            </w:pPr>
            <w:r>
              <w:rPr>
                <w:color w:val="000000"/>
              </w:rPr>
              <w:t> </w:t>
            </w:r>
          </w:p>
        </w:tc>
      </w:tr>
      <w:tr>
        <w:trPr/>
        <w:tc>
          <w:tcPr>
            <w:tcW w:w="4770" w:type="dxa"/>
            <w:tcBorders/>
            <w:shd w:fill="CCEEFF"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Richard Goldman</w:t>
            </w:r>
          </w:p>
        </w:tc>
        <w:tc>
          <w:tcPr>
            <w:tcW w:w="260" w:type="dxa"/>
            <w:tcBorders/>
            <w:shd w:fill="CCEEFF" w:val="clear"/>
            <w:vAlign w:val="bottom"/>
          </w:tcPr>
          <w:p>
            <w:pPr>
              <w:pStyle w:val="TableContents"/>
              <w:spacing w:before="0" w:after="0"/>
              <w:ind w:left="0" w:right="0" w:hanging="0"/>
              <w:jc w:val="right"/>
              <w:rPr>
                <w:color w:val="000000"/>
              </w:rPr>
            </w:pPr>
            <w:r>
              <w:rPr>
                <w:color w:val="000000"/>
              </w:rPr>
              <w:t> </w:t>
            </w:r>
          </w:p>
        </w:tc>
        <w:tc>
          <w:tcPr>
            <w:tcW w:w="1312" w:type="dxa"/>
            <w:tcBorders/>
            <w:shd w:fill="CCEEFF" w:val="clear"/>
            <w:vAlign w:val="bottom"/>
          </w:tcPr>
          <w:p>
            <w:pPr>
              <w:pStyle w:val="TableContents"/>
              <w:spacing w:before="0" w:after="0"/>
              <w:ind w:left="0" w:right="0" w:hanging="0"/>
              <w:jc w:val="right"/>
              <w:rPr>
                <w:color w:val="000000"/>
              </w:rPr>
            </w:pPr>
            <w:r>
              <w:rPr>
                <w:color w:val="000000"/>
              </w:rPr>
              <w:t>—</w:t>
            </w:r>
          </w:p>
        </w:tc>
        <w:tc>
          <w:tcPr>
            <w:tcW w:w="413" w:type="dxa"/>
            <w:tcBorders/>
            <w:shd w:fill="CCEEFF" w:val="clear"/>
            <w:vAlign w:val="bottom"/>
          </w:tcPr>
          <w:p>
            <w:pPr>
              <w:pStyle w:val="TableContents"/>
              <w:spacing w:before="0" w:after="0"/>
              <w:ind w:left="0" w:right="0" w:firstLine="75"/>
              <w:jc w:val="left"/>
              <w:rPr>
                <w:color w:val="000000"/>
              </w:rPr>
            </w:pPr>
            <w:r>
              <w:rPr>
                <w:color w:val="000000"/>
              </w:rPr>
              <w:t> </w:t>
            </w:r>
          </w:p>
        </w:tc>
        <w:tc>
          <w:tcPr>
            <w:tcW w:w="260" w:type="dxa"/>
            <w:tcBorders/>
            <w:shd w:fill="CCEEFF" w:val="clear"/>
            <w:vAlign w:val="bottom"/>
          </w:tcPr>
          <w:p>
            <w:pPr>
              <w:pStyle w:val="TableContents"/>
              <w:spacing w:before="0" w:after="0"/>
              <w:ind w:left="0" w:right="0" w:hanging="0"/>
              <w:jc w:val="right"/>
              <w:rPr>
                <w:color w:val="000000"/>
              </w:rPr>
            </w:pPr>
            <w:r>
              <w:rPr>
                <w:color w:val="000000"/>
              </w:rPr>
              <w:t> </w:t>
            </w:r>
          </w:p>
        </w:tc>
        <w:tc>
          <w:tcPr>
            <w:tcW w:w="1149" w:type="dxa"/>
            <w:tcBorders/>
            <w:shd w:fill="CCEEFF" w:val="clear"/>
            <w:vAlign w:val="bottom"/>
          </w:tcPr>
          <w:p>
            <w:pPr>
              <w:pStyle w:val="TableContents"/>
              <w:spacing w:before="0" w:after="0"/>
              <w:ind w:left="0" w:right="0" w:hanging="0"/>
              <w:jc w:val="right"/>
              <w:rPr>
                <w:color w:val="000000"/>
              </w:rPr>
            </w:pPr>
            <w:r>
              <w:rPr>
                <w:color w:val="000000"/>
              </w:rPr>
              <w:t>—</w:t>
            </w:r>
          </w:p>
        </w:tc>
        <w:tc>
          <w:tcPr>
            <w:tcW w:w="331" w:type="dxa"/>
            <w:tcBorders/>
            <w:shd w:fill="CCEEFF" w:val="clear"/>
            <w:vAlign w:val="bottom"/>
          </w:tcPr>
          <w:p>
            <w:pPr>
              <w:pStyle w:val="TableContents"/>
              <w:spacing w:before="0" w:after="0"/>
              <w:ind w:left="0" w:right="0" w:firstLine="75"/>
              <w:jc w:val="left"/>
              <w:rPr>
                <w:color w:val="000000"/>
              </w:rPr>
            </w:pPr>
            <w:r>
              <w:rPr>
                <w:color w:val="000000"/>
              </w:rPr>
              <w:t> </w:t>
            </w:r>
          </w:p>
        </w:tc>
        <w:tc>
          <w:tcPr>
            <w:tcW w:w="260" w:type="dxa"/>
            <w:tcBorders/>
            <w:shd w:fill="CCEEFF" w:val="clear"/>
            <w:vAlign w:val="bottom"/>
          </w:tcPr>
          <w:p>
            <w:pPr>
              <w:pStyle w:val="TableContents"/>
              <w:spacing w:before="0" w:after="0"/>
              <w:ind w:left="0" w:right="0" w:hanging="0"/>
              <w:jc w:val="right"/>
              <w:rPr>
                <w:color w:val="000000"/>
              </w:rPr>
            </w:pPr>
            <w:r>
              <w:rPr>
                <w:color w:val="000000"/>
              </w:rPr>
              <w:t> </w:t>
            </w:r>
          </w:p>
        </w:tc>
        <w:tc>
          <w:tcPr>
            <w:tcW w:w="1055" w:type="dxa"/>
            <w:tcBorders/>
            <w:shd w:fill="CCEEFF" w:val="clear"/>
            <w:vAlign w:val="bottom"/>
          </w:tcPr>
          <w:p>
            <w:pPr>
              <w:pStyle w:val="TableContents"/>
              <w:spacing w:before="0" w:after="0"/>
              <w:ind w:left="0" w:right="0" w:hanging="0"/>
              <w:jc w:val="right"/>
              <w:rPr>
                <w:color w:val="000000"/>
              </w:rPr>
            </w:pPr>
            <w:r>
              <w:rPr>
                <w:color w:val="000000"/>
              </w:rPr>
              <w:t>—</w:t>
            </w:r>
          </w:p>
        </w:tc>
        <w:tc>
          <w:tcPr>
            <w:tcW w:w="395" w:type="dxa"/>
            <w:tcBorders/>
            <w:shd w:fill="CCEEFF" w:val="clear"/>
            <w:vAlign w:val="bottom"/>
          </w:tcPr>
          <w:p>
            <w:pPr>
              <w:pStyle w:val="TableContents"/>
              <w:spacing w:before="0" w:after="0"/>
              <w:ind w:left="0" w:right="0" w:hanging="0"/>
              <w:jc w:val="left"/>
              <w:rPr>
                <w:color w:val="000000"/>
              </w:rPr>
            </w:pPr>
            <w:r>
              <w:rPr>
                <w:color w:val="000000"/>
              </w:rPr>
              <w:t> </w:t>
            </w:r>
          </w:p>
        </w:tc>
      </w:tr>
      <w:tr>
        <w:trPr/>
        <w:tc>
          <w:tcPr>
            <w:tcW w:w="4770" w:type="dxa"/>
            <w:tcBorders/>
            <w:shd w:fill="auto"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Kenneth Landis</w:t>
            </w:r>
          </w:p>
        </w:tc>
        <w:tc>
          <w:tcPr>
            <w:tcW w:w="260" w:type="dxa"/>
            <w:tcBorders/>
            <w:shd w:fill="auto" w:val="clear"/>
            <w:vAlign w:val="bottom"/>
          </w:tcPr>
          <w:p>
            <w:pPr>
              <w:pStyle w:val="TableContents"/>
              <w:spacing w:before="0" w:after="0"/>
              <w:ind w:left="0" w:right="0" w:hanging="0"/>
              <w:jc w:val="right"/>
              <w:rPr>
                <w:color w:val="000000"/>
              </w:rPr>
            </w:pPr>
            <w:r>
              <w:rPr>
                <w:color w:val="000000"/>
              </w:rPr>
              <w:t> </w:t>
            </w:r>
          </w:p>
        </w:tc>
        <w:tc>
          <w:tcPr>
            <w:tcW w:w="1312" w:type="dxa"/>
            <w:tcBorders/>
            <w:shd w:fill="auto" w:val="clear"/>
            <w:vAlign w:val="bottom"/>
          </w:tcPr>
          <w:p>
            <w:pPr>
              <w:pStyle w:val="TableContents"/>
              <w:spacing w:before="0" w:after="0"/>
              <w:ind w:left="0" w:right="0" w:hanging="0"/>
              <w:jc w:val="right"/>
              <w:rPr>
                <w:color w:val="000000"/>
              </w:rPr>
            </w:pPr>
            <w:r>
              <w:rPr>
                <w:color w:val="000000"/>
              </w:rPr>
              <w:t>—</w:t>
            </w:r>
          </w:p>
        </w:tc>
        <w:tc>
          <w:tcPr>
            <w:tcW w:w="413" w:type="dxa"/>
            <w:tcBorders/>
            <w:shd w:fill="auto" w:val="clear"/>
            <w:vAlign w:val="bottom"/>
          </w:tcPr>
          <w:p>
            <w:pPr>
              <w:pStyle w:val="TableContents"/>
              <w:spacing w:before="0" w:after="0"/>
              <w:ind w:left="0" w:right="0" w:firstLine="75"/>
              <w:jc w:val="left"/>
              <w:rPr>
                <w:color w:val="000000"/>
              </w:rPr>
            </w:pPr>
            <w:r>
              <w:rPr>
                <w:color w:val="000000"/>
              </w:rPr>
              <w:t> </w:t>
            </w:r>
          </w:p>
        </w:tc>
        <w:tc>
          <w:tcPr>
            <w:tcW w:w="260" w:type="dxa"/>
            <w:tcBorders/>
            <w:shd w:fill="auto" w:val="clear"/>
            <w:vAlign w:val="bottom"/>
          </w:tcPr>
          <w:p>
            <w:pPr>
              <w:pStyle w:val="TableContents"/>
              <w:spacing w:before="0" w:after="0"/>
              <w:ind w:left="0" w:right="0" w:hanging="0"/>
              <w:jc w:val="right"/>
              <w:rPr>
                <w:color w:val="000000"/>
              </w:rPr>
            </w:pPr>
            <w:r>
              <w:rPr>
                <w:color w:val="000000"/>
              </w:rPr>
              <w:t> </w:t>
            </w:r>
          </w:p>
        </w:tc>
        <w:tc>
          <w:tcPr>
            <w:tcW w:w="1149" w:type="dxa"/>
            <w:tcBorders/>
            <w:shd w:fill="auto" w:val="clear"/>
            <w:vAlign w:val="bottom"/>
          </w:tcPr>
          <w:p>
            <w:pPr>
              <w:pStyle w:val="TableContents"/>
              <w:spacing w:before="0" w:after="0"/>
              <w:ind w:left="0" w:right="0" w:hanging="0"/>
              <w:jc w:val="right"/>
              <w:rPr>
                <w:color w:val="000000"/>
              </w:rPr>
            </w:pPr>
            <w:r>
              <w:rPr>
                <w:color w:val="000000"/>
              </w:rPr>
              <w:t>—</w:t>
            </w:r>
          </w:p>
        </w:tc>
        <w:tc>
          <w:tcPr>
            <w:tcW w:w="331" w:type="dxa"/>
            <w:tcBorders/>
            <w:shd w:fill="auto" w:val="clear"/>
            <w:vAlign w:val="bottom"/>
          </w:tcPr>
          <w:p>
            <w:pPr>
              <w:pStyle w:val="TableContents"/>
              <w:spacing w:before="0" w:after="0"/>
              <w:ind w:left="0" w:right="0" w:firstLine="75"/>
              <w:jc w:val="left"/>
              <w:rPr>
                <w:color w:val="000000"/>
              </w:rPr>
            </w:pPr>
            <w:r>
              <w:rPr>
                <w:color w:val="000000"/>
              </w:rPr>
              <w:t> </w:t>
            </w:r>
          </w:p>
        </w:tc>
        <w:tc>
          <w:tcPr>
            <w:tcW w:w="260" w:type="dxa"/>
            <w:tcBorders/>
            <w:shd w:fill="auto" w:val="clear"/>
            <w:vAlign w:val="bottom"/>
          </w:tcPr>
          <w:p>
            <w:pPr>
              <w:pStyle w:val="TableContents"/>
              <w:spacing w:before="0" w:after="0"/>
              <w:ind w:left="0" w:right="0" w:hanging="0"/>
              <w:jc w:val="right"/>
              <w:rPr>
                <w:color w:val="000000"/>
              </w:rPr>
            </w:pPr>
            <w:r>
              <w:rPr>
                <w:color w:val="000000"/>
              </w:rPr>
              <w:t> </w:t>
            </w:r>
          </w:p>
        </w:tc>
        <w:tc>
          <w:tcPr>
            <w:tcW w:w="1055" w:type="dxa"/>
            <w:tcBorders/>
            <w:shd w:fill="auto" w:val="clear"/>
            <w:vAlign w:val="bottom"/>
          </w:tcPr>
          <w:p>
            <w:pPr>
              <w:pStyle w:val="TableContents"/>
              <w:spacing w:before="0" w:after="0"/>
              <w:ind w:left="0" w:right="0" w:hanging="0"/>
              <w:jc w:val="right"/>
              <w:rPr>
                <w:color w:val="000000"/>
              </w:rPr>
            </w:pPr>
            <w:r>
              <w:rPr>
                <w:color w:val="000000"/>
              </w:rPr>
              <w:t>—</w:t>
            </w:r>
          </w:p>
        </w:tc>
        <w:tc>
          <w:tcPr>
            <w:tcW w:w="395" w:type="dxa"/>
            <w:tcBorders/>
            <w:shd w:fill="auto" w:val="clear"/>
            <w:vAlign w:val="bottom"/>
          </w:tcPr>
          <w:p>
            <w:pPr>
              <w:pStyle w:val="TableContents"/>
              <w:spacing w:before="0" w:after="0"/>
              <w:ind w:left="0" w:right="0" w:firstLine="195"/>
              <w:jc w:val="left"/>
              <w:rPr>
                <w:color w:val="000000"/>
              </w:rPr>
            </w:pPr>
            <w:r>
              <w:rPr>
                <w:color w:val="000000"/>
              </w:rPr>
              <w:t> </w:t>
            </w:r>
          </w:p>
        </w:tc>
      </w:tr>
      <w:tr>
        <w:trPr/>
        <w:tc>
          <w:tcPr>
            <w:tcW w:w="4770" w:type="dxa"/>
            <w:tcBorders/>
            <w:shd w:fill="CCEEFF"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All directors, director nominees and officers as a group (seven individuals)</w:t>
            </w:r>
          </w:p>
        </w:tc>
        <w:tc>
          <w:tcPr>
            <w:tcW w:w="260" w:type="dxa"/>
            <w:tcBorders/>
            <w:shd w:fill="CCEEFF" w:val="clear"/>
            <w:vAlign w:val="bottom"/>
          </w:tcPr>
          <w:p>
            <w:pPr>
              <w:pStyle w:val="TableContents"/>
              <w:spacing w:before="0" w:after="0"/>
              <w:ind w:left="0" w:right="0" w:hanging="0"/>
              <w:jc w:val="right"/>
              <w:rPr>
                <w:color w:val="000000"/>
              </w:rPr>
            </w:pPr>
            <w:r>
              <w:rPr>
                <w:color w:val="000000"/>
              </w:rPr>
              <w:t> </w:t>
            </w:r>
          </w:p>
        </w:tc>
        <w:tc>
          <w:tcPr>
            <w:tcW w:w="1312" w:type="dxa"/>
            <w:tcBorders/>
            <w:shd w:fill="CCEEFF" w:val="clear"/>
            <w:vAlign w:val="bottom"/>
          </w:tcPr>
          <w:p>
            <w:pPr>
              <w:pStyle w:val="TableContents"/>
              <w:spacing w:before="0" w:after="0"/>
              <w:ind w:left="0" w:right="0" w:hanging="0"/>
              <w:jc w:val="right"/>
              <w:rPr>
                <w:color w:val="000000"/>
              </w:rPr>
            </w:pPr>
            <w:r>
              <w:rPr>
                <w:color w:val="000000"/>
              </w:rPr>
              <w:t>—</w:t>
            </w:r>
          </w:p>
        </w:tc>
        <w:tc>
          <w:tcPr>
            <w:tcW w:w="413" w:type="dxa"/>
            <w:tcBorders/>
            <w:shd w:fill="CCEEFF" w:val="clear"/>
            <w:vAlign w:val="bottom"/>
          </w:tcPr>
          <w:p>
            <w:pPr>
              <w:pStyle w:val="TableContents"/>
              <w:spacing w:before="0" w:after="0"/>
              <w:ind w:left="0" w:right="0" w:firstLine="75"/>
              <w:jc w:val="left"/>
              <w:rPr>
                <w:color w:val="000000"/>
              </w:rPr>
            </w:pPr>
            <w:r>
              <w:rPr>
                <w:color w:val="000000"/>
              </w:rPr>
              <w:t> </w:t>
            </w:r>
          </w:p>
        </w:tc>
        <w:tc>
          <w:tcPr>
            <w:tcW w:w="260" w:type="dxa"/>
            <w:tcBorders/>
            <w:shd w:fill="CCEEFF" w:val="clear"/>
            <w:vAlign w:val="bottom"/>
          </w:tcPr>
          <w:p>
            <w:pPr>
              <w:pStyle w:val="TableContents"/>
              <w:spacing w:before="0" w:after="0"/>
              <w:ind w:left="0" w:right="0" w:hanging="0"/>
              <w:jc w:val="right"/>
              <w:rPr>
                <w:color w:val="000000"/>
              </w:rPr>
            </w:pPr>
            <w:r>
              <w:rPr>
                <w:color w:val="000000"/>
              </w:rPr>
              <w:t> </w:t>
            </w:r>
          </w:p>
        </w:tc>
        <w:tc>
          <w:tcPr>
            <w:tcW w:w="1149" w:type="dxa"/>
            <w:tcBorders/>
            <w:shd w:fill="CCEEFF" w:val="clear"/>
            <w:vAlign w:val="bottom"/>
          </w:tcPr>
          <w:p>
            <w:pPr>
              <w:pStyle w:val="TableContents"/>
              <w:spacing w:before="0" w:after="0"/>
              <w:ind w:left="0" w:right="0" w:hanging="0"/>
              <w:jc w:val="right"/>
              <w:rPr>
                <w:color w:val="000000"/>
              </w:rPr>
            </w:pPr>
            <w:r>
              <w:rPr>
                <w:color w:val="000000"/>
              </w:rPr>
              <w:t>—</w:t>
            </w:r>
          </w:p>
        </w:tc>
        <w:tc>
          <w:tcPr>
            <w:tcW w:w="331" w:type="dxa"/>
            <w:tcBorders/>
            <w:shd w:fill="CCEEFF" w:val="clear"/>
            <w:vAlign w:val="bottom"/>
          </w:tcPr>
          <w:p>
            <w:pPr>
              <w:pStyle w:val="TableContents"/>
              <w:spacing w:before="0" w:after="0"/>
              <w:ind w:left="0" w:right="0" w:firstLine="75"/>
              <w:jc w:val="left"/>
              <w:rPr>
                <w:color w:val="000000"/>
              </w:rPr>
            </w:pPr>
            <w:r>
              <w:rPr>
                <w:color w:val="000000"/>
              </w:rPr>
              <w:t> </w:t>
            </w:r>
          </w:p>
        </w:tc>
        <w:tc>
          <w:tcPr>
            <w:tcW w:w="260" w:type="dxa"/>
            <w:tcBorders/>
            <w:shd w:fill="CCEEFF" w:val="clear"/>
            <w:vAlign w:val="bottom"/>
          </w:tcPr>
          <w:p>
            <w:pPr>
              <w:pStyle w:val="TableContents"/>
              <w:spacing w:before="0" w:after="0"/>
              <w:ind w:left="0" w:right="0" w:hanging="0"/>
              <w:jc w:val="right"/>
              <w:rPr>
                <w:color w:val="000000"/>
              </w:rPr>
            </w:pPr>
            <w:r>
              <w:rPr>
                <w:color w:val="000000"/>
              </w:rPr>
              <w:t> </w:t>
            </w:r>
          </w:p>
        </w:tc>
        <w:tc>
          <w:tcPr>
            <w:tcW w:w="1055" w:type="dxa"/>
            <w:tcBorders/>
            <w:shd w:fill="CCEEFF" w:val="clear"/>
            <w:vAlign w:val="bottom"/>
          </w:tcPr>
          <w:p>
            <w:pPr>
              <w:pStyle w:val="TableContents"/>
              <w:spacing w:before="0" w:after="0"/>
              <w:ind w:left="0" w:right="0" w:hanging="0"/>
              <w:jc w:val="right"/>
              <w:rPr>
                <w:color w:val="000000"/>
              </w:rPr>
            </w:pPr>
            <w:r>
              <w:rPr>
                <w:color w:val="000000"/>
              </w:rPr>
              <w:t>—</w:t>
            </w:r>
          </w:p>
        </w:tc>
        <w:tc>
          <w:tcPr>
            <w:tcW w:w="395" w:type="dxa"/>
            <w:tcBorders/>
            <w:shd w:fill="CCEEFF" w:val="clear"/>
            <w:vAlign w:val="bottom"/>
          </w:tcPr>
          <w:p>
            <w:pPr>
              <w:pStyle w:val="TableContents"/>
              <w:spacing w:before="0" w:after="0"/>
              <w:jc w:val="left"/>
              <w:rPr>
                <w:color w:val="000000"/>
              </w:rPr>
            </w:pPr>
            <w:r>
              <w:rPr>
                <w:color w:val="000000"/>
              </w:rPr>
              <w:t> </w:t>
            </w:r>
          </w:p>
        </w:tc>
      </w:tr>
    </w:tbl>
    <w:tbl>
      <w:tblPr>
        <w:tblW w:w="5000" w:type="pct"/>
        <w:jc w:val="left"/>
        <w:tblInd w:w="0" w:type="dxa"/>
        <w:tblCellMar>
          <w:top w:w="0" w:type="dxa"/>
          <w:left w:w="0" w:type="dxa"/>
          <w:bottom w:w="0" w:type="dxa"/>
          <w:right w:w="0" w:type="dxa"/>
        </w:tblCellMar>
      </w:tblPr>
      <w:tblGrid>
        <w:gridCol w:w="246"/>
        <w:gridCol w:w="2530"/>
        <w:gridCol w:w="7429"/>
      </w:tblGrid>
      <w:tr>
        <w:trPr/>
        <w:tc>
          <w:tcPr>
            <w:tcW w:w="246" w:type="dxa"/>
            <w:tcBorders/>
            <w:shd w:fill="auto" w:val="clear"/>
            <w:vAlign w:val="center"/>
          </w:tcPr>
          <w:p>
            <w:pPr>
              <w:pStyle w:val="TableContents"/>
              <w:spacing w:before="0" w:after="283"/>
              <w:rPr>
                <w:sz w:val="4"/>
                <w:szCs w:val="4"/>
              </w:rPr>
            </w:pPr>
            <w:r>
              <w:rPr>
                <w:sz w:val="4"/>
                <w:szCs w:val="4"/>
              </w:rPr>
            </w:r>
          </w:p>
        </w:tc>
        <w:tc>
          <w:tcPr>
            <w:tcW w:w="2530" w:type="dxa"/>
            <w:tcBorders/>
            <w:shd w:fill="auto" w:val="clear"/>
            <w:vAlign w:val="center"/>
          </w:tcPr>
          <w:p>
            <w:pPr>
              <w:pStyle w:val="TableContents"/>
              <w:spacing w:before="0" w:after="283"/>
              <w:jc w:val="left"/>
              <w:rPr>
                <w:rFonts w:ascii="Times New Roman;Times;Serif" w:hAnsi="Times New Roman;Times;Serif"/>
                <w:color w:val="000000"/>
                <w:sz w:val="12"/>
              </w:rPr>
            </w:pPr>
            <w:r>
              <w:rPr>
                <w:rFonts w:ascii="Times New Roman;Times;Serif" w:hAnsi="Times New Roman;Times;Serif"/>
                <w:color w:val="000000"/>
                <w:sz w:val="12"/>
              </w:rPr>
              <w:t>*</w:t>
            </w:r>
          </w:p>
        </w:tc>
        <w:tc>
          <w:tcPr>
            <w:tcW w:w="7429" w:type="dxa"/>
            <w:tcBorders/>
            <w:shd w:fill="auto" w:val="clear"/>
            <w:vAlign w:val="center"/>
          </w:tcPr>
          <w:p>
            <w:pPr>
              <w:pStyle w:val="TableContents"/>
              <w:spacing w:before="0" w:after="283"/>
              <w:jc w:val="left"/>
              <w:rPr>
                <w:rFonts w:ascii="Times New Roman;Times;Serif" w:hAnsi="Times New Roman;Times;Serif"/>
                <w:color w:val="000000"/>
                <w:sz w:val="12"/>
              </w:rPr>
            </w:pPr>
            <w:r>
              <w:rPr>
                <w:rFonts w:ascii="Times New Roman;Times;Serif" w:hAnsi="Times New Roman;Times;Serif"/>
                <w:color w:val="000000"/>
                <w:sz w:val="12"/>
              </w:rPr>
              <w:t>Less than one percent.</w:t>
            </w:r>
          </w:p>
        </w:tc>
      </w:tr>
    </w:tbl>
    <w:tbl>
      <w:tblPr>
        <w:tblW w:w="5000" w:type="pct"/>
        <w:jc w:val="left"/>
        <w:tblInd w:w="0" w:type="dxa"/>
        <w:tblCellMar>
          <w:top w:w="0" w:type="dxa"/>
          <w:left w:w="0" w:type="dxa"/>
          <w:bottom w:w="0" w:type="dxa"/>
          <w:right w:w="0" w:type="dxa"/>
        </w:tblCellMar>
      </w:tblPr>
      <w:tblGrid>
        <w:gridCol w:w="42"/>
        <w:gridCol w:w="436"/>
        <w:gridCol w:w="9727"/>
      </w:tblGrid>
      <w:tr>
        <w:trPr/>
        <w:tc>
          <w:tcPr>
            <w:tcW w:w="42"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jc w:val="left"/>
              <w:rPr>
                <w:rFonts w:ascii="Times New Roman;Times;Serif" w:hAnsi="Times New Roman;Times;Serif"/>
                <w:color w:val="000000"/>
                <w:sz w:val="12"/>
              </w:rPr>
            </w:pPr>
            <w:r>
              <w:rPr>
                <w:rFonts w:ascii="Times New Roman;Times;Serif" w:hAnsi="Times New Roman;Times;Serif"/>
                <w:color w:val="000000"/>
                <w:sz w:val="12"/>
              </w:rPr>
              <w:t>(1)</w:t>
            </w:r>
          </w:p>
        </w:tc>
        <w:tc>
          <w:tcPr>
            <w:tcW w:w="9727" w:type="dxa"/>
            <w:tcBorders/>
            <w:shd w:fill="auto" w:val="clear"/>
            <w:vAlign w:val="center"/>
          </w:tcPr>
          <w:p>
            <w:pPr>
              <w:pStyle w:val="TableContents"/>
              <w:spacing w:before="0" w:after="283"/>
              <w:jc w:val="left"/>
              <w:rPr>
                <w:rFonts w:ascii="Times New Roman;Times;Serif" w:hAnsi="Times New Roman;Times;Serif"/>
                <w:color w:val="000000"/>
                <w:sz w:val="12"/>
              </w:rPr>
            </w:pPr>
            <w:r>
              <w:rPr>
                <w:rFonts w:ascii="Times New Roman;Times;Serif" w:hAnsi="Times New Roman;Times;Serif"/>
                <w:color w:val="000000"/>
                <w:sz w:val="12"/>
              </w:rPr>
              <w:t>Unless otherwise noted, the business address of each of the following entities or individuals is 1114 6th Ave, 41st Floor, New York, New York, 10036, United States of America.</w:t>
            </w:r>
          </w:p>
        </w:tc>
      </w:tr>
    </w:tbl>
    <w:tbl>
      <w:tblPr>
        <w:tblW w:w="5000" w:type="pct"/>
        <w:jc w:val="left"/>
        <w:tblInd w:w="0" w:type="dxa"/>
        <w:tblCellMar>
          <w:top w:w="0" w:type="dxa"/>
          <w:left w:w="0" w:type="dxa"/>
          <w:bottom w:w="0" w:type="dxa"/>
          <w:right w:w="0" w:type="dxa"/>
        </w:tblCellMar>
      </w:tblPr>
      <w:tblGrid>
        <w:gridCol w:w="37"/>
        <w:gridCol w:w="269"/>
        <w:gridCol w:w="9899"/>
      </w:tblGrid>
      <w:tr>
        <w:trPr/>
        <w:tc>
          <w:tcPr>
            <w:tcW w:w="37"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jc w:val="left"/>
              <w:rPr>
                <w:rFonts w:ascii="Times New Roman;Times;Serif" w:hAnsi="Times New Roman;Times;Serif"/>
                <w:color w:val="000000"/>
                <w:sz w:val="12"/>
              </w:rPr>
            </w:pPr>
            <w:r>
              <w:rPr>
                <w:rFonts w:ascii="Times New Roman;Times;Serif" w:hAnsi="Times New Roman;Times;Serif"/>
                <w:color w:val="000000"/>
                <w:sz w:val="12"/>
              </w:rPr>
              <w:t>(2)</w:t>
            </w:r>
          </w:p>
        </w:tc>
        <w:tc>
          <w:tcPr>
            <w:tcW w:w="9899" w:type="dxa"/>
            <w:tcBorders/>
            <w:shd w:fill="auto" w:val="clear"/>
            <w:vAlign w:val="center"/>
          </w:tcPr>
          <w:p>
            <w:pPr>
              <w:pStyle w:val="TableContents"/>
              <w:spacing w:before="0" w:after="283"/>
              <w:jc w:val="left"/>
              <w:rPr>
                <w:rFonts w:ascii="Times New Roman;Times;Serif" w:hAnsi="Times New Roman;Times;Serif"/>
                <w:color w:val="000000"/>
                <w:sz w:val="12"/>
              </w:rPr>
            </w:pPr>
            <w:r>
              <w:rPr>
                <w:rFonts w:ascii="Times New Roman;Times;Serif" w:hAnsi="Times New Roman;Times;Serif"/>
                <w:color w:val="000000"/>
                <w:sz w:val="12"/>
              </w:rPr>
              <w:t xml:space="preserve">Interests shown consist solely of founder shares, classified as Class B ordinary shares. Such shares will automatically convert into Class A ordinary shares on the first business day following our initial business combination on a one-for-one basis, subject to adjustment as described below adjacent to the caption Description of Securities—Founder Shares. </w:t>
            </w:r>
          </w:p>
        </w:tc>
      </w:tr>
    </w:tbl>
    <w:tbl>
      <w:tblPr>
        <w:tblW w:w="5000" w:type="pct"/>
        <w:jc w:val="left"/>
        <w:tblInd w:w="0" w:type="dxa"/>
        <w:tblCellMar>
          <w:top w:w="0" w:type="dxa"/>
          <w:left w:w="0" w:type="dxa"/>
          <w:bottom w:w="0" w:type="dxa"/>
          <w:right w:w="0" w:type="dxa"/>
        </w:tblCellMar>
      </w:tblPr>
      <w:tblGrid>
        <w:gridCol w:w="37"/>
        <w:gridCol w:w="199"/>
        <w:gridCol w:w="9969"/>
      </w:tblGrid>
      <w:tr>
        <w:trPr/>
        <w:tc>
          <w:tcPr>
            <w:tcW w:w="37"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jc w:val="left"/>
              <w:rPr>
                <w:rFonts w:ascii="Times New Roman;Times;Serif" w:hAnsi="Times New Roman;Times;Serif"/>
                <w:color w:val="000000"/>
                <w:sz w:val="12"/>
              </w:rPr>
            </w:pPr>
            <w:r>
              <w:rPr>
                <w:rFonts w:ascii="Times New Roman;Times;Serif" w:hAnsi="Times New Roman;Times;Serif"/>
                <w:color w:val="000000"/>
                <w:sz w:val="12"/>
              </w:rPr>
              <w:t>(3)</w:t>
            </w:r>
          </w:p>
        </w:tc>
        <w:tc>
          <w:tcPr>
            <w:tcW w:w="9969" w:type="dxa"/>
            <w:tcBorders/>
            <w:shd w:fill="auto" w:val="clear"/>
            <w:vAlign w:val="center"/>
          </w:tcPr>
          <w:p>
            <w:pPr>
              <w:pStyle w:val="TableContents"/>
              <w:spacing w:before="0" w:after="283"/>
              <w:jc w:val="left"/>
              <w:rPr>
                <w:rFonts w:ascii="Times New Roman;Times;Serif" w:hAnsi="Times New Roman;Times;Serif"/>
                <w:color w:val="000000"/>
                <w:sz w:val="12"/>
              </w:rPr>
            </w:pPr>
            <w:r>
              <w:rPr>
                <w:rFonts w:ascii="Times New Roman;Times;Serif" w:hAnsi="Times New Roman;Times;Serif"/>
                <w:color w:val="000000"/>
                <w:sz w:val="12"/>
              </w:rPr>
              <w:t xml:space="preserve">Our executive officers are the four managers of our sponsor's board of managers. Any action by our sponsor with respect to our company or the founders shares, including voting and dispositive decisions, requires a majority vote of the managers of the board of managers. Under the so-called rule of three, because voting and dispositive decisions are made by a majority of our sponsor's managers, none of the managers of our sponsor is deemed to be a beneficial owner of our sponsor's securities, even those in which he holds a pecuniary interest. Accordingly, none of our executive officers is deemed to have or share beneficial ownership of the founders shares held by our sponsor. </w:t>
            </w:r>
          </w:p>
        </w:tc>
      </w:tr>
    </w:tbl>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Immediately after this offering, our initial shareholders will beneficially own 20.0% of the then issued and outstanding ordinary shares (assuming our initial shareholders do not purchase any other units in this offering). Prior to our initial business combination, only holders of our founder shares will have the right to vote on the election of directors, and holders of a majority of our founder shares may remove a member of the board of directors for any reason. In addition, because of their ownership block, our initial shareholders may be able to effectively influence the outcome of all other matters requiring approval by our shareholders, including amendments to our amended and restated memorandum and articles of association and approval of significant corporate transactions.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Our sponsor has committed, pursuant to a written agreement, to purchase an aggregate of 7,000,000 (or 7,750,000 if the underwriters over-allotment option is exercised in full) private placement warrants at a price of $1.00 per warrant ($7,000,000 in the aggregate or $7,750,000 in the aggregate if the underwriters over-allotment </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120</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option is exercised in full) in a private placement that will occur simultaneously with the closing of this offering. Each private placement warrant entitles the holder to purchase one Class A ordinary share at a price of $11.50 per share, subject to adjustment as provided herein. The purchase price of the private placement warrants will be added to the proceeds from this offering to be held in the trust account. If we do not complete our initial business combination within 18 months from the closing of this offering, the proceeds of the sale of the private placement warrants held in the trust account will be used to fund the redemption of our public shares, and the private placement warrants will expire worthless. The private placement warrants are subject to the transfer restrictions described below. The private placement warrants will not be redeemable by us so long as they are held by our sponsor or its permitted transferees. If the private placement warrants are held by holders other than our sponsor or its permitted transferees, the private placement warrants will be redeemable by us and exercisable by the holders on the same basis as the warrants included in the units being sold in this offering. Otherwise, the private placement warrants have terms and provisions that are identical to those of the warrants being sold as part of the units in this offering. </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Our sponsor and our officers and directors are deemed to be our promoters as such term is defined under the federal securities laws. See Certain Relationships and Related Party Transactions for additional information regarding our relationships with our promoters.</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Transfers of Founder Shares and Private Placement Warrants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founder shares, private placement warrants and any Class A ordinary shares issued upon conversion or exercise thereof are each subject to transfer restrictions pursuant to lock-up provisions in the letter agreement with us to be entered into by our initial shareholders. Those lock-up provisions provide that such securities are not transferable or salable (1) in the case of the founder shares, until the earlier of (A) one year after the completion of our initial business combination or (B) subsequent to our initial business combination, (x) if the last reported sale price of the Class A ordinary shares equals or exceeds $12.00 per share (as adjusted for share splits, share dividends, rights issuances, subdivisions, reorganizations, recapitalizations and the like) for any 20 trading days within any 30-trading day period commencing at least 150 days after our initial business combination, or (y) the date following the completion of our initial business combination on which we complete a liquidation, merger, amalgamation, share exchange, reorganization or other similar transaction that results in all of our shareholders having the right to exchange their Class A ordinary shares for cash, securities or other property, and (2) in the case of the private placement warrants and the respective Class A ordinary shares underlying such warrants, until 30 days after the completion of our initial business combination, except in each case (a) to our officers or directors, any affiliates or family members of any of our officers or directors, any members of our sponsor, or any affiliates of our sponsor, (b) in the case of an individual, by gift to a member of the individuals immediate family or to a trust, the beneficiary of which is a member of the individuals immediate family or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consummation of a business combination at prices no greater than the price at which the securities were originally purchased; (f) in the event of our liquidation prior to our completion of our initial business combination; (g) by virtue of the laws of Delaware or our sponsors limited liability company agreement, as amended, upon dissolution of our sponsor; or (h) in the event of our completion of a liquidation, merger, amalgamation, share exchange, reorganization or other similar transaction which results in all of our shareholders having the right to exchange their Class A ordinary shares for cash, securities or other property subsequent to our completion of our initial business combination; provided, however, that in the case of clauses (a) through (e) and (g) these permitted transferees must enter into a written agreement agreeing to be bound by these transfer restrictions.</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Registration Rights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The holders of the founder shares, private placement warrants and any warrants that may be issued on conversion of working capital loans (and any ordinary shares issuable upon the exercise of the private placement warrants or warrants issued upon conversion of the working capital loans and upon conversion of the founder shares) will be entitled to registration rights pursuant to a registration rights agreement to be signed prior to or on the effective date of this offering requiring us to register such securities for resale. The holders of these securities will be entitled to make up to three demands, excluding short form registration demands, that we register such securities. </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121</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In addition, the holders have certain piggy-back registration rights with respect to registration statements filed subsequent to our completion of our initial business combination and rights to require us to register for resale such securities pursuant to Rule 415 under the Securities Act. However, the registration rights agreement provides that we will not permit any registration statement filed under the Securities Act to become effective until termination of the applicable lock-up period, which occurs (1) in the case of the founder shares, on the earlier of (A) one year after the completion of our initial business combination or (B) subsequent to our initial business combination, (x) if the last reported sale price of Class A ordinary shares equals or exceeds $12.00 per share (as adjusted for share splits, share dividends, rights issuances, subdivisions, reorganizations, recapitalizations and the like) for any 20 trading days within any 30-trading day period commencing at least 150 days after our initial business combination, or (y) the date following the completion of our initial business combination on which we complete a liquidation, merger, amalgamation, share exchange, reorganization or other similar transaction that results in all of our public shareholders having the right to exchange their Class A ordinary shares for cash, securities or other property, and (2) in the case of the private placement warrants and the respective Class A ordinary shares underlying such warrants, 30 days after the completion of our initial business combination. We will bear the expenses incurred in connection with the filing of any such registration statements.</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122</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before="240" w:after="0"/>
        <w:ind w:left="0" w:right="0" w:hanging="0"/>
        <w:jc w:val="center"/>
        <w:rPr>
          <w:rFonts w:ascii="Times New Roman;Times;Serif" w:hAnsi="Times New Roman;Times;Serif"/>
          <w:b/>
          <w:color w:val="000000"/>
          <w:sz w:val="17"/>
        </w:rPr>
      </w:pPr>
      <w:bookmarkStart w:id="16" w:name="tCRR"/>
      <w:bookmarkEnd w:id="16"/>
      <w:r>
        <w:rPr>
          <w:rFonts w:ascii="Times New Roman;Times;Serif" w:hAnsi="Times New Roman;Times;Serif"/>
          <w:b/>
          <w:color w:val="000000"/>
          <w:sz w:val="17"/>
        </w:rPr>
        <w:t>CERTAIN RELATIONSHIPS AND RELATED PARTY TRANSACTIONS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In June 2019, our sponsor purchased 7,187,500 founder shares for an aggregate purchase price of $25,000, or $0.004 per share (assuming the over-allotment option is not exercised and the forfeiture by our sponsor of 937,500 founder shares). In connection with closing of this offering, our sponsor intends to grant sponsor LLC equity interests to our independent director nominees that collectively comprise approximately 1% of the outstanding equity interests in our sponsor. Our initial shareholders will collectively own 20% of our issued and outstanding shares after this offering (assuming our initial shareholders do not purchase any other units in this offering). </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Our sponsor has committed, pursuant to a written agreement, to purchase an aggregate of 7,000,000 (or 7,750,000 if the underwriters over-allotment option is exercised in full) private placement warrants for a purchase price of $1.00 per warrant in a private placement that will occur simultaneously with the closing of this offering. Each private placement warrant may be exercised for one Class A ordinary share at a price of $11.50 per share, subject to adjustment as provided herein. The private placement warrants (including the Class A ordinary shares issuable upon exercise of the private placement warrants) may not, subject to certain limited exceptions, be transferred, assigned or sold by it until 30 days after the completion of our initial business combination. </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As more fully discussed in Management—Conflicts of Interest, if any of our officers or directors becomes aware of a business combination opportunity that falls within the line of business of any entity to which he or she has then-current fiduciary or contractual obligations, he or she may be required to present such business combination opportunity to such entity prior to presenting such business combination opportunity to us. Certain of our officers and directors presently have, and any of them in the future may have, additional, fiduciary or contractual obligations to other entities pursuant to which such officer or director is or will be required to present a business combination opportunity to such entity.</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We will enter into an Administrative Services Agreement pursuant to which we will pay our sponsor up to $20,000 per month for office space, administrative and support services. Upon completion of our initial business combination or our liquidation, we will cease paying any of these monthly fees. Accordingly, in the event the consummation of our initial business combination takes the maximum 18 months, our sponsor will be paid an aggregate of up to $360,000 ($20,000) per month for office space, administrative and support services and will be entitled to be reimbursed for any out-of-pocket expenses. </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Our sponsor,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directors or our or any of their affiliates and will determine which expenses and the amount of expenses that will be reimbursed. There is no cap or ceiling on the reimbursement of out-of-pocket expenses incurred by such persons in connection with activities on our behalf.</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Our sponsor has agreed to loan us up to $250,000 under an unsecured promissory note to be used for a portion of the expenses of this offering. As of June 30, 2019, we had borrowed $68,625 under the promissory note with our sponsor to be used for a portion of the expenses of this offering. These loans are non-interest bearing, unsecured and are due at the earlier of January 31, 2020 or the closing of this offering. These loans will be repaid upon completion of this offering out of the $1,000,000 of offering proceeds that has been allocated for the payment of offering expenses (other than underwriting commissions) not held in the trust account. The value of our sponsors interest in this loan transaction corresponds to the principal amount outstanding under any such loan. </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In addition, in order to finance transaction costs in connection with an intended initial business combination, our sponsor or an affiliate of our sponsor or certain of our officers and directors may, but are not obligated to, loan us funds as may be required. Any such loans may be repaid only from funds held outside the trust account or from funds released to us upon completion of our initial business combination. Up to $1,500,000 of such loans may be convertible into warrants at a price of $1.00 per warrant at the option of the lender. The warrants would be identical to the private placement warrants issued to our sponsor. The terms of such loans, if any, have not been determined and no written agreements exist with respect to such loans. We do not expect to seek loans from parties other than our sponsor or an affiliate of our sponsor as we do not believe third parties will be willing to loan such funds and provide a waiver against any and all rights to seek access to funds in our trust account.</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123</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After our initial business combination, members of our management team who remain with us may be paid consulting, management or other fees from the combined company with any and all amounts being fully disclosed to our shareholders, to the extent then known, in the tender offer or proxy solicitation materials, as applicable, furnished to our shareholders. It is unlikely the amount of such compensation will be known at the time of distribution of such tender offer materials or at the time of a shareholder meeting held to consider our initial business combination, as applicable, as it will be up to the directors of the post-combination business to determine executive and director compensation.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have entered into a registration rights agreement with respect to the founder shares, private placement warrants and warrants issued upon conversion of working capital loans (if any), which is described under the heading Principal Shareholders—Registration Rights.</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Related Party Policy</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have not yet adopted a formal policy for the review, approval or ratification of related party transactions. Accordingly, the transactions discussed above were not reviewed, approved or ratified in accordance with any such policy.</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Prior to the consummation of this offering, we will adopt our Code of Ethics requiring us to avoid, wherever possible, all conflicts of interests, except under guidelines or resolutions approved by our board of directors (or the appropriate committee of our board) or as disclosed in our public filings with the SEC. Under our Code of Ethics, conflict of interest situations will include any financial transaction, arrangement or relationship (including any indebtedness or guarantee of indebtedness) involving the company.</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In addition, our audit committee, pursuant to a written charter that we will adopt prior to the consummation of this offering, will be responsible for reviewing and approving related party transactions to the extent that we enter into such transactions. An affirmative vote of a majority of the members of the audit committee present at a meeting at which a quorum is present will be required in order to approve a related party transaction. A majority of the members of the entire audit committee will constitute a quorum. Without a meeting, the unanimous written consent of all of the members of the audit committee will be required to approve a related party transaction. Our audit committee will review on a quarterly basis all payments that were made to our sponsor, officers or directors, or our or any of their affiliates.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These procedures are intended to determine whether any such related party transaction impairs the independence of a director or presents a conflict of interest on the part of a director, employee or officer.</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To further minimize conflicts of interest, we have agreed not to consummate an initial business combination with an entity that is affiliated with any of our sponsor, officers or directors unless we, or a committee of independent and disinterested directors, have obtained an opinion from an independent investment banking firm or an independent accounting firm that our initial business combination is fair to our company from a financial point of view.</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Furthermore, no finders fees, reimbursements or cash payments will be made by us to our sponsor, officers or directors, or our or any of their affiliates, for services rendered to us prior to or in connection with the completion of our initial business combination, other than the following payments, none of which will be made from the proceeds of this offering and the sale of the private placement warrants held in the trust account prior to the completion of our initial business combination:</w:t>
      </w:r>
    </w:p>
    <w:tbl>
      <w:tblPr>
        <w:tblW w:w="5000" w:type="pct"/>
        <w:jc w:val="left"/>
        <w:tblInd w:w="0" w:type="dxa"/>
        <w:tblCellMar>
          <w:top w:w="0" w:type="dxa"/>
          <w:left w:w="0" w:type="dxa"/>
          <w:bottom w:w="0" w:type="dxa"/>
          <w:right w:w="0" w:type="dxa"/>
        </w:tblCellMar>
      </w:tblPr>
      <w:tblGrid>
        <w:gridCol w:w="260"/>
        <w:gridCol w:w="280"/>
        <w:gridCol w:w="9665"/>
      </w:tblGrid>
      <w:tr>
        <w:trPr/>
        <w:tc>
          <w:tcPr>
            <w:tcW w:w="26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jc w:val="left"/>
              <w:rPr>
                <w:color w:val="000000"/>
              </w:rPr>
            </w:pPr>
            <w:r>
              <w:rPr>
                <w:color w:val="000000"/>
              </w:rPr>
              <w:t>•</w:t>
            </w:r>
          </w:p>
        </w:tc>
        <w:tc>
          <w:tcPr>
            <w:tcW w:w="9665"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 xml:space="preserve">Repayment of an aggregate of up to $250,000 in loans that may be made to us by our sponsor to cover offering-related and organizational expenses (as of June 30, 2019, we had borrowed $68,625 from our sponsor); </w:t>
            </w:r>
          </w:p>
        </w:tc>
      </w:tr>
    </w:tbl>
    <w:tbl>
      <w:tblPr>
        <w:tblW w:w="5000" w:type="pct"/>
        <w:jc w:val="left"/>
        <w:tblInd w:w="0" w:type="dxa"/>
        <w:tblCellMar>
          <w:top w:w="0" w:type="dxa"/>
          <w:left w:w="0" w:type="dxa"/>
          <w:bottom w:w="0" w:type="dxa"/>
          <w:right w:w="0" w:type="dxa"/>
        </w:tblCellMar>
      </w:tblPr>
      <w:tblGrid>
        <w:gridCol w:w="503"/>
        <w:gridCol w:w="485"/>
        <w:gridCol w:w="9217"/>
      </w:tblGrid>
      <w:tr>
        <w:trPr/>
        <w:tc>
          <w:tcPr>
            <w:tcW w:w="503"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jc w:val="left"/>
              <w:rPr>
                <w:color w:val="000000"/>
              </w:rPr>
            </w:pPr>
            <w:r>
              <w:rPr>
                <w:color w:val="000000"/>
              </w:rPr>
              <w:t>•</w:t>
            </w:r>
          </w:p>
        </w:tc>
        <w:tc>
          <w:tcPr>
            <w:tcW w:w="9217"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 xml:space="preserve">Payment to our sponsor of up to $20,000 per month for office space, administrative and support services; </w:t>
            </w:r>
          </w:p>
        </w:tc>
      </w:tr>
    </w:tbl>
    <w:tbl>
      <w:tblPr>
        <w:tblW w:w="5000" w:type="pct"/>
        <w:jc w:val="left"/>
        <w:tblInd w:w="0" w:type="dxa"/>
        <w:tblCellMar>
          <w:top w:w="0" w:type="dxa"/>
          <w:left w:w="0" w:type="dxa"/>
          <w:bottom w:w="0" w:type="dxa"/>
          <w:right w:w="0" w:type="dxa"/>
        </w:tblCellMar>
      </w:tblPr>
      <w:tblGrid>
        <w:gridCol w:w="400"/>
        <w:gridCol w:w="387"/>
        <w:gridCol w:w="9418"/>
      </w:tblGrid>
      <w:tr>
        <w:trPr/>
        <w:tc>
          <w:tcPr>
            <w:tcW w:w="400"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jc w:val="left"/>
              <w:rPr>
                <w:color w:val="000000"/>
              </w:rPr>
            </w:pPr>
            <w:r>
              <w:rPr>
                <w:color w:val="000000"/>
              </w:rPr>
              <w:t>•</w:t>
            </w:r>
          </w:p>
        </w:tc>
        <w:tc>
          <w:tcPr>
            <w:tcW w:w="9418"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 xml:space="preserve">Reimbursement for any out-of-pocket expenses related to identifying, investigating and completing an initial business combination; and </w:t>
            </w:r>
          </w:p>
        </w:tc>
      </w:tr>
    </w:tbl>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124</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tbl>
      <w:tblPr>
        <w:tblW w:w="5000" w:type="pct"/>
        <w:jc w:val="left"/>
        <w:tblInd w:w="0" w:type="dxa"/>
        <w:tblCellMar>
          <w:top w:w="0" w:type="dxa"/>
          <w:left w:w="0" w:type="dxa"/>
          <w:bottom w:w="0" w:type="dxa"/>
          <w:right w:w="0" w:type="dxa"/>
        </w:tblCellMar>
      </w:tblPr>
      <w:tblGrid>
        <w:gridCol w:w="144"/>
        <w:gridCol w:w="191"/>
        <w:gridCol w:w="9870"/>
      </w:tblGrid>
      <w:tr>
        <w:trPr/>
        <w:tc>
          <w:tcPr>
            <w:tcW w:w="144"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jc w:val="left"/>
              <w:rPr>
                <w:color w:val="000000"/>
              </w:rPr>
            </w:pPr>
            <w:r>
              <w:rPr>
                <w:color w:val="000000"/>
              </w:rPr>
              <w:t>•</w:t>
            </w:r>
          </w:p>
        </w:tc>
        <w:tc>
          <w:tcPr>
            <w:tcW w:w="9870"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Repayment of loans which may be made by our sponsor or an affiliate of our sponsor or certain of our officers and directors to finance transaction costs in connection with an intended initial business combination, the terms of which have not been determined nor have any written agreements been executed with respect thereto. Up to $1,500,000 of such loans may be convertible into warrants, at a price of $1.00 per warrant at the option of the lender.</w:t>
            </w:r>
          </w:p>
        </w:tc>
      </w:tr>
    </w:tbl>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above payments may be funded using the net proceeds of this offering and the sale of the private placement warrants not held in the trust account or, upon completion of the initial business combination, from any amounts remaining from the proceeds of the trust account released to us in connection therewith.</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125</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before="240" w:after="0"/>
        <w:ind w:left="0" w:right="0" w:hanging="0"/>
        <w:jc w:val="center"/>
        <w:rPr>
          <w:rFonts w:ascii="Times New Roman;Times;Serif" w:hAnsi="Times New Roman;Times;Serif"/>
          <w:b/>
          <w:color w:val="000000"/>
          <w:sz w:val="17"/>
        </w:rPr>
      </w:pPr>
      <w:bookmarkStart w:id="17" w:name="tDOS"/>
      <w:bookmarkEnd w:id="17"/>
      <w:r>
        <w:rPr>
          <w:rFonts w:ascii="Times New Roman;Times;Serif" w:hAnsi="Times New Roman;Times;Serif"/>
          <w:b/>
          <w:color w:val="000000"/>
          <w:sz w:val="17"/>
        </w:rPr>
        <w:t>DESCRIPTION OF SECURITIES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are a Cayman Islands exempted company (company number 352066) and our affairs will be governed by our amended and restated memorandum and articles of association, the Companies Law and common law of the Cayman Islands. Pursuant to our amended and restated memorandum and articles of association which will be adopted upon the consummation of this offering, we will be authorized to issue ordinary shares, including 200,000,000 Class A ordinary shares, $0.0001 par value each, and 20,000,000 Class B ordinary shares, par value $0.0001 per share, as well as 1,000,000 undesignated preferred shares, $0.0001 par value each. The following description summarizes the material terms of our shares as set out more particularly in our amended and restated memorandum and articles of association. Because it is only a summary, it may not contain all the information that is important to you.</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Units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Each unit has an offering price of $10.00 and consists of one Class A ordinary share and one-half of one redeemable warrant. Each whole warrant entitles the holder thereof to purchase one Class A ordinary share at a price of $11.50 per share, subject to adjustment as described in this prospectus. Pursuant to the warrant agreement, a warrant holder may exercise its warrants only for a whole number of the companys Class A ordinary shares. This means only a whole warrant may be exercised at any given time by a warrant holder.</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Class A ordinary shares and warrants constituting the units will begin separate trading on the 52nd day following the date of this prospectus unless Credit Suisse Securities (USA) LLC informs us of its decision to allow earlier separate trading, subject to our having filed the Current Report on Form 8-K described below and having issued a press release announcing when such separate trading will begin. Once the Class A ordinary shares and warrants commence separate trading, holders will have the option to continue to hold units or separate their units into the component securities. Holders will need to have their brokers contact our transfer agent in order to separate the units into Class A ordinary shares and warrants. No fractional warrants will be issued upon separation of the units and only whole warrants will trade. Accordingly, unless you purchase at least two units, you will not be able to receive or trade a whole warrant.</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In no event will the Class A ordinary shares and warrants be traded separately until we have filed with the SEC a Current Report on Form 8-K which includes an audited balance sheet of the Company reflecting our receipt of the gross proceeds at the closing of this offering. We will file the Current Report on Form 8-K promptly after the closing of this offering which will include this audited balance sheet.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 </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 xml:space="preserve">Ordinary Shares </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Prior to the date of this prospectus, there were 7,187,500 Class B ordinary shares issued and outstanding, all of which were held of record by our sponsor, so that our sponsor will own 20% of our issued and outstanding shares after this offering (assuming our initial shareholder does not purchase any units in this offering). Our sponsor will forfeit up to 937,500 Class B ordinary shares depending on the extent to which the underwriters over-allotment is not exercised. Upon the closing of this offering, 31,250,000 ordinary shares will be issued and outstanding (assuming no exercise of the underwriters over-allotment option and forfeiture of 937,500 Class B ordinary shares by our sponsor) including:</w:t>
      </w:r>
    </w:p>
    <w:tbl>
      <w:tblPr>
        <w:tblW w:w="5000" w:type="pct"/>
        <w:jc w:val="left"/>
        <w:tblInd w:w="0" w:type="dxa"/>
        <w:tblCellMar>
          <w:top w:w="0" w:type="dxa"/>
          <w:left w:w="0" w:type="dxa"/>
          <w:bottom w:w="0" w:type="dxa"/>
          <w:right w:w="0" w:type="dxa"/>
        </w:tblCellMar>
      </w:tblPr>
      <w:tblGrid>
        <w:gridCol w:w="577"/>
        <w:gridCol w:w="555"/>
        <w:gridCol w:w="9073"/>
      </w:tblGrid>
      <w:tr>
        <w:trPr/>
        <w:tc>
          <w:tcPr>
            <w:tcW w:w="577" w:type="dxa"/>
            <w:tcBorders/>
            <w:shd w:fill="auto" w:val="clear"/>
            <w:vAlign w:val="center"/>
          </w:tcPr>
          <w:p>
            <w:pPr>
              <w:pStyle w:val="TableContents"/>
              <w:spacing w:before="0" w:after="283"/>
              <w:rPr>
                <w:sz w:val="4"/>
                <w:szCs w:val="4"/>
              </w:rPr>
            </w:pPr>
            <w:r>
              <w:rPr>
                <w:sz w:val="4"/>
                <w:szCs w:val="4"/>
              </w:rPr>
            </w:r>
          </w:p>
        </w:tc>
        <w:tc>
          <w:tcPr>
            <w:tcW w:w="555" w:type="dxa"/>
            <w:tcBorders/>
            <w:shd w:fill="auto" w:val="clear"/>
            <w:vAlign w:val="center"/>
          </w:tcPr>
          <w:p>
            <w:pPr>
              <w:pStyle w:val="TableContents"/>
              <w:spacing w:before="0" w:after="283"/>
              <w:jc w:val="left"/>
              <w:rPr>
                <w:color w:val="000000"/>
              </w:rPr>
            </w:pPr>
            <w:r>
              <w:rPr>
                <w:color w:val="000000"/>
              </w:rPr>
              <w:t>•</w:t>
            </w:r>
          </w:p>
        </w:tc>
        <w:tc>
          <w:tcPr>
            <w:tcW w:w="9073"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25,000,000 Class A ordinary shares underlying the units being offered in this offering; and</w:t>
            </w:r>
          </w:p>
        </w:tc>
      </w:tr>
    </w:tbl>
    <w:tbl>
      <w:tblPr>
        <w:tblW w:w="5000" w:type="pct"/>
        <w:jc w:val="left"/>
        <w:tblInd w:w="0" w:type="dxa"/>
        <w:tblCellMar>
          <w:top w:w="0" w:type="dxa"/>
          <w:left w:w="0" w:type="dxa"/>
          <w:bottom w:w="0" w:type="dxa"/>
          <w:right w:w="0" w:type="dxa"/>
        </w:tblCellMar>
      </w:tblPr>
      <w:tblGrid>
        <w:gridCol w:w="758"/>
        <w:gridCol w:w="730"/>
        <w:gridCol w:w="8717"/>
      </w:tblGrid>
      <w:tr>
        <w:trPr/>
        <w:tc>
          <w:tcPr>
            <w:tcW w:w="758"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jc w:val="left"/>
              <w:rPr>
                <w:color w:val="000000"/>
              </w:rPr>
            </w:pPr>
            <w:r>
              <w:rPr>
                <w:color w:val="000000"/>
              </w:rPr>
              <w:t>•</w:t>
            </w:r>
          </w:p>
        </w:tc>
        <w:tc>
          <w:tcPr>
            <w:tcW w:w="8717"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6,250,000 Class B ordinary shares held by our initial shareholders.</w:t>
            </w:r>
          </w:p>
        </w:tc>
      </w:tr>
    </w:tbl>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Class A ordinary shareholders and Class B ordinary shareholders of record are entitled to one vote for each share held on all matters to be voted on by shareholders, except as required by law; provided that, prior to our initial business combination, only holders of our Class B ordinary shares will have the right to vote on the election of directors, and holders of a majority of our Class B ordinary shares may remove a member of the board of directors for any reason. With respect to any other matter submitted to a vote of our shareholders, including any vote in connection with our initial business combination, except as required by law, holders of Class A ordinary shares and holders of Class B ordinary shares will vote together as a single class. Unless specified in the Companies Law, our amended and restated memorandum and articles of association or applicable stock exchange </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126</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rules, the affirmative vote of a majority of our ordinary shares that are voted is required to approve any such matter voted on by our shareholders. Approval of certain actions will require a special resolution under Cayman Islands law and pursuant to our amended and restated memorandum and articles of association; such actions include amending our amended and restated memorandum and articles of association and approving a statutory merger or consolidation with another company. Directors are elected for a term of two years. There is no cumulative voting with respect to the election of directors, with the result that the holders of more than 50% of the founder shares voted for the election of directors can elect all of the directors prior to our initial business combination. Our shareholders are entitled to receive ratable dividends when, as and if declared by the board of directors out of funds legally available therefor.</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Because our amended and restated memorandum and articles of association will authorize the issuance of up to 200,000,000 Class A ordinary shares, if we were to enter into a business combination, we may (depending on the terms of such a business combination) be required to increase the number of Class A ordinary shares which we are authorized to issue at the same time as our shareholders vote on the business combination to the extent we seek shareholder approval in connection with our initial business combination.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In accordance with Nasdaq corporate governance requirements, we are not required to hold an annual meeting until one year after our first fiscal year end following our listing on Nasdaq. There is no requirement under the Companies Law for us to hold annual or general meetings to elect directors. Until we hold an annual general meeting of shareholders, public shareholders may not be afforded the opportunity to discuss company affairs with management.</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We will provide our public shareholders with the opportunity to redeem all or a portion of their public shares upon the completion of our initial business combination at a per-share price, payable in cash, equal to the aggregate amount then on deposit in the trust account as of two business days prior to the consummation of our initial business combination, including interest (which interest shall be net of taxes payable), divided by the number of then issued and outstanding public shares, subject to the limitations described herein. At the completion of our initial business combination, we will be required to purchase any Class A ordinary shares properly delivered for redemption and not withdrawn. The amount in the trust account is initially anticipated to be $10.00 per public share. The per-share amount we will distribute to investors who properly redeem their shares will not be reduced by the deferred underwriting commissions we will pay to the underwriters. Additionally, each public shareholder may elect to redeem its public shares without voting and, if they do vote, irrespective of whether they vote for or against the proposed business combination. Our initial shareholders have entered into a letter agreement with us, pursuant to which they have agreed to waive their redemption rights with respect to their founder shares and any public shares held by them in connection with the completion of our initial business combination. Our directors and officers have also entered into the letter agreement, imposing similar obligations on them with respect to public shares acquired by them, if any. Permitted transferees of our initial shareholders, officers or directors will be subject to the same obligations. </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Unlike many blank check companies that hold shareholder votes and conduct proxy solicitations in conjunction with their initial business combinations and provide for related redemptions of public shares for cash upon completion of such initial business combinations even when a vote is not required by applicable law or stock exchange listing requirements, if a shareholder vote is not required by applicable law or stock exchange listing requirements and we do not decide to hold a shareholder vote for business or other reasons, we will, pursuant to our amended and restated memorandum and articles of association, conduct the redemptions pursuant to the tender offer rules of the SEC and file tender offer documents with the SEC prior to completing our initial business combination. Our amended and restated memorandum and articles of association will require these tender offer documents to contain substantially the same financial and other information about the initial business combination and the redemption rights as is required under the SECs proxy rules. If, however, a shareholder approval of the transaction is required by applicable law or stock exchange listing requirement, or we decide to obtain shareholder approval for business or other reasons, we will, like many blank check companies, offer to redeem shares in conjunction with a proxy solicitation pursuant to the proxy rules and not pursuant to the tender offer rules. If we seek shareholder approval, we will complete our initial business combination only if we receive an ordinary resolution under Cayman Islands law, which requires the affirmative vote of a majority of the shareholders who attend and vote at a general meeting of the company. However, the participation of our sponsor, officers, directors, advisors or any of their affiliates in privately-negotiated transactions (as described in this prospectus), if any, could result in the approval of our initial business combination even if a majority of our </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127</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public shareholders vote, or indicate their intention to vote, against such business combination. For purposes of seeking approval of an ordinary resolution, non-votes will have no effect on the approval of our initial business combination once a quorum is obtained. We intend to give not less than 10 days nor more than 60 days prior written notice of any such meeting, if required, at which a vote shall be taken to approve our initial business combination. These quorum and voting thresholds, and the voting agreements of our initial shareholders, may make it more likely that we will consummate our initial business combination.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redeeming its shares with respect to more than an aggregate of 15% of the ordinary shares sold in this offering, which we refer to as the Excess Shares, without our prior consent. However, we would not be restricting our shareholders ability to vote all of their shares (including Excess Shares) for or against our initial business combination. Our shareholders inability to redeem the Excess Shares will reduce their influence over our ability to complete our initial business combination, and such shareholders could suffer a material loss in their investment if they sell such Excess Shares on the open market. Additionally, such shareholders will not receive redemption distributions with respect to the Excess Shares if we complete the business combination. As a result, such shareholders will continue to hold that number of shares exceeding 15% and, in order to dispose such shares would be required to sell their shares in open market transactions, potentially at a loss.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If we seek shareholder approval in connection with our initial business combination, our initial shareholders have agreed (and their permitted transferees will agree), pursuant to the terms of a letter agreement entered into with us, to vote their founder shares and any public shares held by them in favor of our initial business combination. As a result, in addition to our initial shareholders founder shares, we would need 9,375,001, or 37.5%, of the 25,000,000 public shares sold in this offering to be voted in favor of a transaction (assuming all issued and outstanding shares are voted and the over-allotment option is not exercised), subject to any higher threshold as is required by Cayman Islands or other applicable law, in order to have such initial business combination approved. Our directors and officers have also entered into the letter agreement, imposing similar obligations on them with respect to public shares acquired by them, if any.</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Pursuant to our amended and restated memorandum and articles of association, if we are unable to complete our initial business combination within 18 months from the closing of this offering, we will (1) cease all operations except for the purpose of winding up, (2) as promptly as reasonably possible but not more than 10 business days thereafter, redeem 100% of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 (3) as promptly as reasonably possible following such redemption, subject to the approval of our remaining shareholders and our board of directors, dissolve and liquidate, subject in each case to our obligations under Cayman Islands law to provide for claims of creditors and the requirements of other applicable law. Our initial shareholders have entered into a letter agreement with us, pursuant to which they have agreed to waive their rights to liquidating distributions from the trust account with respect to their founder shares if we fail to complete our initial business combination within 18 months from the closing of this offering. However, if our initial shareholders acquire public shares after this offering, they will be entitled to liquidating distributions from the trust account with respect to such public shares if we fail to complete our initial business combination within the prescribed time period.</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In the event of a liquidation, dissolution or winding up of the company after a business combination, our shareholders at such time will be entitled to share ratably in all assets remaining available for distribution to them after payment of liabilities and after provision is made for each class of shares, if any, having preference over the ordinary shares. Our shareholders have no preemptive or other subscription rights. There are no sinking fund provisions applicable to the ordinary shares, except that we will provide our shareholders with the opportunity to redeem their public shares for cash equal to their pro rata share of the aggregate amount then on deposit in the trust account, including interest (which interest shall be net of taxes payable), upon the completion of our initial business combination, subject to the limitations described herein.</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128</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Founder Shares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founder shares are designated as Class B ordinary shares and are identical to the Class A ordinary shares included in the units being sold in this offering, and holders of founder shares have the same shareholder rights as public shareholders, except that: (1) prior to our initial business combination, only holders of the founder shares have the right to vote on the election of directors and holders of a majority of our founder shares may remove a member of the board of directors for any reason; (2) the founder shares are subject to certain transfer restrictions, as described in more detail below; (3) our initial shareholders have entered into a letter agreement with us, pursuant to which they have agreed to waive: (x) their redemption rights with respect to their founder shares and any public shares held by them in connection with the completion of our initial business combination (and not seek to sell its shares to us in any tender offer we undertake in connection with our initial business combination); (y) their redemption rights with respect to their founder shares and any public shares held by them in connection with a shareholder vote to approve an amendment to our amended and restated memorandum and articles of association (A) to modify the substance or timing of our obligation to redeem 100% of our public shares if we do not complete our initial business combination within 18 months from the closing of this offering or (B) with respect to any other provision relating to shareholders rights or pre-initial business combination activity; and (z) their rights to liquidating distributions from the trust account with respect to any founder shares they hold if we fail to complete our initial business combination within 18 months from the closing of this offering (although they will be entitled to liquidating distributions from the trust account with respect to any public shares they hold if we fail to complete our initial business combination within the prescribed time frame); (4) the founder shares will automatically convert into our Class A ordinary shares as described below and (5) the founder shares are entitled to registration rights. In addition, our directors and officers have also entered into the letter agreement with respect to public shares acquired by them, if any.</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founder shares will automatically convert into Class A ordinary shares on the first business day following the completion of our initial business combination on a one-for-one basis, subject to adjustment as provided herein. In the case that additional Class A ordinary shares, or equity-linked securities convertible or exercisable for Class A ordinary shares, are issued or deemed issued in excess of the amounts issued in this offering and related to the closing of our initial business combination, the ratio at which founder shares will convert into Class A ordinary shares will be adjusted (subject to waiver by holders of a majority of the Class B ordinary shares then in issue) so that the number of Class A ordinary shares issuable upon conversion of all Class B ordinary shares will equal, in the aggregate, on an as-converted basis, 20% of the sum of our ordinary shares issued and outstanding upon the completion of this offering plus the number of Class A ordinary shares and equity-linked securities issued or deemed issued in connection with our initial business combination (net of redemptions), excluding any Class A ordinary shares or equity-linked securities issued, or to be issued, to any seller in our initial business combination and any private placement warrants issued to our sponsor, an affiliate of our sponsor or any of our officers or directors.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With certain limited exceptions, the founder shares are not transferable, assignable or salable (except to our officers and directors and other persons or entities affiliated with our sponsor, each of whom will be subject to the same transfer restrictions) until the earlier of (A) one year after the completion of our initial business combination or (B) subsequent to our initial business combination, (x) if the last reported sale price of the ordinary shares equals or exceeds $12.00 per share (as adjusted for share splits, share dividends, rights issuances, subdivisions, reorganizations, recapitalizations and the like) for any 20 trading days within any 30-trading day period commencing at least 150 days after our initial business combination, or (y) the date following the completion of our initial business combination on which we complete a liquidation, merger, amalgamation, share exchange, reorganization or other similar transaction that results in all of our public shareholders having the right to exchange their Class A ordinary shares for cash, securities or other property. Up to 937,500 founder shares will be forfeited for no consideration by our sponsor depending on the exercise of the over-allotment option.</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Register of Members</w:t>
      </w:r>
    </w:p>
    <w:p>
      <w:pPr>
        <w:pStyle w:val="TextBody"/>
        <w:spacing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Under Cayman Islands law, we must keep a register of members and there shall be entered therein:</w:t>
      </w:r>
    </w:p>
    <w:tbl>
      <w:tblPr>
        <w:tblW w:w="5000" w:type="pct"/>
        <w:jc w:val="left"/>
        <w:tblInd w:w="0" w:type="dxa"/>
        <w:tblCellMar>
          <w:top w:w="0" w:type="dxa"/>
          <w:left w:w="0" w:type="dxa"/>
          <w:bottom w:w="0" w:type="dxa"/>
          <w:right w:w="0" w:type="dxa"/>
        </w:tblCellMar>
      </w:tblPr>
      <w:tblGrid>
        <w:gridCol w:w="308"/>
        <w:gridCol w:w="317"/>
        <w:gridCol w:w="9580"/>
      </w:tblGrid>
      <w:tr>
        <w:trPr/>
        <w:tc>
          <w:tcPr>
            <w:tcW w:w="308"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jc w:val="left"/>
              <w:rPr>
                <w:color w:val="000000"/>
              </w:rPr>
            </w:pPr>
            <w:r>
              <w:rPr>
                <w:color w:val="000000"/>
              </w:rPr>
              <w:t>•</w:t>
            </w:r>
          </w:p>
        </w:tc>
        <w:tc>
          <w:tcPr>
            <w:tcW w:w="9580"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the names and addresses of the members and a statement of the shares held by each member and of the amount paid or agreed to be considered as paid on the shares of each member;</w:t>
            </w:r>
          </w:p>
        </w:tc>
      </w:tr>
    </w:tbl>
    <w:tbl>
      <w:tblPr>
        <w:tblW w:w="5000" w:type="pct"/>
        <w:jc w:val="left"/>
        <w:tblInd w:w="0" w:type="dxa"/>
        <w:tblCellMar>
          <w:top w:w="0" w:type="dxa"/>
          <w:left w:w="0" w:type="dxa"/>
          <w:bottom w:w="0" w:type="dxa"/>
          <w:right w:w="0" w:type="dxa"/>
        </w:tblCellMar>
      </w:tblPr>
      <w:tblGrid>
        <w:gridCol w:w="599"/>
        <w:gridCol w:w="578"/>
        <w:gridCol w:w="9028"/>
      </w:tblGrid>
      <w:tr>
        <w:trPr/>
        <w:tc>
          <w:tcPr>
            <w:tcW w:w="599"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jc w:val="left"/>
              <w:rPr>
                <w:color w:val="000000"/>
              </w:rPr>
            </w:pPr>
            <w:r>
              <w:rPr>
                <w:color w:val="000000"/>
              </w:rPr>
              <w:t>•</w:t>
            </w:r>
          </w:p>
        </w:tc>
        <w:tc>
          <w:tcPr>
            <w:tcW w:w="9028"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the date on which the name of any person was entered on the register as a member; and</w:t>
            </w:r>
          </w:p>
        </w:tc>
      </w:tr>
    </w:tbl>
    <w:tbl>
      <w:tblPr>
        <w:tblW w:w="5000" w:type="pct"/>
        <w:jc w:val="left"/>
        <w:tblInd w:w="0" w:type="dxa"/>
        <w:tblCellMar>
          <w:top w:w="0" w:type="dxa"/>
          <w:left w:w="0" w:type="dxa"/>
          <w:bottom w:w="0" w:type="dxa"/>
          <w:right w:w="0" w:type="dxa"/>
        </w:tblCellMar>
      </w:tblPr>
      <w:tblGrid>
        <w:gridCol w:w="911"/>
        <w:gridCol w:w="877"/>
        <w:gridCol w:w="8417"/>
      </w:tblGrid>
      <w:tr>
        <w:trPr/>
        <w:tc>
          <w:tcPr>
            <w:tcW w:w="911"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jc w:val="left"/>
              <w:rPr>
                <w:color w:val="000000"/>
              </w:rPr>
            </w:pPr>
            <w:r>
              <w:rPr>
                <w:color w:val="000000"/>
              </w:rPr>
              <w:t>•</w:t>
            </w:r>
          </w:p>
        </w:tc>
        <w:tc>
          <w:tcPr>
            <w:tcW w:w="8417"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the date on which any person ceased to be a member.</w:t>
            </w:r>
          </w:p>
        </w:tc>
      </w:tr>
    </w:tbl>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129</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shall be deemed as a matter of Cayman Islands law to have legal title to the shares as set against its name in the register of members. Upon the closing of this public offering, the register of members shall be immediately updated to reflect the issue of shares by us. Once our register of members has been updated, the shareholders recorded in the register of members shall be deemed to have legal title to the shares set against their name. However, there are certain limited circumstances where an application may be made to a Cayman Islands court for a determination on whether the register of members reflects the correct legal position. Further, the Cayman Islands court has the power to order that the register of members maintained by a company should be rectified where it considers that the register of members does not reflect the correct legal position. If an application for an order for rectification of the register of members were made in respect of our ordinary shares, then the validity of such shares may be subject to re-examination by a Cayman Islands court.</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Preferred Shares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Our amended and restated memorandum and articles of association will authorize 1,000,000 preferred shares and will provide that preferred shares may be issued from time to time in one or more series. Our board of directors will be authorized to fix the voting rights, if any, designations, powers, preferences, the relative, participating, optional or other special rights and any qualifications, limitations and restrictions thereof, applicable to the shares of each series. Our board of directors will be able to, without shareholder approval, issue preferred shares with voting and other rights that could adversely affect the voting power and other rights of the holders of the ordinary shares and could have anti-takeover effects. The ability of our board of directors to issue preferred shares without shareholder approval could have the effect of delaying, deferring or preventing a change of control of us or the removal of existing management. We have no preferred shares issued and outstanding at the date hereof. Although we do not currently intend to issue any preferred shares, we cannot assure you that we will not do so in the future. No preferred shares are being issued or registered in this offering.</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Warrants</w:t>
      </w:r>
    </w:p>
    <w:p>
      <w:pPr>
        <w:pStyle w:val="TextBody"/>
        <w:spacing w:before="12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Public Shareholders Redeemable Warrants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Each whole warrant entitles the registered holder to purchase one Class A ordinary share at a price of $11.50 per share, subject to adjustment as discussed below, at any time commencing on the later of 12 months from the closing of this offering and 30 days after the completion of our initial business combination, provided in each case that we have an effective registration statement under the Securities Act covering the issuance of the Class A ordinary shares issuable upon exercise of the warrants and a current prospectus relating to them is available and such shares are registered, qualified or exempt from registration under the securities, or blue sky, laws of the state of residence of the holder (or we permit holders to exercise their warrants on a cashless basis under the circumstances specified in the warrant agreement). Pursuant to the warrant agreement, a warrant holder may exercise its warrants only for a whole number of Class A ordinary shares. This means only a whole warrant may be exercised at a given time by a warrant holder. No fractional warrants will be issued upon separation of the units and only whole warrants will trade. Accordingly, unless you purchase at least two units, you will not be able to receive or trade a whole warrant. The warrants will expire five years after the completion of our initial business combination, at 5:00 p.m., New York City time, or earlier upon redemption or liquidation.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will not be obligated to deliver any Class A ordinary shares pursuant to the exercise of a warrant and will have no obligation to settle such warrant exercise unless a registration statement under the Securities Act covering the issuance of the Class A ordinary shares issuable upon exercise of the warrants is then effective and a prospectus relating thereto is current, subject to our satisfying our obligations described below with respect to registration. No public warrant will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is available. In the event that the conditions in the two immediately preceding sentences are not satisfied with respect to a warrant, the holder of such warrant will not be entitled to exercise such warrant and such warrant may have no value and expire worthless. In the event that a registration statement is not effective for the exercised warrants, the purchaser of a unit containing such warrant will have paid the full purchase price for the unit solely for the Class A ordinary share underlying such unit.</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130</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are not registering the Class A ordinary shares issuable upon exercise of the warrants at this time. However, we have agreed that as soon as practicable, but in no event later than 15 business days, after the closing of our initial business combination, we will use our reasonable best efforts to file with the SEC and have an effective registration statement covering the issuance, under the Securities Act, of the Class A ordinary shares issuable upon exercise of the warrants, and we will use our reasonable best efforts to cause the same to become effective within 60 business days after the closing of our initial business combination and to maintain the effectiveness of such registration statement, and a current prospectus relating thereto, until the expiration of the warrants in accordance with the provisions of the warrant agreement. Notwithstanding the above, if our Class A ordinary shares are, at the time of any exercise of a warrant, not listed on a national securities exchange such that it satisfies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will use our reasonable best efforts to qualify the shares under applicable blue sky laws to the extent an exemption is not available.</w:t>
      </w:r>
    </w:p>
    <w:p>
      <w:pPr>
        <w:pStyle w:val="TextBody"/>
        <w:spacing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Once the warrants become exercisable, we may redeem the warrants for redemption:</w:t>
      </w:r>
    </w:p>
    <w:tbl>
      <w:tblPr>
        <w:tblW w:w="5000" w:type="pct"/>
        <w:jc w:val="left"/>
        <w:tblInd w:w="0" w:type="dxa"/>
        <w:tblCellMar>
          <w:top w:w="0" w:type="dxa"/>
          <w:left w:w="0" w:type="dxa"/>
          <w:bottom w:w="0" w:type="dxa"/>
          <w:right w:w="0" w:type="dxa"/>
        </w:tblCellMar>
      </w:tblPr>
      <w:tblGrid>
        <w:gridCol w:w="1627"/>
        <w:gridCol w:w="1566"/>
        <w:gridCol w:w="7012"/>
      </w:tblGrid>
      <w:tr>
        <w:trPr/>
        <w:tc>
          <w:tcPr>
            <w:tcW w:w="1627" w:type="dxa"/>
            <w:tcBorders/>
            <w:shd w:fill="auto" w:val="clear"/>
            <w:vAlign w:val="center"/>
          </w:tcPr>
          <w:p>
            <w:pPr>
              <w:pStyle w:val="TableContents"/>
              <w:spacing w:before="0" w:after="283"/>
              <w:rPr>
                <w:sz w:val="4"/>
                <w:szCs w:val="4"/>
              </w:rPr>
            </w:pPr>
            <w:r>
              <w:rPr>
                <w:sz w:val="4"/>
                <w:szCs w:val="4"/>
              </w:rPr>
            </w:r>
          </w:p>
        </w:tc>
        <w:tc>
          <w:tcPr>
            <w:tcW w:w="1566" w:type="dxa"/>
            <w:tcBorders/>
            <w:shd w:fill="auto" w:val="clear"/>
            <w:vAlign w:val="center"/>
          </w:tcPr>
          <w:p>
            <w:pPr>
              <w:pStyle w:val="TableContents"/>
              <w:spacing w:before="0" w:after="283"/>
              <w:jc w:val="left"/>
              <w:rPr>
                <w:color w:val="000000"/>
              </w:rPr>
            </w:pPr>
            <w:r>
              <w:rPr>
                <w:color w:val="000000"/>
              </w:rPr>
              <w:t>•</w:t>
            </w:r>
          </w:p>
        </w:tc>
        <w:tc>
          <w:tcPr>
            <w:tcW w:w="7012"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in whole and not in part;</w:t>
            </w:r>
          </w:p>
        </w:tc>
      </w:tr>
    </w:tbl>
    <w:tbl>
      <w:tblPr>
        <w:tblW w:w="5000" w:type="pct"/>
        <w:jc w:val="left"/>
        <w:tblInd w:w="0" w:type="dxa"/>
        <w:tblCellMar>
          <w:top w:w="0" w:type="dxa"/>
          <w:left w:w="0" w:type="dxa"/>
          <w:bottom w:w="0" w:type="dxa"/>
          <w:right w:w="0" w:type="dxa"/>
        </w:tblCellMar>
      </w:tblPr>
      <w:tblGrid>
        <w:gridCol w:w="1382"/>
        <w:gridCol w:w="1331"/>
        <w:gridCol w:w="7492"/>
      </w:tblGrid>
      <w:tr>
        <w:trPr/>
        <w:tc>
          <w:tcPr>
            <w:tcW w:w="1382" w:type="dxa"/>
            <w:tcBorders/>
            <w:shd w:fill="auto" w:val="clear"/>
            <w:vAlign w:val="center"/>
          </w:tcPr>
          <w:p>
            <w:pPr>
              <w:pStyle w:val="TableContents"/>
              <w:spacing w:before="0" w:after="283"/>
              <w:rPr>
                <w:sz w:val="4"/>
                <w:szCs w:val="4"/>
              </w:rPr>
            </w:pPr>
            <w:r>
              <w:rPr>
                <w:sz w:val="4"/>
                <w:szCs w:val="4"/>
              </w:rPr>
            </w:r>
          </w:p>
        </w:tc>
        <w:tc>
          <w:tcPr>
            <w:tcW w:w="1331" w:type="dxa"/>
            <w:tcBorders/>
            <w:shd w:fill="auto" w:val="clear"/>
            <w:vAlign w:val="center"/>
          </w:tcPr>
          <w:p>
            <w:pPr>
              <w:pStyle w:val="TableContents"/>
              <w:spacing w:before="0" w:after="283"/>
              <w:jc w:val="left"/>
              <w:rPr>
                <w:color w:val="000000"/>
              </w:rPr>
            </w:pPr>
            <w:r>
              <w:rPr>
                <w:color w:val="000000"/>
              </w:rPr>
              <w:t>•</w:t>
            </w:r>
          </w:p>
        </w:tc>
        <w:tc>
          <w:tcPr>
            <w:tcW w:w="7492"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at a price of $0.01 per warrant;</w:t>
            </w:r>
          </w:p>
        </w:tc>
      </w:tr>
    </w:tbl>
    <w:tbl>
      <w:tblPr>
        <w:tblW w:w="5000" w:type="pct"/>
        <w:jc w:val="left"/>
        <w:tblInd w:w="0" w:type="dxa"/>
        <w:tblCellMar>
          <w:top w:w="0" w:type="dxa"/>
          <w:left w:w="0" w:type="dxa"/>
          <w:bottom w:w="0" w:type="dxa"/>
          <w:right w:w="0" w:type="dxa"/>
        </w:tblCellMar>
      </w:tblPr>
      <w:tblGrid>
        <w:gridCol w:w="429"/>
        <w:gridCol w:w="414"/>
        <w:gridCol w:w="9362"/>
      </w:tblGrid>
      <w:tr>
        <w:trPr/>
        <w:tc>
          <w:tcPr>
            <w:tcW w:w="429"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jc w:val="left"/>
              <w:rPr>
                <w:color w:val="000000"/>
              </w:rPr>
            </w:pPr>
            <w:r>
              <w:rPr>
                <w:color w:val="000000"/>
              </w:rPr>
              <w:t>•</w:t>
            </w:r>
          </w:p>
        </w:tc>
        <w:tc>
          <w:tcPr>
            <w:tcW w:w="9362"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upon not less than 30 days’ prior written notice of redemption (the 30-day redemption period) to each warrant holder; and</w:t>
            </w:r>
          </w:p>
        </w:tc>
      </w:tr>
    </w:tbl>
    <w:tbl>
      <w:tblPr>
        <w:tblW w:w="5000" w:type="pct"/>
        <w:jc w:val="left"/>
        <w:tblInd w:w="0" w:type="dxa"/>
        <w:tblCellMar>
          <w:top w:w="0" w:type="dxa"/>
          <w:left w:w="0" w:type="dxa"/>
          <w:bottom w:w="0" w:type="dxa"/>
          <w:right w:w="0" w:type="dxa"/>
        </w:tblCellMar>
      </w:tblPr>
      <w:tblGrid>
        <w:gridCol w:w="162"/>
        <w:gridCol w:w="205"/>
        <w:gridCol w:w="9838"/>
      </w:tblGrid>
      <w:tr>
        <w:trPr/>
        <w:tc>
          <w:tcPr>
            <w:tcW w:w="162"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jc w:val="left"/>
              <w:rPr>
                <w:color w:val="000000"/>
              </w:rPr>
            </w:pPr>
            <w:r>
              <w:rPr>
                <w:color w:val="000000"/>
              </w:rPr>
              <w:t>•</w:t>
            </w:r>
          </w:p>
        </w:tc>
        <w:tc>
          <w:tcPr>
            <w:tcW w:w="9838"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if, and only if, the last reported sale price of the Class A ordinary shares equals or exceeds $18.00 per share (as adjusted for share splits, share dividends, rights issuances, subdivisions, reorganizations, recapitalizations and the like) for any 20 trading days within a 30-trading day period ending on the third trading day prior to the date we send the notice of redemption to the warrant holders.</w:t>
            </w:r>
          </w:p>
        </w:tc>
      </w:tr>
    </w:tbl>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will not redeem the warrants unless a registration statement under the Securities Act covering the issuance of the Class A ordinary shares issuable upon exercise of the warrants is then effective and a current prospectus relating to those Class A ordinary shares is available throughout the 30-day redemption period, except if the warrants may be exercised on a cashless basis and such cashless exercise is exempt from registration under the Securities Act. If and when the warrants become redeemable by us, we may exercise our redemption right even if we are unable to register or qualify the underlying securities for sale under all applicable state securities laws.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Class A ordinary shares may fall below the $18.00 redemption trigger price as well as the $11.50 warrant exercise price after the redemption notice is issued.</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If we call the warrants for redemption as described above, our management will have the option to require any holder that wishes to exercise his, her or its warrant to do so on a cashless basis. In determining whether to require all holders to exercise their warrants on a cashless basis, our management will consider, among other factors, our cash position, the number of warrants that are outstanding and the dilutive effect on our shareholders of issuing the maximum number of Class A ordinary shares issuable upon the exercise of our warrants. If our management takes advantage of this option, all holders of warrants would pay the exercise price by surrendering their warrants for that number of Class A ordinary shares equal to the quotient obtained by dividing (x) the product of the number of Class A ordinary shares underlying the warrants, multiplied by the excess of the fair market value (defined below) over the exercise price of the warrants by (y) the fair market value. The fair market value shall mean the average last reported sale price of the Class A ordinary shares for the 10 trading days ending on the third trading day prior to the date on which the notice of redemption is sent to the holders of warrants. If our management takes advantage of this option, the notice of redemption will contain the information necessary to calculate the number of Class A ordinary shares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131</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our initial business combination. If we call our warrants for redemption and our management does not take advantage of this option, our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Class A ordinary shares issued and outstanding immediately after giving effect to such exercise.</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If the number of issued and outstanding ordinary shares is increased by a capitalization or share dividend payable in ordinary shares, or by a split-up of ordinary shares or other similar event, then, on the effective date of such share dividend, split-up or similar event, the number of Class A ordinary shares issuable on exercise of each warrant will be increased in proportion to such increase in the issued and outstanding ordinary shares. A rights offering to holders of ordinary shares entitling holders to purchase ordinary shares at a price less than the fair market value will be deemed a share dividend of a number of ordinary shares equal to the product of (1) the number of ordinary shares actually sold in such rights offering (or issuable under any other equity securities sold in such rights offering that are convertible into or exercisable for ordinary shares) multiplied by (2) one minus the quotient of (x) the price per ordinary share paid in such rights offering divided by (y) the fair market value. For these purposes (1) if the rights offering is for securities convertible into or exercisable for Class A ordinary shares, in determining the price payable for Class A ordinary shares, there will be taken into account any consideration received for such rights, as well as any additional amount payable upon exercise or conversion and (2) fair market value means the volume weighted average price of Class A ordinary shares as reported during the 10 trading day period ending on the trading day prior to the first date on which the Class A ordinary shares trade on the applicable exchange or in the applicable market, regular way, without the right to receive such rights.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In addition, if we, at any time while the warrants are outstanding and unexpired, pay a dividend or make a distribution in cash, securities or other assets to the holders of Class A ordinary shares on account of such Class A ordinary shares (or other securities into which the warrants are convertible), other than (a) as described above, (b) certain ordinary cash dividends, (c) to satisfy the redemption rights of the holders of Class A ordinary shares in connection with a proposed initial business combination, (d) to satisfy the redemption rights of the holders of Class A ordinary shares in connection with a shareholder vote to amend our amended and restated memorandum and articles of association (i) to modify the substance or timing of our obligation to redeem 100% of our public shares if we do not complete our initial business combination within 18 months from the closing of this offering or (ii) with respect to any other provision relating to shareholders rights or pre-initial business combination activity, or (e)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Class A ordinary share in respect of such event.</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If the number of issued and outstanding Class A ordinary shares is decreased by a consolidation, combination, reverse share split or reclassification of Class A ordinary shares or other similar event, then, on the effective date of such consolidation, combination, reverse share split, reclassification or similar event, the number of Class A ordinary shares issuable on exercise of each warrant will be decreased in proportion to such decrease in issued and outstanding Class A ordinary shares.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Whenever the number of Class A ordinary shares purchasable upon the exercise of the warrants is adjusted, as described above, the warrant exercise price will be adjusted by multiplying the warrant exercise price immediately prior to such adjustment by a fraction (x) the numerator of which will be the number of Class A ordinary shares purchasable upon the exercise of the warrants immediately prior to such adjustment, and (y) the denominator of which will be the number of Class A ordinary shares so purchasable immediately thereafter.</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In addition, if (x) we issue additional Class A ordinary shares or equity-linked securities for capital raising purposes in connection with the closing of our initial business combination at a Newly Issued Price of less than $9.20 per Class A ordinary share (with such issue price or effective issue price to be determined in good faith by our board of directors and, in the case of any such issuance to our sponsor or its affiliates, without taking into </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132</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account any founder shares held by our sponsor or such affiliates, as applicable, prior to such issuance), (y) the aggregate gross proceeds from such issuances represent more than 60% of the total equity proceeds, and interest thereon, available for the funding of our initial business combination on the date of the completion of our initial business combination (net of redemptions), and (z) the Market Value is below $9.20 per share, the exercise price of the warrants will be adjusted (to the nearest cent) to be equal to 115% of the higher of the Market Value and the Newly Issued Price, and the $18.00 per share redemption trigger price described above will be adjusted (to the nearest cent) to be equal to 180% of the higher of the Market Value and the Newly Issued Price.</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In case of any reclassification or reorganization of the issued and outstanding Class A ordinary shares (other than those described above or that solely affects the par value of such Class A ordinary shares), or in the case of any merger or consolidation of us with or into another corporation (other than a consolidation or merger in which we are the continuing corporation and that does not result in any reclassification or reorganization of our issued and outstanding Class A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our Class A ordinary shares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(other than a tender, exchange or redemption offer made by the company in connection with redemption rights held by shareholders of the company as provided for in the companys amended and restated memorandum and articles of association or as a result of the redemption of Class A ordinary shares by the company if a proposed initial business combination is presented to the shareholders of the company for approval)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ordinary shares, the holder of a warrant will be entitled to receive the highest amount of cash, securities or other property to which such holder would actually have been entitled as a shareholder if such warrant holder had exercised the warrant prior to the expiration of such tender or exchange offer, accepted such offer and all of the Class A ordinary shares held by such holder had been purchased pursuant to such tender or exchange offer, subject to adjustment (from and after the consummation of such tender or exchange offer) as nearly equivalent as possible to the adjustments provided for in the warrant agreement. Additionally, if less than 70% of the consideration receivable by the holders of Class A ordinary shares in such a transaction is payable in the form of ordinary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30 days following public disclosure of such transaction, the warrant exercise price will be reduced as specified in the warrant agreement based on the per share consideration minus Black-Scholes Warrant Value (as defined in the warrant agreement) of the warrant.</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warrants will be issued in registered form under a warrant agreement between Continental Stock Transfer &amp; Trust Company, as warrant agent, and us. You should review a copy of the warrant agreement, which will be filed as an exhibit to the registration statement of which this prospectus is a part, for a complete description of the terms and conditions applicable to the warrants. The warrant agreement provides that the terms of the warrants may be amended without the consent of any holder to cure any ambiguity or correct any defective provision, but requires the approval by the holders of at least 65% of the then issued and outstanding public warrants to make any change that adversely affects the interests of the registered holders of public warrants.</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133</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ordinary shares and any voting rights until they exercise their warrants and receive Class A ordinary shares. After the issuance of Class A ordinary shares upon exercise of the warrants, each holder will be entitled to one vote for each share held of record on all matters to be voted on by shareholders.</w:t>
      </w:r>
    </w:p>
    <w:p>
      <w:pPr>
        <w:pStyle w:val="TextBody"/>
        <w:spacing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No fractional warrants will be issued upon separation of the units and only whole warrants will trade.</w:t>
      </w:r>
    </w:p>
    <w:p>
      <w:pPr>
        <w:pStyle w:val="TextBody"/>
        <w:spacing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Private Placement Warrants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private placement warrants (including the Class A ordinary shares issuable upon exercise of the private placement warrants) will not be transferable, assignable or salable until 30 days after the completion of our initial business combination (except, among other limited exceptions as described under Principal Shareholders—Transfers of Founder Shares and Private Placement Warrants, to our officers and directors and other persons or entities affiliated with our sponsor) and they will not be redeemable by us so long as they are held by our sponsor or its permitted transferees. Our sponsor, as well as its permitted transferees, have the option to exercise the private placement warrants on a cashless basis and will have certain registration rights related to such private placement warrants. Otherwise, the private placement warrants have terms and provisions that are identical to those of the warrants being sold as part of the units in this offering. If the private placement warrants are held by holders other than our sponsor or its permitted transferees, the private placement warrants will be redeemable by us and exercisable by the holders on the same basis as the warrants included in the units being sold in this offering.</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If holders of the private placement warrants elect to exercise them on a cashless basis, they would pay the exercise price by surrendering his, her or its warrants for that number of Class A ordinary shares equal to the quotient obtained by dividing (x) the product of the number of Class A ordinary shares underlying the warrants, multiplied by the excess of the fair market value (defined below) over the exercise price of the warrants by (y) the fair market value. The fair market value shall mean the average last reported sale price of the Class A ordinary shares for the 10 trading days ending on the third trading day prior to the date on which the notice of warrant exercise is sent to the warrant agent. The reason that we have agreed that these warrants will be exercisable on a cashless basis so long as they are held by our sponsor and its permitted transferees is because it is not known at this time whether they will be affiliated with us following a business combination. If they remain affiliated with us, their ability to sell our securities in the open market will be significantly limited. We expect to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shareholders who could exercise their warrants and sell the Class A ordinary shares received upon such exercise freely in the open market in order to recoup the cost of such exercise, the insiders could be significantly restricted from selling such securities. As a result, we believe that allowing the holders to exercise such warrants on a cashless basis is appropriate.</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Dividends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have not paid any cash dividends on our ordinary shares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In addition, our board of directors is not currently contemplating and does not anticipate declaring any share dividends in the foreseeable future. Further, if we incur any indebtedness in connection with our initial business combination, our ability to declare dividends may be limited by restrictive covenants we may agree to in connection therewith.</w:t>
      </w:r>
    </w:p>
    <w:p>
      <w:pPr>
        <w:pStyle w:val="TextBody"/>
        <w:spacing w:before="12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Our Transfer Agent and Warrant Agent</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The transfer agent for our ordinary shares and warrant agent for our warrants is Continental Stock Transfer &amp; Trust Company. We have agreed to indemnify Continental Stock Transfer &amp; Trust Company in its roles as </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134</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transfer agent and warrant agent, its agents and each of its shareholders,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Certain Differences in Corporate Law</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Cayman Islands companies are governed by the Companies Law. The Companies Law is modeled on English Law but does not follow recent English Law statutory enactments and differs from laws applicable to United States corporations and their shareholders. Set forth below is a summary of the material differences between the provisions of the Companies Law applicable to us and the laws applicable to companies incorporated in the United States and their shareholders.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i/>
          <w:color w:val="000000"/>
          <w:sz w:val="17"/>
        </w:rPr>
        <w:t>Mergers and Similar Arrangements.</w:t>
      </w:r>
      <w:r>
        <w:rPr>
          <w:rFonts w:ascii="Times New Roman;Times;Serif" w:hAnsi="Times New Roman;Times;Serif"/>
          <w:color w:val="000000"/>
          <w:sz w:val="17"/>
        </w:rPr>
        <w:t xml:space="preserve"> In certain circumstances, the Companies Law allows for mergers or consolidations between two Cayman Islands companies, or between a Cayman Islands exempted company and a company incorporated in another jurisdiction (provided that is facilitated by the laws of that other jurisdiction).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Where the merger or consolidation is between two Cayman Islands companies, the directors of each company must approve a written plan of merger or consolidation containing certain prescribed information. That plan of merger or consolidation must then be authorized by (a) a special resolution (at least a majority of 66 2/3% in value who attend and vote at a general meeting) of the shareholders of each company; and (b) such other authorization, if any, as may be specified in such constituent companys articles of association. No shareholder resolution is required for a merger between a parent company (i.e., a company that owns at least 90% of the issued shares of each class in a subsidiary company) and its subsidiary company. The consent of each holder of a fixed or floating security interest of a constituent company must be obtained, unless the court waives such requirement. If the Cayman Islands Registrar of Companies is satisfied that the requirements of the Companies Law (which includes certain other formalities) have been complied with, the Registrar of Companies will register the plan of merger or consolidation.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Where the merger or consolidation involves a foreign company, the procedure is similar, save that with respect to the foreign company, the directors of the Cayman Islands exempted company are required to make a declaration to the effect that, having made due enquiry, they are of the opinion that the requirements set out below have been met: (1) that the merger or consolidation is permitted or not prohibited by the constitutional documents of the foreign company and by the laws of the jurisdiction in which the foreign company is incorporated, and that those laws and any requirements of those constitutional documents have been or will be complied with; (2) that no petition or other similar proceeding has been filed and remains outstanding or order made or resolution adopted to wind up or liquidate the foreign company in any jurisdictions; (3) that no receiver, trustee, administrator or other similar person has been appointed in any jurisdiction and is acting in respect of the foreign company, its affairs or its property or any part thereof; and (4) that no scheme, order, compromise or other similar arrangement has been entered into or made in any jurisdiction whereby the rights of creditors of the foreign company are and continue to be suspended or restricted; and (5) there is no other reason why it would be against the public interest to permit the merger or consolidation.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Where the surviving company is the Cayman Islands exempted company, the directors of the Cayman Islands exempted company are further required to make a declaration to the effect that, having made due enquiry, they are of the opinion that the requirements set out below have been met: (1) that the foreign company is able to pay its debts as they fall due and that the merger or consolidated is bona fide and not intended to defraud unsecured creditors of the foreign company; (2) that in respect of the transfer of any security interest granted by the foreign company to the surviving or consolidated company (a) consent or approval to the transfer has been obtained, released or waived; (b) the transfer is permitted by and has been approved in accordance with the constitutional documents of the foreign company; and (c) the laws of the jurisdiction of the foreign company with respect to the transfer have been or will be complied with; and (3) that the foreign company will, upon the merger or consolidation becoming effective, cease to be incorporated, registered or exist under the laws of the relevant foreign jurisdiction.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The Companies Law provides for a right of dissenting shareholders to be paid a payment of the fair value of his or her shares upon their dissenting to the merger or consolidation in certain circumstances if they follow a prescribed procedure. In essence, where such rights apply, that procedure is as follows: (a) the shareholder must give his or her written objection to the merger or consolidation to the constituent company before the vote on the </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135</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merger or consolidation, including a statement that the shareholder proposes to demand payment for his or her shares if the merger or consolidation is authorized by the vote; (b) within 20 days following the date on which the merger or consolidation is approved by the shareholders, the constituent company must give written notice to each shareholder who made a written objection; (c) a shareholder must within 20 days following receipt of such notice from the constituent company, give the constituent company a written notice of his or her intention to dissent including, among other details, a demand for payment of the fair value of his or her shares; (d) within seven days following the date of the expiration of the period set out in paragraph (b) above or seven days following the date on which the plan of merger or consolidation is filed, whichever is later, the constituent company, the surviving company or the consolidated company must make a written offer to each dissenting shareholder to purchase his or her shares at a price that the company determines is the fair value and if the company and the shareholder agrees to the price within 30 days following the date on which the offer was made, the company must pay the shareholder such amount; and (e) if the company and the shareholder fails to agree to a price within such 30-day period, within 20 days following the date on which such 30-day period expires, the company (and any dissenting shareholder) must file a petition with the Cayman Islands Grand Court to determine the fair value and such petition must be accompanied by a list of the names and addresses of the dissenting shareholders with whom agreements as to the fair value of their shares have not been reached by the company. At the hearing of that petition, the court has the power to determine the fair value of the shares together with a fair rate of interest, if any, to be paid by the company upon the amount determined to be the fair value. Any dissenting shareholder whose name appears on the list filed by the company may participate fully in all proceedings until the determination of fair value is reached. These rights of a dissenting shareholder are not to be available in certain circumstances, for example, to dissenters holding shares of any class in respect of which an open market exists on a recognized stock exchange or recognized interdealer quotation system at the relevant date or where the consideration for such shares to be contributed are shares of any company listed on a national securities exchange or shares of the surviving or consolidated company, or in the context of a parent and subsidiary merger.</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Moreover, Cayman Islands law also has separate statutory provisions that facilitate the reconstruction or amalgamation of companies in certain circumstances, such schemes of arrangement will generally be more suited for complex mergers or other transactions involving widely held companies, commonly referred to in the Cayman Islands as a scheme of arrangement which may be tantamount to a merger. In the event that a merger was sought pursuant to a scheme of arrangement (the procedures of which are more rigorous and take longer to complete than the procedures typically required to consummate a merger in the United States), the arrangement in question must be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 summoned for that purpose. The convening of the meetings and subsequently the terms of the arrangement must be sanctioned by the Grand Court of the Cayman Islands. While a dissenting shareholder would have the right to express to the court the view that the transaction should not be approved, the court can be expected to approve the arrangement if it is satisfied that:</w:t>
      </w:r>
    </w:p>
    <w:tbl>
      <w:tblPr>
        <w:tblW w:w="5000" w:type="pct"/>
        <w:jc w:val="left"/>
        <w:tblInd w:w="0" w:type="dxa"/>
        <w:tblCellMar>
          <w:top w:w="0" w:type="dxa"/>
          <w:left w:w="0" w:type="dxa"/>
          <w:bottom w:w="0" w:type="dxa"/>
          <w:right w:w="0" w:type="dxa"/>
        </w:tblCellMar>
      </w:tblPr>
      <w:tblGrid>
        <w:gridCol w:w="355"/>
        <w:gridCol w:w="352"/>
        <w:gridCol w:w="9498"/>
      </w:tblGrid>
      <w:tr>
        <w:trPr/>
        <w:tc>
          <w:tcPr>
            <w:tcW w:w="355"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jc w:val="left"/>
              <w:rPr>
                <w:color w:val="000000"/>
              </w:rPr>
            </w:pPr>
            <w:r>
              <w:rPr>
                <w:color w:val="000000"/>
              </w:rPr>
              <w:t>•</w:t>
            </w:r>
          </w:p>
        </w:tc>
        <w:tc>
          <w:tcPr>
            <w:tcW w:w="9498"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we are not proposing to act illegally or beyond the scope of our corporate authority and we have complied with the statutory provisions as to majority vote;</w:t>
            </w:r>
          </w:p>
        </w:tc>
      </w:tr>
    </w:tbl>
    <w:tbl>
      <w:tblPr>
        <w:tblW w:w="5000" w:type="pct"/>
        <w:jc w:val="left"/>
        <w:tblInd w:w="0" w:type="dxa"/>
        <w:tblCellMar>
          <w:top w:w="0" w:type="dxa"/>
          <w:left w:w="0" w:type="dxa"/>
          <w:bottom w:w="0" w:type="dxa"/>
          <w:right w:w="0" w:type="dxa"/>
        </w:tblCellMar>
      </w:tblPr>
      <w:tblGrid>
        <w:gridCol w:w="707"/>
        <w:gridCol w:w="682"/>
        <w:gridCol w:w="8816"/>
      </w:tblGrid>
      <w:tr>
        <w:trPr/>
        <w:tc>
          <w:tcPr>
            <w:tcW w:w="707"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jc w:val="left"/>
              <w:rPr>
                <w:color w:val="000000"/>
              </w:rPr>
            </w:pPr>
            <w:r>
              <w:rPr>
                <w:color w:val="000000"/>
              </w:rPr>
              <w:t>•</w:t>
            </w:r>
          </w:p>
        </w:tc>
        <w:tc>
          <w:tcPr>
            <w:tcW w:w="8816"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the shareholders have been fairly represented at the meeting in question;</w:t>
            </w:r>
          </w:p>
        </w:tc>
      </w:tr>
    </w:tbl>
    <w:tbl>
      <w:tblPr>
        <w:tblW w:w="5000" w:type="pct"/>
        <w:jc w:val="left"/>
        <w:tblInd w:w="0" w:type="dxa"/>
        <w:tblCellMar>
          <w:top w:w="0" w:type="dxa"/>
          <w:left w:w="0" w:type="dxa"/>
          <w:bottom w:w="0" w:type="dxa"/>
          <w:right w:w="0" w:type="dxa"/>
        </w:tblCellMar>
      </w:tblPr>
      <w:tblGrid>
        <w:gridCol w:w="668"/>
        <w:gridCol w:w="643"/>
        <w:gridCol w:w="8894"/>
      </w:tblGrid>
      <w:tr>
        <w:trPr/>
        <w:tc>
          <w:tcPr>
            <w:tcW w:w="668"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jc w:val="left"/>
              <w:rPr>
                <w:color w:val="000000"/>
              </w:rPr>
            </w:pPr>
            <w:r>
              <w:rPr>
                <w:color w:val="000000"/>
              </w:rPr>
              <w:t>•</w:t>
            </w:r>
          </w:p>
        </w:tc>
        <w:tc>
          <w:tcPr>
            <w:tcW w:w="8894"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 xml:space="preserve">the arrangement is such as a business-person would reasonably approve; and </w:t>
            </w:r>
          </w:p>
        </w:tc>
      </w:tr>
    </w:tbl>
    <w:tbl>
      <w:tblPr>
        <w:tblW w:w="5000" w:type="pct"/>
        <w:jc w:val="left"/>
        <w:tblInd w:w="0" w:type="dxa"/>
        <w:tblCellMar>
          <w:top w:w="0" w:type="dxa"/>
          <w:left w:w="0" w:type="dxa"/>
          <w:bottom w:w="0" w:type="dxa"/>
          <w:right w:w="0" w:type="dxa"/>
        </w:tblCellMar>
      </w:tblPr>
      <w:tblGrid>
        <w:gridCol w:w="323"/>
        <w:gridCol w:w="328"/>
        <w:gridCol w:w="9554"/>
      </w:tblGrid>
      <w:tr>
        <w:trPr/>
        <w:tc>
          <w:tcPr>
            <w:tcW w:w="323"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jc w:val="left"/>
              <w:rPr>
                <w:color w:val="000000"/>
              </w:rPr>
            </w:pPr>
            <w:r>
              <w:rPr>
                <w:color w:val="000000"/>
              </w:rPr>
              <w:t>•</w:t>
            </w:r>
          </w:p>
        </w:tc>
        <w:tc>
          <w:tcPr>
            <w:tcW w:w="9554"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the arrangement is not one that would more properly be sanctioned under some other provision of the Companies Law or that would amount to a fraud on the minority.</w:t>
            </w:r>
          </w:p>
        </w:tc>
      </w:tr>
    </w:tbl>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If a scheme of arrangement or takeover offer (as described below) is approved, any dissenting shareholder would have no rights comparable to appraisal rights, which would otherwise ordinarily be available to dissenting shareholders of U.S. corporations, providing rights to receive payment in cash for the judicially determined value of the shares.</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136</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i/>
          <w:color w:val="000000"/>
          <w:sz w:val="17"/>
        </w:rPr>
        <w:t>Squeeze-out Provisions</w:t>
      </w:r>
      <w:r>
        <w:rPr>
          <w:rFonts w:ascii="Times New Roman;Times;Serif" w:hAnsi="Times New Roman;Times;Serif"/>
          <w:color w:val="000000"/>
          <w:sz w:val="17"/>
        </w:rPr>
        <w:t>. When a takeover offer is made and accepted by holders of 90% of the shares to whom the offer relates within four months, the offeror may, within a two-month period, require the holders of the remaining shares to transfer such shares on the terms of the offer. An objection can be made to the Grand Court of the Cayman Islands, but this is unlikely to succeed unless there is evidence of fraud, bad faith, collusion or inequitable treatment of the shareholders.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Further, transactions similar to a merger, reconstruction and/or an amalgamation may in some circumstances be achieved through other means to these statutory provisions, such as a share capital exchange, asset acquisition or control, through contractual arrangements, of an operating business.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i/>
          <w:color w:val="000000"/>
          <w:sz w:val="17"/>
        </w:rPr>
        <w:t>Shareholders Suits</w:t>
      </w:r>
      <w:r>
        <w:rPr>
          <w:rFonts w:ascii="Times New Roman;Times;Serif" w:hAnsi="Times New Roman;Times;Serif"/>
          <w:color w:val="000000"/>
          <w:sz w:val="17"/>
        </w:rPr>
        <w:t>. Our Cayman Islands counsel is not aware of any reported class action having been brought in a Cayman Islands court. Derivative actions have been brought in the Cayman Islands courts, and the Cayman Islands courts have confirmed the availability of such actions. In most cases, we will be the proper plaintiff in any claim based on a breach of duty owed to us, and a claim against (for example) our officers or directors usually may not be brought by a shareholder. However, based both on Cayman Islands authorities and on English authorities, which would in all likelihood be of persuasive authority and applied by a court in the Cayman Islands, exceptions to the foregoing principle apply in circumstances in which:</w:t>
      </w:r>
    </w:p>
    <w:tbl>
      <w:tblPr>
        <w:tblW w:w="5000" w:type="pct"/>
        <w:jc w:val="left"/>
        <w:tblInd w:w="0" w:type="dxa"/>
        <w:tblCellMar>
          <w:top w:w="0" w:type="dxa"/>
          <w:left w:w="0" w:type="dxa"/>
          <w:bottom w:w="0" w:type="dxa"/>
          <w:right w:w="0" w:type="dxa"/>
        </w:tblCellMar>
      </w:tblPr>
      <w:tblGrid>
        <w:gridCol w:w="605"/>
        <w:gridCol w:w="582"/>
        <w:gridCol w:w="9018"/>
      </w:tblGrid>
      <w:tr>
        <w:trPr/>
        <w:tc>
          <w:tcPr>
            <w:tcW w:w="605" w:type="dxa"/>
            <w:tcBorders/>
            <w:shd w:fill="auto" w:val="clear"/>
            <w:vAlign w:val="center"/>
          </w:tcPr>
          <w:p>
            <w:pPr>
              <w:pStyle w:val="TableContents"/>
              <w:spacing w:before="0" w:after="283"/>
              <w:rPr>
                <w:sz w:val="4"/>
                <w:szCs w:val="4"/>
              </w:rPr>
            </w:pPr>
            <w:r>
              <w:rPr>
                <w:sz w:val="4"/>
                <w:szCs w:val="4"/>
              </w:rPr>
            </w:r>
          </w:p>
        </w:tc>
        <w:tc>
          <w:tcPr>
            <w:tcW w:w="582" w:type="dxa"/>
            <w:tcBorders/>
            <w:shd w:fill="auto" w:val="clear"/>
            <w:vAlign w:val="center"/>
          </w:tcPr>
          <w:p>
            <w:pPr>
              <w:pStyle w:val="TableContents"/>
              <w:spacing w:before="0" w:after="283"/>
              <w:jc w:val="left"/>
              <w:rPr>
                <w:color w:val="000000"/>
              </w:rPr>
            </w:pPr>
            <w:r>
              <w:rPr>
                <w:color w:val="000000"/>
              </w:rPr>
              <w:t>•</w:t>
            </w:r>
          </w:p>
        </w:tc>
        <w:tc>
          <w:tcPr>
            <w:tcW w:w="9018"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a company is acting, or proposing to act, illegally or beyond the scope of its authority;</w:t>
            </w:r>
          </w:p>
        </w:tc>
      </w:tr>
    </w:tbl>
    <w:tbl>
      <w:tblPr>
        <w:tblW w:w="5000" w:type="pct"/>
        <w:jc w:val="left"/>
        <w:tblInd w:w="0" w:type="dxa"/>
        <w:tblCellMar>
          <w:top w:w="0" w:type="dxa"/>
          <w:left w:w="0" w:type="dxa"/>
          <w:bottom w:w="0" w:type="dxa"/>
          <w:right w:w="0" w:type="dxa"/>
        </w:tblCellMar>
      </w:tblPr>
      <w:tblGrid>
        <w:gridCol w:w="313"/>
        <w:gridCol w:w="321"/>
        <w:gridCol w:w="9571"/>
      </w:tblGrid>
      <w:tr>
        <w:trPr/>
        <w:tc>
          <w:tcPr>
            <w:tcW w:w="313"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jc w:val="left"/>
              <w:rPr>
                <w:color w:val="000000"/>
              </w:rPr>
            </w:pPr>
            <w:r>
              <w:rPr>
                <w:color w:val="000000"/>
              </w:rPr>
              <w:t>•</w:t>
            </w:r>
          </w:p>
        </w:tc>
        <w:tc>
          <w:tcPr>
            <w:tcW w:w="9571"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the act complained of, although not beyond the scope of the authority, could be effected if duly authorized by more than the number of votes that have actually been obtained; or</w:t>
            </w:r>
          </w:p>
        </w:tc>
      </w:tr>
    </w:tbl>
    <w:tbl>
      <w:tblPr>
        <w:tblW w:w="5000" w:type="pct"/>
        <w:jc w:val="left"/>
        <w:tblInd w:w="0" w:type="dxa"/>
        <w:tblCellMar>
          <w:top w:w="0" w:type="dxa"/>
          <w:left w:w="0" w:type="dxa"/>
          <w:bottom w:w="0" w:type="dxa"/>
          <w:right w:w="0" w:type="dxa"/>
        </w:tblCellMar>
      </w:tblPr>
      <w:tblGrid>
        <w:gridCol w:w="673"/>
        <w:gridCol w:w="648"/>
        <w:gridCol w:w="8884"/>
      </w:tblGrid>
      <w:tr>
        <w:trPr/>
        <w:tc>
          <w:tcPr>
            <w:tcW w:w="673"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jc w:val="left"/>
              <w:rPr>
                <w:color w:val="000000"/>
              </w:rPr>
            </w:pPr>
            <w:r>
              <w:rPr>
                <w:color w:val="000000"/>
              </w:rPr>
              <w:t>•</w:t>
            </w:r>
          </w:p>
        </w:tc>
        <w:tc>
          <w:tcPr>
            <w:tcW w:w="8884"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those who control the company are perpetrating a fraud on the minority.</w:t>
            </w:r>
          </w:p>
        </w:tc>
      </w:tr>
    </w:tbl>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A shareholder may have a direct right of action against us where the individual rights of that shareholder have been infringed or are about to be infringed.</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i/>
          <w:color w:val="000000"/>
          <w:sz w:val="17"/>
        </w:rPr>
        <w:t>Enforcement of Civil Liabilitie</w:t>
      </w:r>
      <w:r>
        <w:rPr>
          <w:rFonts w:ascii="Times New Roman;Times;Serif" w:hAnsi="Times New Roman;Times;Serif"/>
          <w:color w:val="000000"/>
          <w:sz w:val="17"/>
        </w:rPr>
        <w:t>s. The Cayman Islands has a different body of securities laws as compared to the United States and provides less protection to investors. Additionally, Cayman Islands companies may not have standing to sue before the federal courts of the United States.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have been advised by our Cayman Islands legal counsel that the courts of the Cayman Islands are unlikely (1) to recognize or enforce against us judgments of courts of the United States predicated upon the civil liability provisions of the federal securities laws of the United States or any state and (2)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i/>
          <w:color w:val="000000"/>
          <w:sz w:val="17"/>
        </w:rPr>
        <w:t>Special Considerations for Exempted Companies</w:t>
      </w:r>
      <w:r>
        <w:rPr>
          <w:rFonts w:ascii="Times New Roman;Times;Serif" w:hAnsi="Times New Roman;Times;Serif"/>
          <w:color w:val="000000"/>
          <w:sz w:val="17"/>
        </w:rPr>
        <w:t>. We are an exempted company with limited liability (meaning our public shareholders have no liability, as members of the Company, for liabilities of the Company over and above the amount paid for their shares) under the Companies Law. The Companies Law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tbl>
      <w:tblPr>
        <w:tblW w:w="5000" w:type="pct"/>
        <w:jc w:val="left"/>
        <w:tblInd w:w="0" w:type="dxa"/>
        <w:tblCellMar>
          <w:top w:w="0" w:type="dxa"/>
          <w:left w:w="0" w:type="dxa"/>
          <w:bottom w:w="0" w:type="dxa"/>
          <w:right w:w="0" w:type="dxa"/>
        </w:tblCellMar>
      </w:tblPr>
      <w:tblGrid>
        <w:gridCol w:w="256"/>
        <w:gridCol w:w="277"/>
        <w:gridCol w:w="9672"/>
      </w:tblGrid>
      <w:tr>
        <w:trPr/>
        <w:tc>
          <w:tcPr>
            <w:tcW w:w="256"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jc w:val="left"/>
              <w:rPr>
                <w:color w:val="000000"/>
              </w:rPr>
            </w:pPr>
            <w:r>
              <w:rPr>
                <w:color w:val="000000"/>
              </w:rPr>
              <w:t>•</w:t>
            </w:r>
          </w:p>
        </w:tc>
        <w:tc>
          <w:tcPr>
            <w:tcW w:w="9672"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annual reporting requirements are minimal and consist mainly of a statement that the company has conducted its operations mainly outside of the Cayman Islands and has complied with the provisions of the Companies Law;</w:t>
            </w:r>
          </w:p>
        </w:tc>
      </w:tr>
    </w:tbl>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137</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tbl>
      <w:tblPr>
        <w:tblW w:w="5000" w:type="pct"/>
        <w:jc w:val="left"/>
        <w:tblInd w:w="0" w:type="dxa"/>
        <w:tblCellMar>
          <w:top w:w="0" w:type="dxa"/>
          <w:left w:w="0" w:type="dxa"/>
          <w:bottom w:w="0" w:type="dxa"/>
          <w:right w:w="0" w:type="dxa"/>
        </w:tblCellMar>
      </w:tblPr>
      <w:tblGrid>
        <w:gridCol w:w="720"/>
        <w:gridCol w:w="694"/>
        <w:gridCol w:w="8791"/>
      </w:tblGrid>
      <w:tr>
        <w:trPr/>
        <w:tc>
          <w:tcPr>
            <w:tcW w:w="720"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jc w:val="left"/>
              <w:rPr>
                <w:color w:val="000000"/>
              </w:rPr>
            </w:pPr>
            <w:r>
              <w:rPr>
                <w:color w:val="000000"/>
              </w:rPr>
              <w:t>•</w:t>
            </w:r>
          </w:p>
        </w:tc>
        <w:tc>
          <w:tcPr>
            <w:tcW w:w="8791"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an exempted company’s register of members is not open to inspection;</w:t>
            </w:r>
          </w:p>
        </w:tc>
      </w:tr>
    </w:tbl>
    <w:tbl>
      <w:tblPr>
        <w:tblW w:w="5000" w:type="pct"/>
        <w:jc w:val="left"/>
        <w:tblInd w:w="0" w:type="dxa"/>
        <w:tblCellMar>
          <w:top w:w="0" w:type="dxa"/>
          <w:left w:w="0" w:type="dxa"/>
          <w:bottom w:w="0" w:type="dxa"/>
          <w:right w:w="0" w:type="dxa"/>
        </w:tblCellMar>
      </w:tblPr>
      <w:tblGrid>
        <w:gridCol w:w="704"/>
        <w:gridCol w:w="678"/>
        <w:gridCol w:w="8823"/>
      </w:tblGrid>
      <w:tr>
        <w:trPr/>
        <w:tc>
          <w:tcPr>
            <w:tcW w:w="704"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jc w:val="left"/>
              <w:rPr>
                <w:color w:val="000000"/>
              </w:rPr>
            </w:pPr>
            <w:r>
              <w:rPr>
                <w:color w:val="000000"/>
              </w:rPr>
              <w:t>•</w:t>
            </w:r>
          </w:p>
        </w:tc>
        <w:tc>
          <w:tcPr>
            <w:tcW w:w="8823"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an exempted company does not have to hold an annual general meeting;</w:t>
            </w:r>
          </w:p>
        </w:tc>
      </w:tr>
    </w:tbl>
    <w:tbl>
      <w:tblPr>
        <w:tblW w:w="5000" w:type="pct"/>
        <w:jc w:val="left"/>
        <w:tblInd w:w="0" w:type="dxa"/>
        <w:tblCellMar>
          <w:top w:w="0" w:type="dxa"/>
          <w:left w:w="0" w:type="dxa"/>
          <w:bottom w:w="0" w:type="dxa"/>
          <w:right w:w="0" w:type="dxa"/>
        </w:tblCellMar>
      </w:tblPr>
      <w:tblGrid>
        <w:gridCol w:w="590"/>
        <w:gridCol w:w="569"/>
        <w:gridCol w:w="9046"/>
      </w:tblGrid>
      <w:tr>
        <w:trPr/>
        <w:tc>
          <w:tcPr>
            <w:tcW w:w="590"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jc w:val="left"/>
              <w:rPr>
                <w:color w:val="000000"/>
              </w:rPr>
            </w:pPr>
            <w:r>
              <w:rPr>
                <w:color w:val="000000"/>
              </w:rPr>
              <w:t>•</w:t>
            </w:r>
          </w:p>
        </w:tc>
        <w:tc>
          <w:tcPr>
            <w:tcW w:w="9046"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an exempted company may issue negotiable or bearer shares or shares with no par value;</w:t>
            </w:r>
          </w:p>
        </w:tc>
      </w:tr>
    </w:tbl>
    <w:tbl>
      <w:tblPr>
        <w:tblW w:w="5000" w:type="pct"/>
        <w:jc w:val="left"/>
        <w:tblInd w:w="0" w:type="dxa"/>
        <w:tblCellMar>
          <w:top w:w="0" w:type="dxa"/>
          <w:left w:w="0" w:type="dxa"/>
          <w:bottom w:w="0" w:type="dxa"/>
          <w:right w:w="0" w:type="dxa"/>
        </w:tblCellMar>
      </w:tblPr>
      <w:tblGrid>
        <w:gridCol w:w="333"/>
        <w:gridCol w:w="336"/>
        <w:gridCol w:w="9536"/>
      </w:tblGrid>
      <w:tr>
        <w:trPr/>
        <w:tc>
          <w:tcPr>
            <w:tcW w:w="333"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jc w:val="left"/>
              <w:rPr>
                <w:color w:val="000000"/>
              </w:rPr>
            </w:pPr>
            <w:r>
              <w:rPr>
                <w:color w:val="000000"/>
              </w:rPr>
              <w:t>•</w:t>
            </w:r>
          </w:p>
        </w:tc>
        <w:tc>
          <w:tcPr>
            <w:tcW w:w="9536"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an exempted company may obtain an undertaking against the imposition of any future taxation (such undertakings are usually given for 30 years in the first instance);</w:t>
            </w:r>
          </w:p>
        </w:tc>
      </w:tr>
    </w:tbl>
    <w:tbl>
      <w:tblPr>
        <w:tblW w:w="5000" w:type="pct"/>
        <w:jc w:val="left"/>
        <w:tblInd w:w="0" w:type="dxa"/>
        <w:tblCellMar>
          <w:top w:w="0" w:type="dxa"/>
          <w:left w:w="0" w:type="dxa"/>
          <w:bottom w:w="0" w:type="dxa"/>
          <w:right w:w="0" w:type="dxa"/>
        </w:tblCellMar>
      </w:tblPr>
      <w:tblGrid>
        <w:gridCol w:w="432"/>
        <w:gridCol w:w="416"/>
        <w:gridCol w:w="9357"/>
      </w:tblGrid>
      <w:tr>
        <w:trPr/>
        <w:tc>
          <w:tcPr>
            <w:tcW w:w="432"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jc w:val="left"/>
              <w:rPr>
                <w:color w:val="000000"/>
              </w:rPr>
            </w:pPr>
            <w:r>
              <w:rPr>
                <w:color w:val="000000"/>
              </w:rPr>
              <w:t>•</w:t>
            </w:r>
          </w:p>
        </w:tc>
        <w:tc>
          <w:tcPr>
            <w:tcW w:w="9357"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an exempted company may register by way of continuation in another jurisdiction and be deregistered in the Cayman Islands;</w:t>
            </w:r>
          </w:p>
        </w:tc>
      </w:tr>
    </w:tbl>
    <w:tbl>
      <w:tblPr>
        <w:tblW w:w="5000" w:type="pct"/>
        <w:jc w:val="left"/>
        <w:tblInd w:w="0" w:type="dxa"/>
        <w:tblCellMar>
          <w:top w:w="0" w:type="dxa"/>
          <w:left w:w="0" w:type="dxa"/>
          <w:bottom w:w="0" w:type="dxa"/>
          <w:right w:w="0" w:type="dxa"/>
        </w:tblCellMar>
      </w:tblPr>
      <w:tblGrid>
        <w:gridCol w:w="713"/>
        <w:gridCol w:w="686"/>
        <w:gridCol w:w="8806"/>
      </w:tblGrid>
      <w:tr>
        <w:trPr/>
        <w:tc>
          <w:tcPr>
            <w:tcW w:w="713"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jc w:val="left"/>
              <w:rPr>
                <w:color w:val="000000"/>
              </w:rPr>
            </w:pPr>
            <w:r>
              <w:rPr>
                <w:color w:val="000000"/>
              </w:rPr>
              <w:t>•</w:t>
            </w:r>
          </w:p>
        </w:tc>
        <w:tc>
          <w:tcPr>
            <w:tcW w:w="8806"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an exempted company may register as a limited duration company; and</w:t>
            </w:r>
          </w:p>
        </w:tc>
      </w:tr>
    </w:tbl>
    <w:tbl>
      <w:tblPr>
        <w:tblW w:w="5000" w:type="pct"/>
        <w:jc w:val="left"/>
        <w:tblInd w:w="0" w:type="dxa"/>
        <w:tblCellMar>
          <w:top w:w="0" w:type="dxa"/>
          <w:left w:w="0" w:type="dxa"/>
          <w:bottom w:w="0" w:type="dxa"/>
          <w:right w:w="0" w:type="dxa"/>
        </w:tblCellMar>
      </w:tblPr>
      <w:tblGrid>
        <w:gridCol w:w="714"/>
        <w:gridCol w:w="689"/>
        <w:gridCol w:w="8802"/>
      </w:tblGrid>
      <w:tr>
        <w:trPr/>
        <w:tc>
          <w:tcPr>
            <w:tcW w:w="714"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jc w:val="left"/>
              <w:rPr>
                <w:color w:val="000000"/>
              </w:rPr>
            </w:pPr>
            <w:r>
              <w:rPr>
                <w:color w:val="000000"/>
              </w:rPr>
              <w:t>•</w:t>
            </w:r>
          </w:p>
        </w:tc>
        <w:tc>
          <w:tcPr>
            <w:tcW w:w="8802"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an exempted company may register as a segregated portfolio company.</w:t>
            </w:r>
          </w:p>
        </w:tc>
      </w:tr>
    </w:tbl>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Our Amended and Restated Memorandum and Articles of Association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Our amended and restated memorandum and articles of association will contain certain requirements and restrictions relating to this offering that will apply to us until the completion of our initial business combination. These provisions cannot be amended without a special resolution. As a matter of Cayman Islands law, a resolution is deemed to be a special resolution where it has been approved by either (1) at least two-thirds (or any higher threshold specified in a companys articles of association) of a companys shareholders at a general meeting for which notice specifying the intention to propose the resolution as a special resolution has been given or (2) if so authorized by a companys articles of association, by a unanimous written resolution of all of the companys shareholders. Our amended and restated memorandum and articles of association will provide that special resolutions must be approved either by at least two-thirds of our shareholders who attend and vote at a shareholders meeting (i.e., the lowest threshold permissible under Cayman Islands law) (other than amendments relating to the appointment or removal of directors prior to our initial business combination, which require the approval of at least 90% of our ordinary shares voting in a general meeting), or by a unanimous written resolution of all of our shareholders.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Our initial shareholders, who collectively will beneficially own 20% of our ordinary shares upon the closing of this offering (assuming they do not purchase any units in this offering), may participate in any vote to amend our amended and restated memorandum and articles of association and will have the discretion to vote in any manner they choose. Specifically, our amended and restated memorandum and articles of association will provide, among other things, that:</w:t>
      </w:r>
    </w:p>
    <w:tbl>
      <w:tblPr>
        <w:tblW w:w="5000" w:type="pct"/>
        <w:jc w:val="left"/>
        <w:tblInd w:w="0" w:type="dxa"/>
        <w:tblCellMar>
          <w:top w:w="0" w:type="dxa"/>
          <w:left w:w="0" w:type="dxa"/>
          <w:bottom w:w="0" w:type="dxa"/>
          <w:right w:w="0" w:type="dxa"/>
        </w:tblCellMar>
      </w:tblPr>
      <w:tblGrid>
        <w:gridCol w:w="81"/>
        <w:gridCol w:w="143"/>
        <w:gridCol w:w="9981"/>
      </w:tblGrid>
      <w:tr>
        <w:trPr/>
        <w:tc>
          <w:tcPr>
            <w:tcW w:w="81"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jc w:val="left"/>
              <w:rPr>
                <w:color w:val="000000"/>
              </w:rPr>
            </w:pPr>
            <w:r>
              <w:rPr>
                <w:color w:val="000000"/>
              </w:rPr>
              <w:t>•</w:t>
            </w:r>
          </w:p>
        </w:tc>
        <w:tc>
          <w:tcPr>
            <w:tcW w:w="9981"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if we are unable to complete our initial business combination within 18 months from the closing of this offering, we will: (1) cease all operations except for the purpose of winding up; (2) as promptly as reasonably possible but not more than 10 business days thereafter, redeem 100% of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 (3) as promptly as reasonably possible following such redemption, subject to the approval of our remaining shareholders and our board of directors, dissolve and liquidate, subject in each case to our obligations under Cayman Islands law to provide for claims of creditors and the requirements of other applicable law;</w:t>
            </w:r>
          </w:p>
        </w:tc>
      </w:tr>
    </w:tbl>
    <w:tbl>
      <w:tblPr>
        <w:tblW w:w="5000" w:type="pct"/>
        <w:jc w:val="left"/>
        <w:tblInd w:w="0" w:type="dxa"/>
        <w:tblCellMar>
          <w:top w:w="0" w:type="dxa"/>
          <w:left w:w="0" w:type="dxa"/>
          <w:bottom w:w="0" w:type="dxa"/>
          <w:right w:w="0" w:type="dxa"/>
        </w:tblCellMar>
      </w:tblPr>
      <w:tblGrid>
        <w:gridCol w:w="132"/>
        <w:gridCol w:w="182"/>
        <w:gridCol w:w="9891"/>
      </w:tblGrid>
      <w:tr>
        <w:trPr/>
        <w:tc>
          <w:tcPr>
            <w:tcW w:w="13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jc w:val="left"/>
              <w:rPr>
                <w:color w:val="000000"/>
              </w:rPr>
            </w:pPr>
            <w:r>
              <w:rPr>
                <w:color w:val="000000"/>
              </w:rPr>
              <w:t>•</w:t>
            </w:r>
          </w:p>
        </w:tc>
        <w:tc>
          <w:tcPr>
            <w:tcW w:w="9891"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prior to our initial business combination, we may not issue additional shares that would entitle the holders thereof to (1) receive funds from the trust account or (2) vote as a class with our public shares (a) on any initial business combination or (b) to approve an amendment to our amended and restated memorandum and articles of association to (x) extend the time we have to consummate a business combination beyond 18 months from the closing of this offering or (y) amend the foregoing provisions;</w:t>
            </w:r>
          </w:p>
        </w:tc>
      </w:tr>
    </w:tbl>
    <w:tbl>
      <w:tblPr>
        <w:tblW w:w="5000" w:type="pct"/>
        <w:jc w:val="left"/>
        <w:tblInd w:w="0" w:type="dxa"/>
        <w:tblCellMar>
          <w:top w:w="0" w:type="dxa"/>
          <w:left w:w="0" w:type="dxa"/>
          <w:bottom w:w="0" w:type="dxa"/>
          <w:right w:w="0" w:type="dxa"/>
        </w:tblCellMar>
      </w:tblPr>
      <w:tblGrid>
        <w:gridCol w:w="148"/>
        <w:gridCol w:w="194"/>
        <w:gridCol w:w="9863"/>
      </w:tblGrid>
      <w:tr>
        <w:trPr/>
        <w:tc>
          <w:tcPr>
            <w:tcW w:w="148"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jc w:val="left"/>
              <w:rPr>
                <w:color w:val="000000"/>
              </w:rPr>
            </w:pPr>
            <w:r>
              <w:rPr>
                <w:color w:val="000000"/>
              </w:rPr>
              <w:t>•</w:t>
            </w:r>
          </w:p>
        </w:tc>
        <w:tc>
          <w:tcPr>
            <w:tcW w:w="9863"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in the event we enter into a business combination with a target business that is affiliated with our sponsor, our directors or our officers (which we currently do not intend to do), we, or a committee of independent and disinterested directors, will obtain an opinion from an independent investment banking firm, or from an independent accounting firm, that such a business combination is fair to our company from a financial point of view;</w:t>
            </w:r>
          </w:p>
        </w:tc>
      </w:tr>
    </w:tbl>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138</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tbl>
      <w:tblPr>
        <w:tblW w:w="5000" w:type="pct"/>
        <w:jc w:val="left"/>
        <w:tblInd w:w="0" w:type="dxa"/>
        <w:tblCellMar>
          <w:top w:w="0" w:type="dxa"/>
          <w:left w:w="0" w:type="dxa"/>
          <w:bottom w:w="0" w:type="dxa"/>
          <w:right w:w="0" w:type="dxa"/>
        </w:tblCellMar>
      </w:tblPr>
      <w:tblGrid>
        <w:gridCol w:w="123"/>
        <w:gridCol w:w="176"/>
        <w:gridCol w:w="9906"/>
      </w:tblGrid>
      <w:tr>
        <w:trPr/>
        <w:tc>
          <w:tcPr>
            <w:tcW w:w="123"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jc w:val="left"/>
              <w:rPr>
                <w:color w:val="000000"/>
              </w:rPr>
            </w:pPr>
            <w:r>
              <w:rPr>
                <w:color w:val="000000"/>
              </w:rPr>
              <w:t>•</w:t>
            </w:r>
          </w:p>
        </w:tc>
        <w:tc>
          <w:tcPr>
            <w:tcW w:w="9906"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if a shareholder vote on our initial business combination is not required by law and we do not decide to hold a shareholder vote for business or other reasons, we will offer to redeem our public shares pursuant to Rule 13e-4 and Regulation 14E of the Exchange Act, and will 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w:t>
            </w:r>
          </w:p>
        </w:tc>
      </w:tr>
    </w:tbl>
    <w:tbl>
      <w:tblPr>
        <w:tblW w:w="5000" w:type="pct"/>
        <w:jc w:val="left"/>
        <w:tblInd w:w="0" w:type="dxa"/>
        <w:tblCellMar>
          <w:top w:w="0" w:type="dxa"/>
          <w:left w:w="0" w:type="dxa"/>
          <w:bottom w:w="0" w:type="dxa"/>
          <w:right w:w="0" w:type="dxa"/>
        </w:tblCellMar>
      </w:tblPr>
      <w:tblGrid>
        <w:gridCol w:w="158"/>
        <w:gridCol w:w="202"/>
        <w:gridCol w:w="9845"/>
      </w:tblGrid>
      <w:tr>
        <w:trPr/>
        <w:tc>
          <w:tcPr>
            <w:tcW w:w="158"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jc w:val="left"/>
              <w:rPr>
                <w:color w:val="000000"/>
              </w:rPr>
            </w:pPr>
            <w:r>
              <w:rPr>
                <w:color w:val="000000"/>
              </w:rPr>
              <w:t>•</w:t>
            </w:r>
          </w:p>
        </w:tc>
        <w:tc>
          <w:tcPr>
            <w:tcW w:w="9845"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in the event our units are listed on Nasdaq, our initial business combination must be with one or more operating businesses or assets with a fair market value equal to at least 80% of the assets held in the trust account (excluding the deferred underwriting commissions and taxes payable on the income earned on the trust account) at the time of the agreement to enter into the initial business combination;</w:t>
            </w:r>
          </w:p>
        </w:tc>
      </w:tr>
    </w:tbl>
    <w:tbl>
      <w:tblPr>
        <w:tblW w:w="5000" w:type="pct"/>
        <w:jc w:val="left"/>
        <w:tblInd w:w="0" w:type="dxa"/>
        <w:tblCellMar>
          <w:top w:w="0" w:type="dxa"/>
          <w:left w:w="0" w:type="dxa"/>
          <w:bottom w:w="0" w:type="dxa"/>
          <w:right w:w="0" w:type="dxa"/>
        </w:tblCellMar>
      </w:tblPr>
      <w:tblGrid>
        <w:gridCol w:w="133"/>
        <w:gridCol w:w="183"/>
        <w:gridCol w:w="9889"/>
      </w:tblGrid>
      <w:tr>
        <w:trPr/>
        <w:tc>
          <w:tcPr>
            <w:tcW w:w="133"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jc w:val="left"/>
              <w:rPr>
                <w:color w:val="000000"/>
              </w:rPr>
            </w:pPr>
            <w:r>
              <w:rPr>
                <w:color w:val="000000"/>
              </w:rPr>
              <w:t>•</w:t>
            </w:r>
          </w:p>
        </w:tc>
        <w:tc>
          <w:tcPr>
            <w:tcW w:w="9889"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(x) in the event we enter into a business combination with a target business in the cannabis industry, we must determine that such target business is compliant with all applicable laws and regulations within the jurisdictions in which they are located or operate, and (y) we will not invest in, or consummate a business combination with, a target business that we determine has been operating, or whose business plan is to operate, in violation of U.S. federal laws, including the U.S. Controlled Substances Act;</w:t>
            </w:r>
          </w:p>
        </w:tc>
      </w:tr>
    </w:tbl>
    <w:tbl>
      <w:tblPr>
        <w:tblW w:w="5000" w:type="pct"/>
        <w:jc w:val="left"/>
        <w:tblInd w:w="0" w:type="dxa"/>
        <w:tblCellMar>
          <w:top w:w="0" w:type="dxa"/>
          <w:left w:w="0" w:type="dxa"/>
          <w:bottom w:w="0" w:type="dxa"/>
          <w:right w:w="0" w:type="dxa"/>
        </w:tblCellMar>
      </w:tblPr>
      <w:tblGrid>
        <w:gridCol w:w="96"/>
        <w:gridCol w:w="155"/>
        <w:gridCol w:w="9954"/>
      </w:tblGrid>
      <w:tr>
        <w:trPr/>
        <w:tc>
          <w:tcPr>
            <w:tcW w:w="9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jc w:val="left"/>
              <w:rPr>
                <w:color w:val="000000"/>
              </w:rPr>
            </w:pPr>
            <w:r>
              <w:rPr>
                <w:color w:val="000000"/>
              </w:rPr>
              <w:t>•</w:t>
            </w:r>
          </w:p>
        </w:tc>
        <w:tc>
          <w:tcPr>
            <w:tcW w:w="9954"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if our shareholders approve an amendment to our amended and restated memorandum and articles of association (A) to modify the substance or timing of our obligation to redeem 100% of our public shares if we do not complete our initial business combination within 18 months from the closing of this offering or (B) with respect to any other provision relating to shareholders’ rights or pre-initial business combination activity, we will provide our public shareholders with the opportunity to redeem all or a portion of their ordinary shares upon such approval at a per-share price, payable in cash, equal to the aggregate amount then on deposit in the trust account, including interest (which interest shall be net of taxes payable), divided by the number of then issued and outstanding public shares; and</w:t>
            </w:r>
          </w:p>
        </w:tc>
      </w:tr>
    </w:tbl>
    <w:tbl>
      <w:tblPr>
        <w:tblW w:w="5000" w:type="pct"/>
        <w:jc w:val="left"/>
        <w:tblInd w:w="0" w:type="dxa"/>
        <w:tblCellMar>
          <w:top w:w="0" w:type="dxa"/>
          <w:left w:w="0" w:type="dxa"/>
          <w:bottom w:w="0" w:type="dxa"/>
          <w:right w:w="0" w:type="dxa"/>
        </w:tblCellMar>
      </w:tblPr>
      <w:tblGrid>
        <w:gridCol w:w="398"/>
        <w:gridCol w:w="385"/>
        <w:gridCol w:w="9422"/>
      </w:tblGrid>
      <w:tr>
        <w:trPr/>
        <w:tc>
          <w:tcPr>
            <w:tcW w:w="398"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jc w:val="left"/>
              <w:rPr>
                <w:color w:val="000000"/>
              </w:rPr>
            </w:pPr>
            <w:r>
              <w:rPr>
                <w:color w:val="000000"/>
              </w:rPr>
              <w:t>•</w:t>
            </w:r>
          </w:p>
        </w:tc>
        <w:tc>
          <w:tcPr>
            <w:tcW w:w="9422"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we will not effectuate our initial business combination with another blank check company or a similar company with nominal operations.</w:t>
            </w:r>
          </w:p>
        </w:tc>
      </w:tr>
    </w:tbl>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In addition, our amended and restated memorandum and articles of association will provide that under no circumstances will we redeem our public shares in an amount that would cause our net tangible assets, after payment of the deferred underwriting commissions, to be less than $5,000,001 upon completion of our initial business combination.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Companies Law permits a company incorporated in the Cayman Islands to amend its memorandum and articles of association with the approval of the holders of at least two-thirds of such companys issued and outstanding ordinary shares. A companys articles of association may specify that the approval of a higher majority is required. Accordingly, although we could amend any of the provisions relating to our proposed offering, structure and business plan which are contained in our amended and restated memorandum and articles of association, we view all of these provisions as binding obligations to our shareholders and neither we, nor our officers or directors, will take any action to amend or waive any of these provisions unless we provide dissenting public shareholders with the opportunity to redeem their public shares.</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Anti-Money Laundering—Cayman Islands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In order to comply with legislation or regulations aimed at the prevention of money laundering, we are required to adopt and maintain anti-money laundering procedures, and may require subscribers to provide evidence to verify their identity, the identity of their beneficial owners/controllers and source of funds. Where permitted, and subject to certain conditions, we may also delegate the maintenance of our anti-money laundering procedures (including the acquisition of due diligence information) to a suitable person.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reserve the right to request such information as is necessary to verify the identity of a subscriber. In some cases, the directors may be satisfied that no further information is required since an exemption applies under the Anti-Money Laundering Regulations (2018 Revision) of the Cayman Islands, as amended and revised from time to time (the Regulations). Depending on the circumstances of each application, a detailed verification of identity might not be required where:</w:t>
      </w:r>
    </w:p>
    <w:tbl>
      <w:tblPr>
        <w:tblW w:w="5000" w:type="pct"/>
        <w:jc w:val="left"/>
        <w:tblInd w:w="0" w:type="dxa"/>
        <w:tblCellMar>
          <w:top w:w="0" w:type="dxa"/>
          <w:left w:w="0" w:type="dxa"/>
          <w:bottom w:w="0" w:type="dxa"/>
          <w:right w:w="0" w:type="dxa"/>
        </w:tblCellMar>
      </w:tblPr>
      <w:tblGrid>
        <w:gridCol w:w="398"/>
        <w:gridCol w:w="386"/>
        <w:gridCol w:w="9421"/>
      </w:tblGrid>
      <w:tr>
        <w:trPr/>
        <w:tc>
          <w:tcPr>
            <w:tcW w:w="398"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(a)</w:t>
            </w:r>
          </w:p>
        </w:tc>
        <w:tc>
          <w:tcPr>
            <w:tcW w:w="9421"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the subscriber makes the payment for their investment from an account held in the subscriber’s name at a recognized financial institution;</w:t>
            </w:r>
          </w:p>
        </w:tc>
      </w:tr>
    </w:tbl>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139</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tbl>
      <w:tblPr>
        <w:tblW w:w="5000" w:type="pct"/>
        <w:jc w:val="left"/>
        <w:tblInd w:w="0" w:type="dxa"/>
        <w:tblCellMar>
          <w:top w:w="0" w:type="dxa"/>
          <w:left w:w="0" w:type="dxa"/>
          <w:bottom w:w="0" w:type="dxa"/>
          <w:right w:w="0" w:type="dxa"/>
        </w:tblCellMar>
      </w:tblPr>
      <w:tblGrid>
        <w:gridCol w:w="360"/>
        <w:gridCol w:w="363"/>
        <w:gridCol w:w="9482"/>
      </w:tblGrid>
      <w:tr>
        <w:trPr/>
        <w:tc>
          <w:tcPr>
            <w:tcW w:w="360"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(b)</w:t>
            </w:r>
          </w:p>
        </w:tc>
        <w:tc>
          <w:tcPr>
            <w:tcW w:w="9482"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the subscriber is regulated by a recognized regulatory authority and is based or incorporated in, or formed under the law of, a recognized jurisdiction; or</w:t>
            </w:r>
          </w:p>
        </w:tc>
      </w:tr>
    </w:tbl>
    <w:tbl>
      <w:tblPr>
        <w:tblW w:w="5000" w:type="pct"/>
        <w:jc w:val="left"/>
        <w:tblInd w:w="0" w:type="dxa"/>
        <w:tblCellMar>
          <w:top w:w="0" w:type="dxa"/>
          <w:left w:w="0" w:type="dxa"/>
          <w:bottom w:w="0" w:type="dxa"/>
          <w:right w:w="0" w:type="dxa"/>
        </w:tblCellMar>
      </w:tblPr>
      <w:tblGrid>
        <w:gridCol w:w="204"/>
        <w:gridCol w:w="262"/>
        <w:gridCol w:w="9739"/>
      </w:tblGrid>
      <w:tr>
        <w:trPr/>
        <w:tc>
          <w:tcPr>
            <w:tcW w:w="204"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(c)</w:t>
            </w:r>
          </w:p>
        </w:tc>
        <w:tc>
          <w:tcPr>
            <w:tcW w:w="9739"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the application is made through an intermediary which is regulated by a recognized regulatory authority and is based in or incorporated in, or formed under the law of a recognized jurisdiction and an assurance is provided in relation to the procedures undertaken on the underlying investors.</w:t>
            </w:r>
          </w:p>
        </w:tc>
      </w:tr>
    </w:tbl>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For the purposes of these exceptions, recognition of a financial institution, regulatory authority or jurisdiction will be determined in accordance with the Regulations by reference to those jurisdictions recognized by the Cayman Islands Monetary Authority as having equivalent anti-money laundering regulations.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In the event of delay or failure on the part of the subscriber in producing any information required for verification purposes, we may refuse to accept the application, in which case any funds received will be returned without interest to the account from which they were originally debited.</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also reserve the right to refuse to make any payment to a shareholder if our directors or officers suspect or are advised that the payment to such shareholder may be non-compliant with applicable anti-money laundering or other laws or regulations, or if such refusal is considered necessary or appropriate to ensure our compliance with any such laws or regulations in any applicable jurisdiction.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If any person resident in the Cayman Islands knows or suspects or has reasonable grounds for knowing or suspecting that another person is engaged in criminal conduct or is involved with terrorism or terrorist property and the information for that knowledge or suspicion came to their attention in the course of business in the regulated sector, or other trade, profession, business or employment, the person will be required to report such knowledge or suspicion to (i) the Financial Reporting Authority of the Cayman Islands, pursuant to the Proceeds of Crime Law (2019 Revision) of the Cayman Islands if the disclosure relates to criminal conduct or money laundering, or (ii) a police officer of the rank of constable or higher, or the Financial Reporting Authority, pursuant to the Terrorism Law (2018 Revision) of the Cayman Islands, if the disclosure relates to involvement with terrorism or terrorist financing and property. Such a report will not be treated as a breach of confidence or of any restriction upon the disclosure of information imposed by any enactment or otherwise.</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Certain Anti-Takeover Provisions of Our Amended and Restated Memorandum and Articles of Association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Our authorized but unissued Class A ordinary shares and preferred shares are available for future issuances without shareholder approval and could be utilized for a variety of corporate purposes, including future offerings to raise additional capital, acquisitions and employee benefit plans. The existence of authorized but unissued and unreserved Class A ordinary shares and preferred shares could render more difficult or discourage an attempt to obtain control of us by means of a proxy contest, tender offer, merger or otherwise.</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Securities Eligible for Future Sale</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Immediately after this offering we will have 31,250,000 (or 35,937,500 if the underwriters over-allotment option is exercised in full) ordinary shares issued and outstanding. Of these shares, the 25,000,000 Class A ordinary shares (or 28,750,000 shares if the underwriters over-allotment option is exercised in full) sold in this offering will be freely tradable without restriction or further registration under the Securities Act, except for any shares purchased by one of our affiliates within the meaning of Rule 144 under the Securities Act. All of the remaining 6,250,000 (or 7,187,500 if the underwriters over-allotment option is exercised in full) founder shares and all 7,000,000 (or 7,750,000 if the underwriters over-allotment option is exercised in full) private placement warrants are restricted securities under Rule 144, in that they were issued in private transactions not involving a public offering, and are subject to transfer restrictions as set forth elsewhere in this prospectus. </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Rule 144</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Pursuant to Rule 144, a person who has beneficially owned restricted shares or warrants for at least six months would be entitled to sell their securities provided that (1) such person is not deemed to have been one of our affiliates at the time of, or at any time during the three months preceding, a sale and (2)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140</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Persons who have beneficially owned restricted shares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tbl>
      <w:tblPr>
        <w:tblW w:w="5000" w:type="pct"/>
        <w:jc w:val="left"/>
        <w:tblInd w:w="0" w:type="dxa"/>
        <w:tblCellMar>
          <w:top w:w="0" w:type="dxa"/>
          <w:left w:w="0" w:type="dxa"/>
          <w:bottom w:w="0" w:type="dxa"/>
          <w:right w:w="0" w:type="dxa"/>
        </w:tblCellMar>
      </w:tblPr>
      <w:tblGrid>
        <w:gridCol w:w="264"/>
        <w:gridCol w:w="283"/>
        <w:gridCol w:w="9658"/>
      </w:tblGrid>
      <w:tr>
        <w:trPr/>
        <w:tc>
          <w:tcPr>
            <w:tcW w:w="264"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jc w:val="left"/>
              <w:rPr>
                <w:color w:val="000000"/>
              </w:rPr>
            </w:pPr>
            <w:r>
              <w:rPr>
                <w:color w:val="000000"/>
              </w:rPr>
              <w:t>•</w:t>
            </w:r>
          </w:p>
        </w:tc>
        <w:tc>
          <w:tcPr>
            <w:tcW w:w="9658"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 xml:space="preserve">1% of the total number of ordinary shares then issued and outstanding, which will equal 312,500 shares immediately after this offering (or 359,375 if the underwriters exercise their over-allotment option in full); or </w:t>
            </w:r>
          </w:p>
        </w:tc>
      </w:tr>
    </w:tbl>
    <w:tbl>
      <w:tblPr>
        <w:tblW w:w="5000" w:type="pct"/>
        <w:jc w:val="left"/>
        <w:tblInd w:w="0" w:type="dxa"/>
        <w:tblCellMar>
          <w:top w:w="0" w:type="dxa"/>
          <w:left w:w="0" w:type="dxa"/>
          <w:bottom w:w="0" w:type="dxa"/>
          <w:right w:w="0" w:type="dxa"/>
        </w:tblCellMar>
      </w:tblPr>
      <w:tblGrid>
        <w:gridCol w:w="318"/>
        <w:gridCol w:w="325"/>
        <w:gridCol w:w="9562"/>
      </w:tblGrid>
      <w:tr>
        <w:trPr/>
        <w:tc>
          <w:tcPr>
            <w:tcW w:w="318"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jc w:val="left"/>
              <w:rPr>
                <w:color w:val="000000"/>
              </w:rPr>
            </w:pPr>
            <w:r>
              <w:rPr>
                <w:color w:val="000000"/>
              </w:rPr>
              <w:t>•</w:t>
            </w:r>
          </w:p>
        </w:tc>
        <w:tc>
          <w:tcPr>
            <w:tcW w:w="9562"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the average weekly reported trading volume of the Class A ordinary shares during the four calendar weeks preceding the filing of a notice on Form 144 with respect to the sale.</w:t>
            </w:r>
          </w:p>
        </w:tc>
      </w:tr>
    </w:tbl>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Sales by our affiliates under Rule 144 are also limited by manner of sale provisions and notice requirements and to the availability of current public information about us.</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Restrictions on the Use of Rule 144 by Shell Companies or Former Shell Companies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tbl>
      <w:tblPr>
        <w:tblW w:w="5000" w:type="pct"/>
        <w:jc w:val="left"/>
        <w:tblInd w:w="0" w:type="dxa"/>
        <w:tblCellMar>
          <w:top w:w="0" w:type="dxa"/>
          <w:left w:w="0" w:type="dxa"/>
          <w:bottom w:w="0" w:type="dxa"/>
          <w:right w:w="0" w:type="dxa"/>
        </w:tblCellMar>
      </w:tblPr>
      <w:tblGrid>
        <w:gridCol w:w="558"/>
        <w:gridCol w:w="538"/>
        <w:gridCol w:w="9109"/>
      </w:tblGrid>
      <w:tr>
        <w:trPr/>
        <w:tc>
          <w:tcPr>
            <w:tcW w:w="558"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jc w:val="left"/>
              <w:rPr>
                <w:color w:val="000000"/>
              </w:rPr>
            </w:pPr>
            <w:r>
              <w:rPr>
                <w:color w:val="000000"/>
              </w:rPr>
              <w:t>•</w:t>
            </w:r>
          </w:p>
        </w:tc>
        <w:tc>
          <w:tcPr>
            <w:tcW w:w="9109"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the issuer of the securities that was formerly a shell company has ceased to be a shell company;</w:t>
            </w:r>
          </w:p>
        </w:tc>
      </w:tr>
    </w:tbl>
    <w:tbl>
      <w:tblPr>
        <w:tblW w:w="5000" w:type="pct"/>
        <w:jc w:val="left"/>
        <w:tblInd w:w="0" w:type="dxa"/>
        <w:tblCellMar>
          <w:top w:w="0" w:type="dxa"/>
          <w:left w:w="0" w:type="dxa"/>
          <w:bottom w:w="0" w:type="dxa"/>
          <w:right w:w="0" w:type="dxa"/>
        </w:tblCellMar>
      </w:tblPr>
      <w:tblGrid>
        <w:gridCol w:w="488"/>
        <w:gridCol w:w="470"/>
        <w:gridCol w:w="9247"/>
      </w:tblGrid>
      <w:tr>
        <w:trPr/>
        <w:tc>
          <w:tcPr>
            <w:tcW w:w="488"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jc w:val="left"/>
              <w:rPr>
                <w:color w:val="000000"/>
              </w:rPr>
            </w:pPr>
            <w:r>
              <w:rPr>
                <w:color w:val="000000"/>
              </w:rPr>
              <w:t>•</w:t>
            </w:r>
          </w:p>
        </w:tc>
        <w:tc>
          <w:tcPr>
            <w:tcW w:w="9247"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the issuer of the securities is subject to the reporting requirements of Section 13 or 15(d) of the Exchange Act;</w:t>
            </w:r>
          </w:p>
        </w:tc>
      </w:tr>
    </w:tbl>
    <w:tbl>
      <w:tblPr>
        <w:tblW w:w="5000" w:type="pct"/>
        <w:jc w:val="left"/>
        <w:tblInd w:w="0" w:type="dxa"/>
        <w:tblCellMar>
          <w:top w:w="0" w:type="dxa"/>
          <w:left w:w="0" w:type="dxa"/>
          <w:bottom w:w="0" w:type="dxa"/>
          <w:right w:w="0" w:type="dxa"/>
        </w:tblCellMar>
      </w:tblPr>
      <w:tblGrid>
        <w:gridCol w:w="218"/>
        <w:gridCol w:w="248"/>
        <w:gridCol w:w="9739"/>
      </w:tblGrid>
      <w:tr>
        <w:trPr/>
        <w:tc>
          <w:tcPr>
            <w:tcW w:w="21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jc w:val="left"/>
              <w:rPr>
                <w:color w:val="000000"/>
              </w:rPr>
            </w:pPr>
            <w:r>
              <w:rPr>
                <w:color w:val="000000"/>
              </w:rPr>
              <w:t>•</w:t>
            </w:r>
          </w:p>
        </w:tc>
        <w:tc>
          <w:tcPr>
            <w:tcW w:w="9739"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the issuer of the securities has filed all Exchange Act reports and material required to be filed, as applicable, during the preceding 12 months (or such shorter period that the issuer was required to file such reports and materials), other than Current Reports on Form 8-K; and</w:t>
            </w:r>
          </w:p>
        </w:tc>
      </w:tr>
    </w:tbl>
    <w:tbl>
      <w:tblPr>
        <w:tblW w:w="5000" w:type="pct"/>
        <w:jc w:val="left"/>
        <w:tblInd w:w="0" w:type="dxa"/>
        <w:tblCellMar>
          <w:top w:w="0" w:type="dxa"/>
          <w:left w:w="0" w:type="dxa"/>
          <w:bottom w:w="0" w:type="dxa"/>
          <w:right w:w="0" w:type="dxa"/>
        </w:tblCellMar>
      </w:tblPr>
      <w:tblGrid>
        <w:gridCol w:w="329"/>
        <w:gridCol w:w="333"/>
        <w:gridCol w:w="9543"/>
      </w:tblGrid>
      <w:tr>
        <w:trPr/>
        <w:tc>
          <w:tcPr>
            <w:tcW w:w="329"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jc w:val="left"/>
              <w:rPr>
                <w:color w:val="000000"/>
              </w:rPr>
            </w:pPr>
            <w:r>
              <w:rPr>
                <w:color w:val="000000"/>
              </w:rPr>
              <w:t>•</w:t>
            </w:r>
          </w:p>
        </w:tc>
        <w:tc>
          <w:tcPr>
            <w:tcW w:w="9543"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at least one year has elapsed from the time that the issuer filed current Form 10 type information with the SEC reflecting its status as an entity that is not a shell company.</w:t>
            </w:r>
          </w:p>
        </w:tc>
      </w:tr>
    </w:tbl>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As a result, our initial shareholders will be able to sell their founder shares and our sponsor will be able to sell its private placement warrants, pursuant to Rule 144 without registration, one year after we have completed our initial business combination.</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Registration Rights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holders of the founder shares, private placement warrants and any warrants that may be issued on conversion of working capital loans (and any ordinary shares issuable upon the exercise of the private placement warrants or warrants issued upon conversion of the working capital loans and upon conversion of the founder shares) will be entitled to registration rights pursuant to a registration rights agreement to be signed prior to or on the effective date of this offering requiring us to register such securities for resale. The holders of these securities will be entitled to make up to three demands, excluding short form registration demands, that we register such securities. In addition, the holders have certain piggy-back registration rights with respect to registration statements filed subsequent to our completion of our initial business combination and rights to require us to register for resale such securities pursuant to Rule 415 under the Securities Act. However, the registration rights agreement provides that we will not permit any registration statement filed under the Securities Act to become effective until termination of the applicable lock-up period, which occurs (1) in the case of the founder shares, on the earlier of (A) one year after the completion of our initial business combination or (B) subsequent to our initial business combination, (x) if the last reported sale price of Class A ordinary shares equals or exceeds $12.00 per share (as adjusted for share splits, share dividends, rights issuances, subdivisions, reorganizations, recapitalizations and the like) for any 20 trading days within any 30-trading day period commencing at least 150 days after our initial business combination, or (y) the date following the completion of our initial business combination on which we complete a liquidation, merger, amalgamation, share exchange, reorganization or other similar transaction that results in all of our public shareholders having the right to exchange their Class A ordinary shares for cash, securities or other property, and (2) in the case of the private placement warrants and the respective Class A ordinary shares underlying such warrants, 30 days after the completion of our initial business combination. We will bear the expenses incurred in connection with the filing of any such registration statements.</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141</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Listing of Securities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Our units, Class A ordinary shares and warrants have been approved for trading on Nasdaq under the symbols SSPKU, SSPK and SSPKW, respectively. We expect that our units will be listed on Nasdaq promptly after the date of the prospectus. Following the date the Class A ordinary shares and warrants are eligible to trade separately, we anticipate that the Class A ordinary shares and warrants will be listed separately and as a unit on Nasdaq. We cannot guarantee that our securities will be approved for listing on Nasdaq.</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142</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before="240" w:after="0"/>
        <w:ind w:left="0" w:right="0" w:hanging="0"/>
        <w:jc w:val="center"/>
        <w:rPr>
          <w:rFonts w:ascii="Times New Roman;Times;Serif" w:hAnsi="Times New Roman;Times;Serif"/>
          <w:b/>
          <w:color w:val="000000"/>
          <w:sz w:val="17"/>
        </w:rPr>
      </w:pPr>
      <w:bookmarkStart w:id="18" w:name="tITC"/>
      <w:bookmarkEnd w:id="18"/>
      <w:r>
        <w:rPr>
          <w:rFonts w:ascii="Times New Roman;Times;Serif" w:hAnsi="Times New Roman;Times;Serif"/>
          <w:b/>
          <w:color w:val="000000"/>
          <w:sz w:val="17"/>
        </w:rPr>
        <w:t>INCOME TAX CONSIDERATIONS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following summary of certain Cayman Islands and U.S. federal income tax considerations relevant to an investment in our units, Class A ordinary shares and warrants is based upon laws and relevant interpretations thereof in effect as of the date of this prospectus, all of which are subject to change. This summary does not deal with all possible tax consequences relating to an investment in our ordinary shares and warrants, such as the tax consequences under state, local and other tax laws.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Prospective investors should consult their professional advisors on the possible tax consequences of buying, holding or selling any securities under the laws of their country of citizenship, residence or domicile.</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Cayman Islands Taxation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following is a discussion on certain Cayman Islands income tax consequences of an investment in our securities. The discussion is a general summary of present law, which is subject to prospective and retroactive change. It is not intended as tax advice, does not consider any investors particular circumstances and does not consider tax consequences other than those arising under Cayman Islands law.</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Under Existing Cayman Islands Laws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Payments of dividends and capital in respect of our securities will not be subject to taxation in the Cayman Islands and no withholding will be required on the payment of a dividend or capital to any holder of the securities nor will gains derived from the disposal of the securities be subject to Cayman Islands income or corporation tax. The Cayman Islands currently have no income, corporation or capital gains tax and no estate duty, inheritance tax or gift tax.</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No stamp duty is payable in respect of the issue of our securities or on an instrument of transfer in respect of our securities.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Company has been incorporated under the laws of the Cayman Islands as an exempted company with limited liability and, as such, has applied for and received an undertaking from the Financial Secretary of the Cayman Islands in the following form:</w:t>
      </w:r>
    </w:p>
    <w:p>
      <w:pPr>
        <w:pStyle w:val="TextBody"/>
        <w:spacing w:lineRule="atLeast" w:line="210" w:before="240" w:after="0"/>
        <w:ind w:left="0" w:right="0" w:hanging="0"/>
        <w:jc w:val="center"/>
        <w:rPr>
          <w:rFonts w:ascii="Times New Roman;Times;Serif" w:hAnsi="Times New Roman;Times;Serif"/>
          <w:b/>
          <w:color w:val="000000"/>
          <w:sz w:val="17"/>
        </w:rPr>
      </w:pPr>
      <w:r>
        <w:rPr>
          <w:rFonts w:ascii="Times New Roman;Times;Serif" w:hAnsi="Times New Roman;Times;Serif"/>
          <w:b/>
          <w:color w:val="000000"/>
          <w:sz w:val="17"/>
        </w:rPr>
        <w:t>The Tax Concessions Law</w:t>
        <w:br/>
        <w:t>(2018 Revision)</w:t>
        <w:br/>
        <w:t>Undertaking as to Tax Concessions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In accordance with the provision of section 6 of The Tax Concessions Law (2018 Revision), the Financial Secretary undertakes with Silver Spike Acquisition Corp. (the Company).</w:t>
      </w:r>
    </w:p>
    <w:tbl>
      <w:tblPr>
        <w:tblW w:w="5000" w:type="pct"/>
        <w:jc w:val="left"/>
        <w:tblInd w:w="0" w:type="dxa"/>
        <w:tblCellMar>
          <w:top w:w="0" w:type="dxa"/>
          <w:left w:w="0" w:type="dxa"/>
          <w:bottom w:w="0" w:type="dxa"/>
          <w:right w:w="0" w:type="dxa"/>
        </w:tblCellMar>
      </w:tblPr>
      <w:tblGrid>
        <w:gridCol w:w="305"/>
        <w:gridCol w:w="314"/>
        <w:gridCol w:w="9586"/>
      </w:tblGrid>
      <w:tr>
        <w:trPr/>
        <w:tc>
          <w:tcPr>
            <w:tcW w:w="305"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1.</w:t>
            </w:r>
          </w:p>
        </w:tc>
        <w:tc>
          <w:tcPr>
            <w:tcW w:w="9586"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That no law which is hereafter enacted in the Cayman Islands imposing any tax to be levied on profits, income, gains or appreciations shall apply to the Company or its operations; and</w:t>
            </w:r>
          </w:p>
        </w:tc>
      </w:tr>
    </w:tbl>
    <w:tbl>
      <w:tblPr>
        <w:tblW w:w="5000" w:type="pct"/>
        <w:jc w:val="left"/>
        <w:tblInd w:w="0" w:type="dxa"/>
        <w:tblCellMar>
          <w:top w:w="0" w:type="dxa"/>
          <w:left w:w="0" w:type="dxa"/>
          <w:bottom w:w="0" w:type="dxa"/>
          <w:right w:w="0" w:type="dxa"/>
        </w:tblCellMar>
      </w:tblPr>
      <w:tblGrid>
        <w:gridCol w:w="362"/>
        <w:gridCol w:w="358"/>
        <w:gridCol w:w="9485"/>
      </w:tblGrid>
      <w:tr>
        <w:trPr/>
        <w:tc>
          <w:tcPr>
            <w:tcW w:w="362"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2.</w:t>
            </w:r>
          </w:p>
        </w:tc>
        <w:tc>
          <w:tcPr>
            <w:tcW w:w="9485"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In addition, that no tax to be levied on profits, income, gains or appreciations or which is in the nature of estate duty or inheritance tax shall be payable:</w:t>
            </w:r>
          </w:p>
        </w:tc>
      </w:tr>
    </w:tbl>
    <w:tbl>
      <w:tblPr>
        <w:tblW w:w="5000" w:type="pct"/>
        <w:jc w:val="left"/>
        <w:tblInd w:w="0" w:type="dxa"/>
        <w:tblCellMar>
          <w:top w:w="0" w:type="dxa"/>
          <w:left w:w="0" w:type="dxa"/>
          <w:bottom w:w="0" w:type="dxa"/>
          <w:right w:w="0" w:type="dxa"/>
        </w:tblCellMar>
      </w:tblPr>
      <w:tblGrid>
        <w:gridCol w:w="1234"/>
        <w:gridCol w:w="594"/>
        <w:gridCol w:w="8377"/>
      </w:tblGrid>
      <w:tr>
        <w:trPr/>
        <w:tc>
          <w:tcPr>
            <w:tcW w:w="1234"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2.1</w:t>
            </w:r>
          </w:p>
        </w:tc>
        <w:tc>
          <w:tcPr>
            <w:tcW w:w="8377"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on or in respect of the shares, debentures or other obligations of the Company;</w:t>
            </w:r>
          </w:p>
        </w:tc>
      </w:tr>
    </w:tbl>
    <w:p>
      <w:pPr>
        <w:pStyle w:val="TextBody"/>
        <w:spacing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OR</w:t>
      </w:r>
    </w:p>
    <w:tbl>
      <w:tblPr>
        <w:tblW w:w="5000" w:type="pct"/>
        <w:jc w:val="left"/>
        <w:tblInd w:w="0" w:type="dxa"/>
        <w:tblCellMar>
          <w:top w:w="0" w:type="dxa"/>
          <w:left w:w="0" w:type="dxa"/>
          <w:bottom w:w="0" w:type="dxa"/>
          <w:right w:w="0" w:type="dxa"/>
        </w:tblCellMar>
      </w:tblPr>
      <w:tblGrid>
        <w:gridCol w:w="742"/>
        <w:gridCol w:w="377"/>
        <w:gridCol w:w="9086"/>
      </w:tblGrid>
      <w:tr>
        <w:trPr/>
        <w:tc>
          <w:tcPr>
            <w:tcW w:w="742"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2.2</w:t>
            </w:r>
          </w:p>
        </w:tc>
        <w:tc>
          <w:tcPr>
            <w:tcW w:w="9086"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by way of the withholding in whole or part, of any relevant payment as defined in Section 6(3) of the Tax Concessions Law (2018 Revision).</w:t>
            </w:r>
          </w:p>
        </w:tc>
      </w:tr>
    </w:tbl>
    <w:tbl>
      <w:tblPr>
        <w:tblW w:w="5000" w:type="pct"/>
        <w:jc w:val="left"/>
        <w:tblInd w:w="0" w:type="dxa"/>
        <w:tblCellMar>
          <w:top w:w="0" w:type="dxa"/>
          <w:left w:w="0" w:type="dxa"/>
          <w:bottom w:w="0" w:type="dxa"/>
          <w:right w:w="0" w:type="dxa"/>
        </w:tblCellMar>
      </w:tblPr>
      <w:tblGrid>
        <w:gridCol w:w="704"/>
        <w:gridCol w:w="678"/>
        <w:gridCol w:w="8823"/>
      </w:tblGrid>
      <w:tr>
        <w:trPr/>
        <w:tc>
          <w:tcPr>
            <w:tcW w:w="704"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3.</w:t>
            </w:r>
          </w:p>
        </w:tc>
        <w:tc>
          <w:tcPr>
            <w:tcW w:w="8823"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These concessions shall be for a period of 30 years from the date hereof.</w:t>
            </w:r>
          </w:p>
        </w:tc>
      </w:tr>
    </w:tbl>
    <w:p>
      <w:pPr>
        <w:pStyle w:val="TextBody"/>
        <w:spacing w:before="12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United States Federal Income Taxation</w:t>
      </w:r>
    </w:p>
    <w:p>
      <w:pPr>
        <w:pStyle w:val="TextBody"/>
        <w:spacing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General</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The following discussion summarizes certain United States federal income tax considerations generally applicable to the acquisition, ownership and disposition of our units (each consisting of one Class A ordinary share and one-half of one warrant) that are purchased in this offering by U.S. Holders (as defined below) and Non-U.S. Holders (as defined below). Because the components of a unit are generally separable at the option of the holder, the holder of a unit generally should be treated, for United States federal income tax purposes, as the </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143</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owner of the underlying Class A ordinary share and warrant components of the unit. As a result, the discussion below with respect to holders of Class A ordinary shares and warrants should also apply to holders of units (as the deemed owners of the underlying Class A ordinary shares and warrants that constitute the units).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This discussion is limited to certain United States federal income tax considerations to beneficial owners of our securities who are initial purchasers of a unit pursuant to this offering and hold the unit and each component of the unit as a capital asset under the U.S. Internal Revenue Code of 1986, as amended (the Code). This discussion assumes that the Class A ordinary shares and warrants will trade separately and that any distributions made (or deemed made) by us on our Class A ordinary shares and any consideration received (or deemed received) by a holder in consideration for the sale or other disposition of our securities will be in U.S. dollars. This discussion is a summary only and does not consider all aspects of United States federal income taxation that may be relevant to the acquisition, ownership and disposition of a unit by a prospective investor in light of its particular circumstances, including:</w:t>
      </w:r>
    </w:p>
    <w:tbl>
      <w:tblPr>
        <w:tblW w:w="5000" w:type="pct"/>
        <w:jc w:val="left"/>
        <w:tblInd w:w="0" w:type="dxa"/>
        <w:tblCellMar>
          <w:top w:w="0" w:type="dxa"/>
          <w:left w:w="0" w:type="dxa"/>
          <w:bottom w:w="0" w:type="dxa"/>
          <w:right w:w="0" w:type="dxa"/>
        </w:tblCellMar>
      </w:tblPr>
      <w:tblGrid>
        <w:gridCol w:w="2474"/>
        <w:gridCol w:w="2384"/>
        <w:gridCol w:w="5347"/>
      </w:tblGrid>
      <w:tr>
        <w:trPr/>
        <w:tc>
          <w:tcPr>
            <w:tcW w:w="2474" w:type="dxa"/>
            <w:tcBorders/>
            <w:shd w:fill="auto" w:val="clear"/>
            <w:vAlign w:val="center"/>
          </w:tcPr>
          <w:p>
            <w:pPr>
              <w:pStyle w:val="TableContents"/>
              <w:spacing w:before="0" w:after="283"/>
              <w:rPr>
                <w:sz w:val="4"/>
                <w:szCs w:val="4"/>
              </w:rPr>
            </w:pPr>
            <w:r>
              <w:rPr>
                <w:sz w:val="4"/>
                <w:szCs w:val="4"/>
              </w:rPr>
            </w:r>
          </w:p>
        </w:tc>
        <w:tc>
          <w:tcPr>
            <w:tcW w:w="2384" w:type="dxa"/>
            <w:tcBorders/>
            <w:shd w:fill="auto" w:val="clear"/>
            <w:vAlign w:val="center"/>
          </w:tcPr>
          <w:p>
            <w:pPr>
              <w:pStyle w:val="TableContents"/>
              <w:spacing w:before="0" w:after="283"/>
              <w:jc w:val="left"/>
              <w:rPr>
                <w:color w:val="000000"/>
              </w:rPr>
            </w:pPr>
            <w:r>
              <w:rPr>
                <w:color w:val="000000"/>
              </w:rPr>
              <w:t>•</w:t>
            </w:r>
          </w:p>
        </w:tc>
        <w:tc>
          <w:tcPr>
            <w:tcW w:w="5347"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the sponsor;</w:t>
            </w:r>
          </w:p>
        </w:tc>
      </w:tr>
    </w:tbl>
    <w:tbl>
      <w:tblPr>
        <w:tblW w:w="5000" w:type="pct"/>
        <w:jc w:val="left"/>
        <w:tblInd w:w="0" w:type="dxa"/>
        <w:tblCellMar>
          <w:top w:w="0" w:type="dxa"/>
          <w:left w:w="0" w:type="dxa"/>
          <w:bottom w:w="0" w:type="dxa"/>
          <w:right w:w="0" w:type="dxa"/>
        </w:tblCellMar>
      </w:tblPr>
      <w:tblGrid>
        <w:gridCol w:w="979"/>
        <w:gridCol w:w="943"/>
        <w:gridCol w:w="8283"/>
      </w:tblGrid>
      <w:tr>
        <w:trPr/>
        <w:tc>
          <w:tcPr>
            <w:tcW w:w="979"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jc w:val="left"/>
              <w:rPr>
                <w:color w:val="000000"/>
              </w:rPr>
            </w:pPr>
            <w:r>
              <w:rPr>
                <w:color w:val="000000"/>
              </w:rPr>
              <w:t>•</w:t>
            </w:r>
          </w:p>
        </w:tc>
        <w:tc>
          <w:tcPr>
            <w:tcW w:w="8283"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financial institutions or financial services entities;</w:t>
            </w:r>
          </w:p>
        </w:tc>
      </w:tr>
    </w:tbl>
    <w:tbl>
      <w:tblPr>
        <w:tblW w:w="5000" w:type="pct"/>
        <w:jc w:val="left"/>
        <w:tblInd w:w="0" w:type="dxa"/>
        <w:tblCellMar>
          <w:top w:w="0" w:type="dxa"/>
          <w:left w:w="0" w:type="dxa"/>
          <w:bottom w:w="0" w:type="dxa"/>
          <w:right w:w="0" w:type="dxa"/>
        </w:tblCellMar>
      </w:tblPr>
      <w:tblGrid>
        <w:gridCol w:w="2146"/>
        <w:gridCol w:w="2068"/>
        <w:gridCol w:w="5991"/>
      </w:tblGrid>
      <w:tr>
        <w:trPr/>
        <w:tc>
          <w:tcPr>
            <w:tcW w:w="2146" w:type="dxa"/>
            <w:tcBorders/>
            <w:shd w:fill="auto" w:val="clear"/>
            <w:vAlign w:val="center"/>
          </w:tcPr>
          <w:p>
            <w:pPr>
              <w:pStyle w:val="TableContents"/>
              <w:spacing w:before="0" w:after="283"/>
              <w:rPr>
                <w:sz w:val="4"/>
                <w:szCs w:val="4"/>
              </w:rPr>
            </w:pPr>
            <w:r>
              <w:rPr>
                <w:sz w:val="4"/>
                <w:szCs w:val="4"/>
              </w:rPr>
            </w:r>
          </w:p>
        </w:tc>
        <w:tc>
          <w:tcPr>
            <w:tcW w:w="2068" w:type="dxa"/>
            <w:tcBorders/>
            <w:shd w:fill="auto" w:val="clear"/>
            <w:vAlign w:val="center"/>
          </w:tcPr>
          <w:p>
            <w:pPr>
              <w:pStyle w:val="TableContents"/>
              <w:spacing w:before="0" w:after="283"/>
              <w:jc w:val="left"/>
              <w:rPr>
                <w:color w:val="000000"/>
              </w:rPr>
            </w:pPr>
            <w:r>
              <w:rPr>
                <w:color w:val="000000"/>
              </w:rPr>
              <w:t>•</w:t>
            </w:r>
          </w:p>
        </w:tc>
        <w:tc>
          <w:tcPr>
            <w:tcW w:w="5991"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 xml:space="preserve">broker-dealers; </w:t>
            </w:r>
          </w:p>
        </w:tc>
      </w:tr>
    </w:tbl>
    <w:tbl>
      <w:tblPr>
        <w:tblW w:w="5000" w:type="pct"/>
        <w:jc w:val="left"/>
        <w:tblInd w:w="0" w:type="dxa"/>
        <w:tblCellMar>
          <w:top w:w="0" w:type="dxa"/>
          <w:left w:w="0" w:type="dxa"/>
          <w:bottom w:w="0" w:type="dxa"/>
          <w:right w:w="0" w:type="dxa"/>
        </w:tblCellMar>
      </w:tblPr>
      <w:tblGrid>
        <w:gridCol w:w="762"/>
        <w:gridCol w:w="734"/>
        <w:gridCol w:w="8709"/>
      </w:tblGrid>
      <w:tr>
        <w:trPr/>
        <w:tc>
          <w:tcPr>
            <w:tcW w:w="762"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jc w:val="left"/>
              <w:rPr>
                <w:color w:val="000000"/>
              </w:rPr>
            </w:pPr>
            <w:r>
              <w:rPr>
                <w:color w:val="000000"/>
              </w:rPr>
              <w:t>•</w:t>
            </w:r>
          </w:p>
        </w:tc>
        <w:tc>
          <w:tcPr>
            <w:tcW w:w="8709"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 xml:space="preserve">taxpayers that are subject to the mark-to-market accounting rules; </w:t>
            </w:r>
          </w:p>
        </w:tc>
      </w:tr>
    </w:tbl>
    <w:tbl>
      <w:tblPr>
        <w:tblW w:w="5000" w:type="pct"/>
        <w:jc w:val="left"/>
        <w:tblInd w:w="0" w:type="dxa"/>
        <w:tblCellMar>
          <w:top w:w="0" w:type="dxa"/>
          <w:left w:w="0" w:type="dxa"/>
          <w:bottom w:w="0" w:type="dxa"/>
          <w:right w:w="0" w:type="dxa"/>
        </w:tblCellMar>
      </w:tblPr>
      <w:tblGrid>
        <w:gridCol w:w="1895"/>
        <w:gridCol w:w="1826"/>
        <w:gridCol w:w="6484"/>
      </w:tblGrid>
      <w:tr>
        <w:trPr/>
        <w:tc>
          <w:tcPr>
            <w:tcW w:w="1895" w:type="dxa"/>
            <w:tcBorders/>
            <w:shd w:fill="auto" w:val="clear"/>
            <w:vAlign w:val="center"/>
          </w:tcPr>
          <w:p>
            <w:pPr>
              <w:pStyle w:val="TableContents"/>
              <w:spacing w:before="0" w:after="283"/>
              <w:rPr>
                <w:sz w:val="4"/>
                <w:szCs w:val="4"/>
              </w:rPr>
            </w:pPr>
            <w:r>
              <w:rPr>
                <w:sz w:val="4"/>
                <w:szCs w:val="4"/>
              </w:rPr>
            </w:r>
          </w:p>
        </w:tc>
        <w:tc>
          <w:tcPr>
            <w:tcW w:w="1826" w:type="dxa"/>
            <w:tcBorders/>
            <w:shd w:fill="auto" w:val="clear"/>
            <w:vAlign w:val="center"/>
          </w:tcPr>
          <w:p>
            <w:pPr>
              <w:pStyle w:val="TableContents"/>
              <w:spacing w:before="0" w:after="283"/>
              <w:jc w:val="left"/>
              <w:rPr>
                <w:color w:val="000000"/>
              </w:rPr>
            </w:pPr>
            <w:r>
              <w:rPr>
                <w:color w:val="000000"/>
              </w:rPr>
              <w:t>•</w:t>
            </w:r>
          </w:p>
        </w:tc>
        <w:tc>
          <w:tcPr>
            <w:tcW w:w="6484"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tax-exempt entities;</w:t>
            </w:r>
          </w:p>
        </w:tc>
      </w:tr>
    </w:tbl>
    <w:tbl>
      <w:tblPr>
        <w:tblW w:w="5000" w:type="pct"/>
        <w:jc w:val="left"/>
        <w:tblInd w:w="0" w:type="dxa"/>
        <w:tblCellMar>
          <w:top w:w="0" w:type="dxa"/>
          <w:left w:w="0" w:type="dxa"/>
          <w:bottom w:w="0" w:type="dxa"/>
          <w:right w:w="0" w:type="dxa"/>
        </w:tblCellMar>
      </w:tblPr>
      <w:tblGrid>
        <w:gridCol w:w="917"/>
        <w:gridCol w:w="883"/>
        <w:gridCol w:w="8405"/>
      </w:tblGrid>
      <w:tr>
        <w:trPr/>
        <w:tc>
          <w:tcPr>
            <w:tcW w:w="917"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jc w:val="left"/>
              <w:rPr>
                <w:color w:val="000000"/>
              </w:rPr>
            </w:pPr>
            <w:r>
              <w:rPr>
                <w:color w:val="000000"/>
              </w:rPr>
              <w:t>•</w:t>
            </w:r>
          </w:p>
        </w:tc>
        <w:tc>
          <w:tcPr>
            <w:tcW w:w="8405"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governments or agencies or instrumentalities thereof;</w:t>
            </w:r>
          </w:p>
        </w:tc>
      </w:tr>
    </w:tbl>
    <w:tbl>
      <w:tblPr>
        <w:tblW w:w="5000" w:type="pct"/>
        <w:jc w:val="left"/>
        <w:tblInd w:w="0" w:type="dxa"/>
        <w:tblCellMar>
          <w:top w:w="0" w:type="dxa"/>
          <w:left w:w="0" w:type="dxa"/>
          <w:bottom w:w="0" w:type="dxa"/>
          <w:right w:w="0" w:type="dxa"/>
        </w:tblCellMar>
      </w:tblPr>
      <w:tblGrid>
        <w:gridCol w:w="1785"/>
        <w:gridCol w:w="1719"/>
        <w:gridCol w:w="6701"/>
      </w:tblGrid>
      <w:tr>
        <w:trPr/>
        <w:tc>
          <w:tcPr>
            <w:tcW w:w="1785" w:type="dxa"/>
            <w:tcBorders/>
            <w:shd w:fill="auto" w:val="clear"/>
            <w:vAlign w:val="center"/>
          </w:tcPr>
          <w:p>
            <w:pPr>
              <w:pStyle w:val="TableContents"/>
              <w:spacing w:before="0" w:after="283"/>
              <w:rPr>
                <w:sz w:val="4"/>
                <w:szCs w:val="4"/>
              </w:rPr>
            </w:pPr>
            <w:r>
              <w:rPr>
                <w:sz w:val="4"/>
                <w:szCs w:val="4"/>
              </w:rPr>
            </w:r>
          </w:p>
        </w:tc>
        <w:tc>
          <w:tcPr>
            <w:tcW w:w="1719" w:type="dxa"/>
            <w:tcBorders/>
            <w:shd w:fill="auto" w:val="clear"/>
            <w:vAlign w:val="center"/>
          </w:tcPr>
          <w:p>
            <w:pPr>
              <w:pStyle w:val="TableContents"/>
              <w:spacing w:before="0" w:after="283"/>
              <w:jc w:val="left"/>
              <w:rPr>
                <w:color w:val="000000"/>
              </w:rPr>
            </w:pPr>
            <w:r>
              <w:rPr>
                <w:color w:val="000000"/>
              </w:rPr>
              <w:t>•</w:t>
            </w:r>
          </w:p>
        </w:tc>
        <w:tc>
          <w:tcPr>
            <w:tcW w:w="6701"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insurance companies;</w:t>
            </w:r>
          </w:p>
        </w:tc>
      </w:tr>
    </w:tbl>
    <w:tbl>
      <w:tblPr>
        <w:tblW w:w="5000" w:type="pct"/>
        <w:jc w:val="left"/>
        <w:tblInd w:w="0" w:type="dxa"/>
        <w:tblCellMar>
          <w:top w:w="0" w:type="dxa"/>
          <w:left w:w="0" w:type="dxa"/>
          <w:bottom w:w="0" w:type="dxa"/>
          <w:right w:w="0" w:type="dxa"/>
        </w:tblCellMar>
      </w:tblPr>
      <w:tblGrid>
        <w:gridCol w:w="1335"/>
        <w:gridCol w:w="1286"/>
        <w:gridCol w:w="7584"/>
      </w:tblGrid>
      <w:tr>
        <w:trPr/>
        <w:tc>
          <w:tcPr>
            <w:tcW w:w="1335" w:type="dxa"/>
            <w:tcBorders/>
            <w:shd w:fill="auto" w:val="clear"/>
            <w:vAlign w:val="center"/>
          </w:tcPr>
          <w:p>
            <w:pPr>
              <w:pStyle w:val="TableContents"/>
              <w:spacing w:before="0" w:after="283"/>
              <w:rPr>
                <w:sz w:val="4"/>
                <w:szCs w:val="4"/>
              </w:rPr>
            </w:pPr>
            <w:r>
              <w:rPr>
                <w:sz w:val="4"/>
                <w:szCs w:val="4"/>
              </w:rPr>
            </w:r>
          </w:p>
        </w:tc>
        <w:tc>
          <w:tcPr>
            <w:tcW w:w="1286" w:type="dxa"/>
            <w:tcBorders/>
            <w:shd w:fill="auto" w:val="clear"/>
            <w:vAlign w:val="center"/>
          </w:tcPr>
          <w:p>
            <w:pPr>
              <w:pStyle w:val="TableContents"/>
              <w:spacing w:before="0" w:after="283"/>
              <w:jc w:val="left"/>
              <w:rPr>
                <w:color w:val="000000"/>
              </w:rPr>
            </w:pPr>
            <w:r>
              <w:rPr>
                <w:color w:val="000000"/>
              </w:rPr>
              <w:t>•</w:t>
            </w:r>
          </w:p>
        </w:tc>
        <w:tc>
          <w:tcPr>
            <w:tcW w:w="7584"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regulated investment companies;</w:t>
            </w:r>
          </w:p>
        </w:tc>
      </w:tr>
    </w:tbl>
    <w:tbl>
      <w:tblPr>
        <w:tblW w:w="5000" w:type="pct"/>
        <w:jc w:val="left"/>
        <w:tblInd w:w="0" w:type="dxa"/>
        <w:tblCellMar>
          <w:top w:w="0" w:type="dxa"/>
          <w:left w:w="0" w:type="dxa"/>
          <w:bottom w:w="0" w:type="dxa"/>
          <w:right w:w="0" w:type="dxa"/>
        </w:tblCellMar>
      </w:tblPr>
      <w:tblGrid>
        <w:gridCol w:w="1502"/>
        <w:gridCol w:w="1448"/>
        <w:gridCol w:w="7255"/>
      </w:tblGrid>
      <w:tr>
        <w:trPr/>
        <w:tc>
          <w:tcPr>
            <w:tcW w:w="1502" w:type="dxa"/>
            <w:tcBorders/>
            <w:shd w:fill="auto" w:val="clear"/>
            <w:vAlign w:val="center"/>
          </w:tcPr>
          <w:p>
            <w:pPr>
              <w:pStyle w:val="TableContents"/>
              <w:spacing w:before="0" w:after="283"/>
              <w:rPr>
                <w:sz w:val="4"/>
                <w:szCs w:val="4"/>
              </w:rPr>
            </w:pPr>
            <w:r>
              <w:rPr>
                <w:sz w:val="4"/>
                <w:szCs w:val="4"/>
              </w:rPr>
            </w:r>
          </w:p>
        </w:tc>
        <w:tc>
          <w:tcPr>
            <w:tcW w:w="1448" w:type="dxa"/>
            <w:tcBorders/>
            <w:shd w:fill="auto" w:val="clear"/>
            <w:vAlign w:val="center"/>
          </w:tcPr>
          <w:p>
            <w:pPr>
              <w:pStyle w:val="TableContents"/>
              <w:spacing w:before="0" w:after="283"/>
              <w:jc w:val="left"/>
              <w:rPr>
                <w:color w:val="000000"/>
              </w:rPr>
            </w:pPr>
            <w:r>
              <w:rPr>
                <w:color w:val="000000"/>
              </w:rPr>
              <w:t>•</w:t>
            </w:r>
          </w:p>
        </w:tc>
        <w:tc>
          <w:tcPr>
            <w:tcW w:w="7255"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real estate investment trusts;</w:t>
            </w:r>
          </w:p>
        </w:tc>
      </w:tr>
    </w:tbl>
    <w:tbl>
      <w:tblPr>
        <w:tblW w:w="5000" w:type="pct"/>
        <w:jc w:val="left"/>
        <w:tblInd w:w="0" w:type="dxa"/>
        <w:tblCellMar>
          <w:top w:w="0" w:type="dxa"/>
          <w:left w:w="0" w:type="dxa"/>
          <w:bottom w:w="0" w:type="dxa"/>
          <w:right w:w="0" w:type="dxa"/>
        </w:tblCellMar>
      </w:tblPr>
      <w:tblGrid>
        <w:gridCol w:w="1083"/>
        <w:gridCol w:w="1043"/>
        <w:gridCol w:w="8079"/>
      </w:tblGrid>
      <w:tr>
        <w:trPr/>
        <w:tc>
          <w:tcPr>
            <w:tcW w:w="1083" w:type="dxa"/>
            <w:tcBorders/>
            <w:shd w:fill="auto" w:val="clear"/>
            <w:vAlign w:val="center"/>
          </w:tcPr>
          <w:p>
            <w:pPr>
              <w:pStyle w:val="TableContents"/>
              <w:spacing w:before="0" w:after="283"/>
              <w:rPr>
                <w:sz w:val="4"/>
                <w:szCs w:val="4"/>
              </w:rPr>
            </w:pPr>
            <w:r>
              <w:rPr>
                <w:sz w:val="4"/>
                <w:szCs w:val="4"/>
              </w:rPr>
            </w:r>
          </w:p>
        </w:tc>
        <w:tc>
          <w:tcPr>
            <w:tcW w:w="1043" w:type="dxa"/>
            <w:tcBorders/>
            <w:shd w:fill="auto" w:val="clear"/>
            <w:vAlign w:val="center"/>
          </w:tcPr>
          <w:p>
            <w:pPr>
              <w:pStyle w:val="TableContents"/>
              <w:spacing w:before="0" w:after="283"/>
              <w:jc w:val="left"/>
              <w:rPr>
                <w:color w:val="000000"/>
              </w:rPr>
            </w:pPr>
            <w:r>
              <w:rPr>
                <w:color w:val="000000"/>
              </w:rPr>
              <w:t>•</w:t>
            </w:r>
          </w:p>
        </w:tc>
        <w:tc>
          <w:tcPr>
            <w:tcW w:w="8079"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persons liable for alternative minimum tax;</w:t>
            </w:r>
          </w:p>
        </w:tc>
      </w:tr>
    </w:tbl>
    <w:tbl>
      <w:tblPr>
        <w:tblW w:w="5000" w:type="pct"/>
        <w:jc w:val="left"/>
        <w:tblInd w:w="0" w:type="dxa"/>
        <w:tblCellMar>
          <w:top w:w="0" w:type="dxa"/>
          <w:left w:w="0" w:type="dxa"/>
          <w:bottom w:w="0" w:type="dxa"/>
          <w:right w:w="0" w:type="dxa"/>
        </w:tblCellMar>
      </w:tblPr>
      <w:tblGrid>
        <w:gridCol w:w="809"/>
        <w:gridCol w:w="780"/>
        <w:gridCol w:w="8616"/>
      </w:tblGrid>
      <w:tr>
        <w:trPr/>
        <w:tc>
          <w:tcPr>
            <w:tcW w:w="809"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jc w:val="left"/>
              <w:rPr>
                <w:color w:val="000000"/>
              </w:rPr>
            </w:pPr>
            <w:r>
              <w:rPr>
                <w:color w:val="000000"/>
              </w:rPr>
              <w:t>•</w:t>
            </w:r>
          </w:p>
        </w:tc>
        <w:tc>
          <w:tcPr>
            <w:tcW w:w="8616"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expatriates or former long-term residents of the United States;</w:t>
            </w:r>
          </w:p>
        </w:tc>
      </w:tr>
    </w:tbl>
    <w:tbl>
      <w:tblPr>
        <w:tblW w:w="5000" w:type="pct"/>
        <w:jc w:val="left"/>
        <w:tblInd w:w="0" w:type="dxa"/>
        <w:tblCellMar>
          <w:top w:w="0" w:type="dxa"/>
          <w:left w:w="0" w:type="dxa"/>
          <w:bottom w:w="0" w:type="dxa"/>
          <w:right w:w="0" w:type="dxa"/>
        </w:tblCellMar>
      </w:tblPr>
      <w:tblGrid>
        <w:gridCol w:w="391"/>
        <w:gridCol w:w="380"/>
        <w:gridCol w:w="9434"/>
      </w:tblGrid>
      <w:tr>
        <w:trPr/>
        <w:tc>
          <w:tcPr>
            <w:tcW w:w="391"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jc w:val="left"/>
              <w:rPr>
                <w:color w:val="000000"/>
              </w:rPr>
            </w:pPr>
            <w:r>
              <w:rPr>
                <w:color w:val="000000"/>
              </w:rPr>
              <w:t>•</w:t>
            </w:r>
          </w:p>
        </w:tc>
        <w:tc>
          <w:tcPr>
            <w:tcW w:w="9434"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persons that actually or constructively own five percent or more of our voting shares or ten percent or more of the total value of our shares;</w:t>
            </w:r>
          </w:p>
        </w:tc>
      </w:tr>
    </w:tbl>
    <w:tbl>
      <w:tblPr>
        <w:tblW w:w="5000" w:type="pct"/>
        <w:jc w:val="left"/>
        <w:tblInd w:w="0" w:type="dxa"/>
        <w:tblCellMar>
          <w:top w:w="0" w:type="dxa"/>
          <w:left w:w="0" w:type="dxa"/>
          <w:bottom w:w="0" w:type="dxa"/>
          <w:right w:w="0" w:type="dxa"/>
        </w:tblCellMar>
      </w:tblPr>
      <w:tblGrid>
        <w:gridCol w:w="330"/>
        <w:gridCol w:w="333"/>
        <w:gridCol w:w="9542"/>
      </w:tblGrid>
      <w:tr>
        <w:trPr/>
        <w:tc>
          <w:tcPr>
            <w:tcW w:w="330"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jc w:val="left"/>
              <w:rPr>
                <w:color w:val="000000"/>
              </w:rPr>
            </w:pPr>
            <w:r>
              <w:rPr>
                <w:color w:val="000000"/>
              </w:rPr>
              <w:t>•</w:t>
            </w:r>
          </w:p>
        </w:tc>
        <w:tc>
          <w:tcPr>
            <w:tcW w:w="9542"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persons that acquired our securities pursuant to an exercise of employee share options, in connection with employee share incentive plans or otherwise as compensation;</w:t>
            </w:r>
          </w:p>
        </w:tc>
      </w:tr>
    </w:tbl>
    <w:tbl>
      <w:tblPr>
        <w:tblW w:w="5000" w:type="pct"/>
        <w:jc w:val="left"/>
        <w:tblInd w:w="0" w:type="dxa"/>
        <w:tblCellMar>
          <w:top w:w="0" w:type="dxa"/>
          <w:left w:w="0" w:type="dxa"/>
          <w:bottom w:w="0" w:type="dxa"/>
          <w:right w:w="0" w:type="dxa"/>
        </w:tblCellMar>
      </w:tblPr>
      <w:tblGrid>
        <w:gridCol w:w="405"/>
        <w:gridCol w:w="391"/>
        <w:gridCol w:w="9409"/>
      </w:tblGrid>
      <w:tr>
        <w:trPr/>
        <w:tc>
          <w:tcPr>
            <w:tcW w:w="405"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jc w:val="left"/>
              <w:rPr>
                <w:color w:val="000000"/>
              </w:rPr>
            </w:pPr>
            <w:r>
              <w:rPr>
                <w:color w:val="000000"/>
              </w:rPr>
              <w:t>•</w:t>
            </w:r>
          </w:p>
        </w:tc>
        <w:tc>
          <w:tcPr>
            <w:tcW w:w="9409"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persons that hold our securities as part of a straddle, constructive sale, hedging, conversion or other integrated or similar transaction; or</w:t>
            </w:r>
          </w:p>
        </w:tc>
      </w:tr>
    </w:tbl>
    <w:tbl>
      <w:tblPr>
        <w:tblW w:w="5000" w:type="pct"/>
        <w:jc w:val="left"/>
        <w:tblInd w:w="0" w:type="dxa"/>
        <w:tblCellMar>
          <w:top w:w="0" w:type="dxa"/>
          <w:left w:w="0" w:type="dxa"/>
          <w:bottom w:w="0" w:type="dxa"/>
          <w:right w:w="0" w:type="dxa"/>
        </w:tblCellMar>
      </w:tblPr>
      <w:tblGrid>
        <w:gridCol w:w="807"/>
        <w:gridCol w:w="777"/>
        <w:gridCol w:w="8621"/>
      </w:tblGrid>
      <w:tr>
        <w:trPr/>
        <w:tc>
          <w:tcPr>
            <w:tcW w:w="807"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jc w:val="left"/>
              <w:rPr>
                <w:color w:val="000000"/>
              </w:rPr>
            </w:pPr>
            <w:r>
              <w:rPr>
                <w:color w:val="000000"/>
              </w:rPr>
              <w:t>•</w:t>
            </w:r>
          </w:p>
        </w:tc>
        <w:tc>
          <w:tcPr>
            <w:tcW w:w="8621"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U.S. Holders whose functional currency is not the U.S. dollar.</w:t>
            </w:r>
          </w:p>
        </w:tc>
      </w:tr>
    </w:tbl>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Moreover, the discussion below is based upon the provisions of the Code, the Treasury regulations promulgated thereunder and administrative and judicial interpretations thereof, all as of the date hereof, and such provisions may be repealed, revoked, modified or subject to differing interpretations, possibly on a retroactive basis, so as to result in United States federal income tax consequences different from those discussed below. Furthermore, this discussion does not address any aspect of United States federal non-income tax laws, such as gift, estate or Medicare contribution tax laws, or state, local or non-U.S. tax laws. </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have not sought, and will not seek, a ruling from the IRS as to any United States federal income tax consequence described herein. The IRS may disagree with the discussion herein, and its determination may be upheld by a court. Moreover, there can be no assurance that future legislation, regulations, administrative rulings or court decisions will not change the accuracy of the statements in this discussion.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As used herein, the term U.S. Holder means a beneficial owner of units, Class A ordinary shares or warrants who or that is for United States federal income tax purposes: (i) an individual citizen or resident of the United States, (ii) a corporation (or other entity treated as a corporation for United States federal income tax purposes) that is created or organized (or treated as created or organized) in or under the laws of the United States, any state thereof or the District of Columbia, (iii) an estate the income of which is subject to United States federal </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144</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income taxation regardless of its source or (iv) a trust if (A) a court within the United States is able to exercise primary supervision over the administration of the trust and one or more U.S. persons have the authority to control all substantial decisions of the trust, or (B) it has in effect a valid election to be treated as a U.S. person.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This discussion does not consider the tax treatment of partnerships or other pass-through entities or persons who hold our securities through such entities. If a partnership (or other entity or arrangement classified as a partnership for United States federal income tax purposes) is the beneficial owner of our securities, the United States federal income tax treatment of a partner in the partnership generally will depend on the status of the partner and the activities of the partnership. Partnerships holding our securities and partners in such partnerships are urged to consult their own tax advisors.</w:t>
      </w:r>
    </w:p>
    <w:p>
      <w:pPr>
        <w:pStyle w:val="TextBody"/>
        <w:spacing w:lineRule="atLeast" w:line="240" w:before="12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THIS DISCUSSION IS ONLY A SUMMARY OF CERTAIN UNITED STATES FEDERAL INCOME TAX CONSIDERATIONS ASSOCIATED WITH THE ACQUISITION, OWNERSHIP AND DISPOSITION OF OUR SECURITIES. EACH PROSPECTIVE INVESTOR IN OUR SECURITIES IS URGED TO CONSULT ITS OWN TAX ADVISOR WITH RESPECT TO THE PARTICULAR TAX CONSEQUENCES TO SUCH INVESTOR OF THE ACQUISITION, OWNERSHIP AND DISPOSITION OF OUR SECURITIES, INCLUDING THE APPLICABILITY AND EFFECT OF ANY STATE, LOCAL, AND NON-U.S. TAX LAWS.</w:t>
      </w:r>
    </w:p>
    <w:p>
      <w:pPr>
        <w:pStyle w:val="TextBody"/>
        <w:spacing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Allocation of Purchase Price and Characterization of a Unit</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No statutory, administrative or judicial authority directly addresses the treatment of a unit or instruments similar to a unit for United States federal income tax purposes, and therefore, that treatment is not entirely clear. The acquisition of a unit should be treated for United States federal income tax purposes as the acquisition of one share of our Class A ordinary shares and one-half of one warrant, a whole one of which is exercisable to acquire one share of our Class A ordinary shares. We intend to treat the acquisition of a unit in this manner and, by purchasing a unit, you must adopt such treatment for tax purposes. For United States federal income tax purposes, each holder of a unit must allocate the purchase price paid by such holder for such unit between the one Class A ordinary share and the one-half of one warrant based on the relative fair market value of each at the time of issuance. The price allocated to each Class A ordinary share and one-half of one warrant should be the shareholders tax basis in such share or warrant. Any disposition of a unit should be treated for United States federal income tax purposes as a disposition of the Class A ordinary share and one-half of one warrant comprising the unit, and the amount realized on the disposition should be allocated between the Class A ordinary share and warrant based on their respective relative fair market values. The separation of the Class A ordinary share and the one-half of one warrant constituting a unit should not be a taxable event for United States federal income tax purposes.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foregoing treatment of the Class A ordinary shares and warrants and a holders purchase price allocation are not binding on the IRS or the courts. Because there are no authorities that directly address instruments that are similar to the units, no assurance can be given that the IRS or the courts will agree with the characterization described above or the discussion below. Accordingly, each prospective investor is urged to consult its tax advisors regarding the tax consequences of an investment in a unit (including alternative characterizations of a unit). The balance of this discussion assumes that the characterization of the units described above is respected for United States federal income tax purposes.</w:t>
      </w:r>
    </w:p>
    <w:p>
      <w:pPr>
        <w:pStyle w:val="TextBody"/>
        <w:spacing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U.S. Holders</w:t>
      </w:r>
    </w:p>
    <w:p>
      <w:pPr>
        <w:pStyle w:val="TextBody"/>
        <w:spacing w:before="120" w:after="0"/>
        <w:ind w:left="0" w:right="0" w:hanging="0"/>
        <w:jc w:val="left"/>
        <w:rPr>
          <w:rFonts w:ascii="Times New Roman;Times;Serif" w:hAnsi="Times New Roman;Times;Serif"/>
          <w:i/>
          <w:color w:val="000000"/>
          <w:sz w:val="17"/>
        </w:rPr>
      </w:pPr>
      <w:r>
        <w:rPr>
          <w:rFonts w:ascii="Times New Roman;Times;Serif" w:hAnsi="Times New Roman;Times;Serif"/>
          <w:i/>
          <w:color w:val="000000"/>
          <w:sz w:val="17"/>
        </w:rPr>
        <w:t>Taxation of Distributions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Subject to the passive foreign investment company (PFIC) rules discussed below, a U.S. Holder generally will be required to include in gross income as dividends the amount of any cash distribution paid on our Class A ordinary shares to the extent the distribution is paid out of our current or accumulated earnings and profits (as determined under United States federal income tax principles). Such dividends paid by us will be taxable to a corporate U.S. Holder at regular rates and will not be eligible for the dividends-received deduction generally allowed to domestic corporations in respect of dividends received from other domestic corporations. Subject to the PFIC rules discussed below, distributions in excess of such earnings and profits generally will be applied against and reduce the U.S. Holders basis in its Class A ordinary shares (but not below zero) and, to the extent in excess of such basis, will be treated as gain from the sale or exchange of such Class A ordinary shares.</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145</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With respect to non-corporate U.S. Holders, under tax laws currently in effect, dividends generally will be taxed at the lower applicable long-term capital gains rate (see Gain or Loss on Sale, Taxable Exchange or Other Taxable Disposition of Class A Ordinary Shares and Warrants below) only if our Class A ordinary shares are readily tradable on an established securities market in the United States and certain other requirements are met, including that we are not classified as a PFIC during the taxable year in which the dividend is paid or the preceding taxable year. U.S. Holders should consult their tax advisors regarding the availability of such lower rate for any dividends paid with respect to our Class A ordinary shares.</w:t>
      </w:r>
    </w:p>
    <w:p>
      <w:pPr>
        <w:pStyle w:val="TextBody"/>
        <w:spacing w:before="240" w:after="0"/>
        <w:ind w:left="0" w:right="0" w:hanging="0"/>
        <w:jc w:val="left"/>
        <w:rPr>
          <w:rFonts w:ascii="Times New Roman;Times;Serif" w:hAnsi="Times New Roman;Times;Serif"/>
          <w:i/>
          <w:color w:val="000000"/>
          <w:sz w:val="17"/>
        </w:rPr>
      </w:pPr>
      <w:r>
        <w:rPr>
          <w:rFonts w:ascii="Times New Roman;Times;Serif" w:hAnsi="Times New Roman;Times;Serif"/>
          <w:i/>
          <w:color w:val="000000"/>
          <w:sz w:val="17"/>
        </w:rPr>
        <w:t>Gain or Loss on Sale, Taxable Exchange or Other Taxable Disposition of Class A Ordinary Shares and Warrants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Subject to the PFIC rules discussed below, a U.S. Holder generally will recognize capital gain or loss on the sale or other taxable disposition of our Class A ordinary shares or warrants (including on our dissolution and liquidation if we do not consummate an initial business combination within the required time period). Any such capital gain or loss generally will be long-term capital gain or loss if the U.S. Holders holding period for such Class A ordinary shares or warrants exceeds one year. It is unclear, however, whether certain redemption rights described in this prospectus may suspend the running of the applicable holding period for this purpose.</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amount of gain or loss recognized on a sale or other taxable disposition generally will be equal to the difference between (i) the sum of the amount of cash and the fair market value of any property received in such disposition (or, if the Class A ordinary shares or warrants are held as part of units at the time of the disposition, the portion of the amount realized on such disposition that is allocated to the Class A ordinary shares or warrants based upon the then fair market values of the Class A ordinary shares and the warrants included in the units) and (ii) the U.S. Holders adjusted tax basis in its Class A ordinary shares or warrants so disposed of. A U.S. Holders adjusted tax basis in its Class A ordinary shares or warrants generally will equal the U.S. Holders acquisition cost (that is, the portion of the purchase price of a unit allocated to a share of Class A ordinary shares or one-half of one warrant, as described above under — Allocation of Purchase Price and Characterization of a Unit) reduced by any prior distributions treated as a return of capital. Long-term capital gain realized by a non-corporate U.S. Holder is currently eligible to be taxed at reduced rates. See — Exercise or Lapse of a Warrant below for a discussion regarding a U.S. Holders basis in a Class A ordinary share acquired pursuant to the exercise of a warrant. The deduction of capital losses is subject to certain limitations.</w:t>
      </w:r>
    </w:p>
    <w:p>
      <w:pPr>
        <w:pStyle w:val="TextBody"/>
        <w:spacing w:before="240" w:after="0"/>
        <w:ind w:left="0" w:right="0" w:hanging="0"/>
        <w:jc w:val="left"/>
        <w:rPr>
          <w:rFonts w:ascii="Times New Roman;Times;Serif" w:hAnsi="Times New Roman;Times;Serif"/>
          <w:i/>
          <w:color w:val="000000"/>
          <w:sz w:val="17"/>
        </w:rPr>
      </w:pPr>
      <w:r>
        <w:rPr>
          <w:rFonts w:ascii="Times New Roman;Times;Serif" w:hAnsi="Times New Roman;Times;Serif"/>
          <w:i/>
          <w:color w:val="000000"/>
          <w:sz w:val="17"/>
        </w:rPr>
        <w:t>Redemption of Class A Ordinary Shares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Subject to the PFIC rules discussed below, in the event that a U.S. Holders Class A ordinary shares are redeemed pursuant to the redemption provisions described in this prospectus under Description of Securities — Ordinary Shares or if we purchase a U.S. Holders Class A ordinary shares in an open market transaction, the treatment of the transaction for United States federal income tax purposes will depend on whether the redemption qualifies as a sale of the Class A ordinary shares under Section 302 of the Code. If the redemption or purchase by us qualifies as a sale of Class A ordinary shares, the U.S. Holder will be treated as described under Gain or Loss on Sale, Taxable Exchange or Other Taxable Disposition of Class A Ordinary Shares and Warrants above. If the redemption or purchase by us does not qualify as a sale of Class A ordinary shares, the U.S. Holder will be treated as receiving a corporate distribution with the tax consequences described above under Taxation of Distributions. Whether a redemption or purchase by us qualifies for sale treatment will depend largely on the total number of our shares treated as held by the U.S. Holder (including any Class A ordinary shares constructively owned by the U.S. Holder as a result of owning warrants) relative to all of our shares outstanding both before and after such redemption or purchase. The redemption or purchase by us of Class A ordinary shares generally will be treated as a sale of the Class A ordinary shares (rather than as a corporate distribution) if such redemption or purchase (i) is substantially disproportionate with respect to the U.S. Holder, (ii) results in a complete termination of the U.S. Holders interest in us or (iii) is not essentially equivalent to a dividend with respect to the U.S. Holder. These tests are explained more fully below.</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In determining whether any of the foregoing tests are satisfied, a U.S. Holder takes into account not only our shares actually owned by the U.S. Holder, but also our shares that are constructively owned by such holder. A U.S. Holder may constructively own, in addition to shares owned directly, shares owned by certain related individuals and entities in which the U.S. Holder has an interest or that have an interest in such U.S. Holder, as well as any shares the U.S. Holder has a right to acquire by exercise of an option, which would generally include Class A ordinary shares which could be acquired pursuant to the exercise of the warrants. In order to meet the substantially disproportionate test, the percentage of our outstanding voting shares actually and constructively </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146</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owned by the U.S. Holder immediately following the redemption of Class A ordinary shares must, among other requirements, be less than 80 percent of the percentage of our outstanding voting shares actually and constructively owned by the U.S. Holder immediately before the redemption. Prior to our initial business combination the ordinary shares may not be treated as voting shares for this purpose and, consequently, this substantially disproportionate test may not be applicable. There will be a complete termination of a U.S. Holders interest if either (i) all of our shares actually and constructively owned by the U.S. Holder are redeemed or (ii) all of our shares actually owned by the U.S. Holder are redeemed and the U.S. Holder is eligible to waive, and effectively waives in accordance with specific rules, the attribution of shares owned by certain family members and the U.S. Holder does not constructively own any other shares of ours. The redemption of the Class A ordinary shares will not be essentially equivalent to a dividend if such redemption results in a meaningful reduction of the U.S. Holders proportionate interest in us. Whether the redemption will result in a meaningful reduction in a U.S. Holders proportionate interest in us will depend on the particular facts and circumstances. However, the IRS has indicated in a published ruling that even a small reduction in the proportionate interest of a small minority shareholder in a publicly held corporation who exercises no control over corporate affairs may constitute such a meaningful reduction. A U.S. Holder should consult its own tax advisors as to the tax consequences of a redemption.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If none of the foregoing tests are satisfied, then the redemption will be treated as a corporate distribution and the tax effects will be as described under Taxation of Distributions above. After the application of those rules, any remaining tax basis of the U.S. Holder in the redeemed Class A ordinary shares will be added to the U.S. Holders adjusted tax basis in its remaining shares. If there are no remaining shares, a U.S. Holder is urged to consult its tax advisor as to the allocation of any remaining tax basis.</w:t>
      </w:r>
    </w:p>
    <w:p>
      <w:pPr>
        <w:pStyle w:val="TextBody"/>
        <w:spacing w:before="240" w:after="0"/>
        <w:ind w:left="0" w:right="0" w:hanging="0"/>
        <w:jc w:val="left"/>
        <w:rPr>
          <w:rFonts w:ascii="Times New Roman;Times;Serif" w:hAnsi="Times New Roman;Times;Serif"/>
          <w:i/>
          <w:color w:val="000000"/>
          <w:sz w:val="17"/>
        </w:rPr>
      </w:pPr>
      <w:r>
        <w:rPr>
          <w:rFonts w:ascii="Times New Roman;Times;Serif" w:hAnsi="Times New Roman;Times;Serif"/>
          <w:i/>
          <w:color w:val="000000"/>
          <w:sz w:val="17"/>
        </w:rPr>
        <w:t>Exercise or Lapse of a Warrant</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Subject to the PFIC rules discussed below and except as discussed below with respect to the cashless exercise of a warrant, a U.S. Holder generally will not recognize gain or loss upon the acquisition of a Class A ordinary share on the exercise of a warrant for cash. A U.S. Holders tax basis in a Class A ordinary share received upon exercise of the warrant generally will equal the sum of the U.S. Holders initial investment in the warrant (that is, the portion of the U.S. Holders purchase price for the units that is allocated to the warrant, as described above under — Allocation of Purchase Price and Characterization of a Unit) and the exercise price. It is unclear whether a U.S. Holders holding period for the Class A ordinary share will commence on the date of exercise of the warrant or the day following the date of exercise of the warrant; in either case, the holding period will not include the period during which the U.S. Holder held the warrant. If a warrant is allowed to lapse unexercised, a U.S. Holder generally will recognize a capital loss equal to such holders tax basis in the warrant.</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tax consequences of a cashless exercise of a warrant are not clear under current law. A cashless exercise may not be taxable, either because the exercise is not a realization event or because the exercise is treated as a recapitalization for United States federal income tax purposes. In either situation, a U.S. Holders tax basis in the Class A ordinary shares received generally would equal the U.S. Holders tax basis in the warrants. If the cashless exercise was not a realization event, it is unclear whether a U.S. Holders holding period for the Class A ordinary share will commence on the date of exercise of the warrant or the day following the date of exercise of the warrant. If the cashless exercise were treated as a recapitalization, the holding period of the Class A ordinary shares would include the holding period of the warrants.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It is also possible that a cashless exercise may be treated as a taxable exchange in which gain or loss would be recognized. In such event, a U.S. Holder may be deemed to have surrendered warrants with an aggregate fair market value equal to the exercise price for the total number of warrants to be exercised. The U.S. Holder would recognize capital gain or loss in an amount equal to the difference between the fair market value of the warrants deemed surrendered and the U.S. Holders tax basis in such warrants. In this case, a U.S. Holders tax basis in the Class A ordinary shares received would equal the sum of the U.S. Holders initial investment in the warrants exercised (i.e., the portion of the U.S. Holders purchase price for the units that is allocated to the warrant, as described above under — Allocation of Purchase Price and Characterization of a Unit) and the exercise price of such warrants. It is unclear whether a U.S. Holders holding period for the Class A ordinary shares would commence on the date of exercise of the warrant or the day following the date of exercise of the warrant.</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147</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Due to the absence of authority on the United States federal income tax treatment of a cashless exercise, there can be no assurance which, if any, of the alternative tax consequences and holding periods described above would be adopted by the IRS or a court of law. Accordingly, U.S. Holders should consult their tax advisors regarding the tax consequences of a cashless exercise.</w:t>
      </w:r>
    </w:p>
    <w:p>
      <w:pPr>
        <w:pStyle w:val="TextBody"/>
        <w:spacing w:before="240" w:after="0"/>
        <w:ind w:left="0" w:right="0" w:hanging="0"/>
        <w:jc w:val="left"/>
        <w:rPr>
          <w:rFonts w:ascii="Times New Roman;Times;Serif" w:hAnsi="Times New Roman;Times;Serif"/>
          <w:i/>
          <w:color w:val="000000"/>
          <w:sz w:val="17"/>
        </w:rPr>
      </w:pPr>
      <w:r>
        <w:rPr>
          <w:rFonts w:ascii="Times New Roman;Times;Serif" w:hAnsi="Times New Roman;Times;Serif"/>
          <w:i/>
          <w:color w:val="000000"/>
          <w:sz w:val="17"/>
        </w:rPr>
        <w:t>Possible Constructive Distributions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terms of each warrant provide for an adjustment to the number of Class A ordinary shares for which the warrant may be exercised or to the exercise price of the warrant in certain events, as discussed in the section of this prospectus captioned Description of Securities — Warrants — Public Shareholders Warrants. An adjustment which has the effect of preventing dilution generally is not taxable. The U.S. Holders of the warrants would, however, be treated as receiving a constructive distribution from us if, for example, the adjustment increases the warrant U.S. Holders proportionate interest in our assets or earnings and profits (e.g., through an increase in the number of Class A ordinary shares that would be obtained upon exercise) as a result of a distribution of cash to the holders of our Class A ordinary shares which is taxable to the U.S. Holders of such Class A ordinary shares as described under — Taxation of Distributions above. Such constructive distribution would be subject to tax as described under that section in the same manner as if the U.S. Holders of the warrants received a cash distribution from us equal to the fair market value of the increase in the interest. For certain information reporting purposes, we are required to determine the date and amount of any such constructive distributions. Proposed Treasury regulations, which we may rely on prior to the issuance of final regulations, specify how the date and amount of constructive distributions are determined.</w:t>
      </w:r>
    </w:p>
    <w:p>
      <w:pPr>
        <w:pStyle w:val="TextBody"/>
        <w:spacing w:before="240" w:after="0"/>
        <w:ind w:left="0" w:right="0" w:hanging="0"/>
        <w:jc w:val="left"/>
        <w:rPr>
          <w:rFonts w:ascii="Times New Roman;Times;Serif" w:hAnsi="Times New Roman;Times;Serif"/>
          <w:i/>
          <w:color w:val="000000"/>
          <w:sz w:val="17"/>
        </w:rPr>
      </w:pPr>
      <w:r>
        <w:rPr>
          <w:rFonts w:ascii="Times New Roman;Times;Serif" w:hAnsi="Times New Roman;Times;Serif"/>
          <w:i/>
          <w:color w:val="000000"/>
          <w:sz w:val="17"/>
        </w:rPr>
        <w:t>Passive Foreign Investment Company Rules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A non-U.S. corporation will be classified as a PFIC for United States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rents or royalties derived from the active conduct of a trade or business) and gains from the disposition of passive assets.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Because we are a blank check company, with no current active business, we believe that it is likely that we will meet the PFIC asset or income test for our current taxable year ending December 31, 2019. However, pursuant to a startup exception, a corporation will not be a PFIC for the first taxable year the corporation has gross income (the startup year), if (1) no predecessor of the corporation was a PFIC; (2) the corporation satisfies the IRS that it will not be a PFIC for either of the first two taxable years following the startup year; and (3) the corporation is not in fact a PFIC for either of those years. Although subject to uncertainty, we may qualify for the startup exception for 2019, and, accordingly, we would not be treated as a PFIC for 2019. The applicability of the startup exception to us will not be known until after the close of our current taxable year ending December 31, 2019 and, perhaps, until after the close of the first two taxable years following our startup year (within the meaning of the startup exception). Although subject to uncertainty, it is possible that we could be treated as a PFIC for a taxable year prior to our startup year (within the meaning of the startup exception). Further, after the acquisition of a company or assets in a business combination, we may still meet one of the PFIC tests depending on the timing of the acquisition and the amount of our passive income and assets as well as the passive income and assets of the acquired business. If the company that we acquire in a business combination is a PFIC, then we will likely not qualify for the startup exception and will be a PFIC for our current taxable year ending December 31, 2019. Our actual PFIC status for our current taxable year or any subsequent taxable year will not be determinable until after the end of such taxable year. Accordingly, there can be no assurance with respect to our status as a PFIC for our current taxable year ending December 31, 2019 or any future taxable year.</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Although our PFIC status is determined annually, an initial determination that our company is a PFIC will generally apply for subsequent years to a U.S. Holder who held ordinary shares or warrants while we were a PFIC, whether or not we meet the test for PFIC status in those subsequent years. If we are determined to be a PFIC for any taxable year (or portion thereof) that is included in the holding period of a U.S. Holder of our Class A ordinary shares or warrants and, in the case of our Class A ordinary shares, the U.S. Holder did not </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148</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make either a timely qualified electing fund (QEF) election or a mark-to-market election for our first taxable year as a PFIC in which the U.S. Holder held (or was deemed to hold) Class A ordinary shares, as described below, such U.S. Holder generally will be subject to special rules with respect to (i) any gain recognized by the U.S. Holder on the sale or other disposition of its Class A ordinary shares or warrants and (ii) any excess distribution made to the U.S. Holder (generally, any distributions to such U.S. Holder during a taxable year of the U.S. Holder that are greater than 125% of the average annual distributions received by such U.S. Holder in respect of the Class A ordinary shares during the three preceding taxable years of such U.S. Holder or, if shorter, such U.S. Holders holding period for the Class A ordinary shares).</w:t>
      </w:r>
    </w:p>
    <w:p>
      <w:pPr>
        <w:pStyle w:val="TextBody"/>
        <w:spacing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Under these rules:</w:t>
      </w:r>
    </w:p>
    <w:tbl>
      <w:tblPr>
        <w:tblW w:w="5000" w:type="pct"/>
        <w:jc w:val="left"/>
        <w:tblInd w:w="0" w:type="dxa"/>
        <w:tblCellMar>
          <w:top w:w="0" w:type="dxa"/>
          <w:left w:w="0" w:type="dxa"/>
          <w:bottom w:w="0" w:type="dxa"/>
          <w:right w:w="0" w:type="dxa"/>
        </w:tblCellMar>
      </w:tblPr>
      <w:tblGrid>
        <w:gridCol w:w="364"/>
        <w:gridCol w:w="359"/>
        <w:gridCol w:w="9482"/>
      </w:tblGrid>
      <w:tr>
        <w:trPr/>
        <w:tc>
          <w:tcPr>
            <w:tcW w:w="364"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jc w:val="left"/>
              <w:rPr>
                <w:color w:val="000000"/>
              </w:rPr>
            </w:pPr>
            <w:r>
              <w:rPr>
                <w:color w:val="000000"/>
              </w:rPr>
              <w:t>•</w:t>
            </w:r>
          </w:p>
        </w:tc>
        <w:tc>
          <w:tcPr>
            <w:tcW w:w="9482"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the U.S. Holder’s gain or excess distribution will be allocated ratably over the U.S. Holder’s holding period for the Class A ordinary shares or warrants;</w:t>
            </w:r>
          </w:p>
        </w:tc>
      </w:tr>
    </w:tbl>
    <w:tbl>
      <w:tblPr>
        <w:tblW w:w="5000" w:type="pct"/>
        <w:jc w:val="left"/>
        <w:tblInd w:w="0" w:type="dxa"/>
        <w:tblCellMar>
          <w:top w:w="0" w:type="dxa"/>
          <w:left w:w="0" w:type="dxa"/>
          <w:bottom w:w="0" w:type="dxa"/>
          <w:right w:w="0" w:type="dxa"/>
        </w:tblCellMar>
      </w:tblPr>
      <w:tblGrid>
        <w:gridCol w:w="206"/>
        <w:gridCol w:w="239"/>
        <w:gridCol w:w="9760"/>
      </w:tblGrid>
      <w:tr>
        <w:trPr/>
        <w:tc>
          <w:tcPr>
            <w:tcW w:w="20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jc w:val="left"/>
              <w:rPr>
                <w:color w:val="000000"/>
              </w:rPr>
            </w:pPr>
            <w:r>
              <w:rPr>
                <w:color w:val="000000"/>
              </w:rPr>
              <w:t>•</w:t>
            </w:r>
          </w:p>
        </w:tc>
        <w:tc>
          <w:tcPr>
            <w:tcW w:w="9760"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the amount allocated to the U.S. Holder’s taxable year in which the U.S. Holder recognized the gain or received the excess distribution, or to the period in the U.S. Holder’s holding period before the first day of our first taxable year in which we are a PFIC, will be taxed as ordinary income;</w:t>
            </w:r>
          </w:p>
        </w:tc>
      </w:tr>
    </w:tbl>
    <w:tbl>
      <w:tblPr>
        <w:tblW w:w="5000" w:type="pct"/>
        <w:jc w:val="left"/>
        <w:tblInd w:w="0" w:type="dxa"/>
        <w:tblCellMar>
          <w:top w:w="0" w:type="dxa"/>
          <w:left w:w="0" w:type="dxa"/>
          <w:bottom w:w="0" w:type="dxa"/>
          <w:right w:w="0" w:type="dxa"/>
        </w:tblCellMar>
      </w:tblPr>
      <w:tblGrid>
        <w:gridCol w:w="268"/>
        <w:gridCol w:w="286"/>
        <w:gridCol w:w="9651"/>
      </w:tblGrid>
      <w:tr>
        <w:trPr/>
        <w:tc>
          <w:tcPr>
            <w:tcW w:w="268"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jc w:val="left"/>
              <w:rPr>
                <w:color w:val="000000"/>
              </w:rPr>
            </w:pPr>
            <w:r>
              <w:rPr>
                <w:color w:val="000000"/>
              </w:rPr>
              <w:t>•</w:t>
            </w:r>
          </w:p>
        </w:tc>
        <w:tc>
          <w:tcPr>
            <w:tcW w:w="9651"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the amount allocated to other taxable years (or portions thereof) of the U.S. Holder and included in its holding period will be taxed at the highest tax rate in effect for that year and applicable to the U.S. Holder; and</w:t>
            </w:r>
          </w:p>
        </w:tc>
      </w:tr>
    </w:tbl>
    <w:tbl>
      <w:tblPr>
        <w:tblW w:w="5000" w:type="pct"/>
        <w:jc w:val="left"/>
        <w:tblInd w:w="0" w:type="dxa"/>
        <w:tblCellMar>
          <w:top w:w="0" w:type="dxa"/>
          <w:left w:w="0" w:type="dxa"/>
          <w:bottom w:w="0" w:type="dxa"/>
          <w:right w:w="0" w:type="dxa"/>
        </w:tblCellMar>
      </w:tblPr>
      <w:tblGrid>
        <w:gridCol w:w="267"/>
        <w:gridCol w:w="285"/>
        <w:gridCol w:w="9653"/>
      </w:tblGrid>
      <w:tr>
        <w:trPr/>
        <w:tc>
          <w:tcPr>
            <w:tcW w:w="267"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jc w:val="left"/>
              <w:rPr>
                <w:color w:val="000000"/>
              </w:rPr>
            </w:pPr>
            <w:r>
              <w:rPr>
                <w:color w:val="000000"/>
              </w:rPr>
              <w:t>•</w:t>
            </w:r>
          </w:p>
        </w:tc>
        <w:tc>
          <w:tcPr>
            <w:tcW w:w="9653"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an additional tax equal to the interest charge generally applicable to underpayments of tax will be imposed on the U.S. Holder with respect to the tax attributable to each such other taxable year of the U.S. Holder.</w:t>
            </w:r>
          </w:p>
        </w:tc>
      </w:tr>
    </w:tbl>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In general, if we are determined to be a PFIC, a U.S. Holder will avoid the PFIC tax consequences described above in respect to our Class A ordinary shares (but not our warrants) by making a timely and valid QEF election (if eligible to do so) to include in income its pro rata share of our net capital gains (as long-term capital gain) and other earnings and profits (as ordinary income), on a current basis, in each case whether or not distributed, in the taxable year of the U.S. Holder in which or with which our taxable year ends. A U.S. Holder generally may make a separate election to defer the payment of taxes on undistributed income inclusions under the QEF rules, but if deferred, any such taxes will be subject to an interest charge.</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A U.S. Holder may not make a QEF election with respect to its warrants to acquire our Class A ordinary shares. As a result, if a U.S. Holder sells or otherwise disposes of such warrants (other than upon exercise of such warrants) and we were a PFIC at any time during the U.S. Holders holding period of such warrants, any gain recognized generally will be treated as an excess distribution, taxed as described above. If a U.S. Holder that exercises such warrants properly makes a QEF election with respect to the newly acquired Class A ordinary shares (or has previously made a QEF election with respect to our Class A ordinary shares), the QEF election will apply to the newly acquired Class A ordinary shares. Notwithstanding the foregoing, the adverse tax consequences relating to PFIC shares, adjusted to take into account the current income inclusions resulting from the QEF election, will continue to apply with respect to such newly acquired Class A ordinary shares (which generally will be deemed to have a holding period for purposes of the PFIC rules that includes the period the U.S. Holder held the warrants), unless the U.S. Holder makes a purging election under the PFIC rules. Under the purging election, the U.S. Holder will be deemed to have sold such shares at their fair market value and any gain recognized on such deemed sale will be treated as an excess distribution, as described above. As a result of the purging election, the U.S. Holder will have a new basis and holding period in the Class A ordinary shares acquired upon the exercise of the warrants for purposes of the PFIC rules.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including the information provided in a PFIC annual information statement, to a timely filed United States federal income tax return for the tax year to which the election relates. Retroactive QEF elections generally may be made only by filing a protective statement with such return and if certain other conditions are met or with the consent of the IRS. U.S. Holders should consult their tax advisors regarding the availability and tax consequences of a retroactive QEF election under their particular circumstances.</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149</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In order to comply with the requirements of a QEF election, a U.S. Holder must receive a PFIC annual information statement from us. If we determine we are a PFIC for any taxable year (of which there can be no assurance), we will endeavor to provide to a U.S. Holder such information as the IRS may require, including a PFIC annual information statement, in order to enable the U.S. Holder to make and maintain a QEF election, but there is no assurance that we will timely provide such required information. There is also no assurance that we will have timely knowledge of our status as a PFIC in the future or of the required information to be provided.</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If a U.S. Holder has made a QEF election with respect to our Class A ordinary shares, and the excess distribution rules discussed above do not apply to such shares (because of a timely QEF election for our first taxable year as a PFIC in which the U.S. Holder holds (or is deemed to hold) such shares or a purge of the PFIC taint pursuant to a purging election, as described above), any gain recognized on the sale of our Class A ordinary shares generally will be taxable as capital gain and no additional tax charge will be imposed under the PFIC rules. As discussed above, if we are a PFIC for any taxable year, a U.S. Holder of our Class A ordinary shares that has made a QEF election will be currently taxed on its pro rata share of our earnings and profits, whether or not distributed for such year. A subsequent distribution of such earnings and profits that were previously included in income generally should not be taxable when distributed to such U.S. Holder. The tax basis of a U.S. Holders shares in a QEF will be increased by amounts that are included in income, and decreased by amounts distributed but not taxed as dividends, under the above rules. In addition, if we are not a PFIC for any taxable year, such U.S. Holder will not be subject to the QEF inclusion regime with respect to our Class A ordinary shares for such a taxable year.</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If we are a PFIC and our Class A ordinary shares constitute marketable stock, a U.S. Holder may avoid the adverse PFIC tax consequences discussed above if such U.S. Holder, at the close of the first taxable year in which it holds (or is deemed to hold) our Class A ordinary shares, makes a mark-to-market election with respect to such shares for such taxable year. Such U.S. Holder generally will include for each of its taxable years as ordinary income the excess, if any, of the fair market value of its Class A ordinary shares at the end of such year over its adjusted basis in its Class A ordinary shares. The U.S. Holder also will recognize an ordinary loss in respect of the excess, if any, of its adjusted basis of its Class A ordinary shares over the fair market value of its Class A ordinary shares at the end of its taxable year (but only to the extent of the net amount of previously included income as a result of the mark-to-market election). The U.S. Holders basis in its Class A ordinary shares will be adjusted to reflect any such income or loss amounts, and any further gain recognized on a sale or other taxable disposition of its Class A ordinary shares will be treated as ordinary income. Currently, a mark-to-market election may not be made with respect to warrants.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mark-to-market election is available only for marketable stock, generally, stock that is regularly traded on a national securities exchange that is registered with the Securities and Exchange Commission, including Nasdaq, or on a foreign exchange or market that the IRS determines has rules sufficient to ensure that the market price represents a legitimate and sound fair market value. U.S. Holders should consult their own tax advisors regarding the availability and tax consequences of a mark-to-market election in respect to our ordinary shares under their particular circumstances.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If we are a PFIC and, at any time, have a foreign subsidiary that is classified as a PFIC, U.S. Holders generally would be deemed to own a portion of the shares of such lower-tier PFIC, and generally could incur liability for the deferred tax and interest charge described above if we receive a distribution from, or dispose of all or part of our interest in, the lower-tier PFIC or the U.S. Holders otherwise were deemed to have disposed of an interest in the lower-tier PFIC. We will endeavor to cause any lower-tier PFIC to provide to a U.S. Holder the information that may be required to make or maintain a QEF election with respect to the lower-tier PFIC. There can be no assurance that we will have timely knowledge of the status of any such lower-tier PFIC. In addition, we may not hold a controlling interest in any such lower-tier PFIC and thus there can be no assurance we will be able to cause the lower-tier PFIC to provide such required information. U.S. Holders are urged to consult their tax advisors regarding the tax issues raised by lower-tier PFICs.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A U.S. Holder that owns (or is deemed to own) shares in a PFIC during any taxable year of the U.S. Holder, may have to file an IRS Form 8621 (whether or not a QEF or mark-to-market election is made) and such other information as may be required by the U.S. Treasury Department. Failure to do so, if required, will extend the statute of limitations until such required information is furnished to the IRS.</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150</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rules dealing with PFICs and with the QEF and mark-to-market elections are very complex and are affected by various factors in addition to those described above. Accordingly, U.S. Holders of our Class A ordinary shares or warrants should consult their own tax advisors concerning the application of the PFIC rules to our securities under their particular circumstances.</w:t>
      </w:r>
    </w:p>
    <w:p>
      <w:pPr>
        <w:pStyle w:val="TextBody"/>
        <w:spacing w:before="240" w:after="0"/>
        <w:ind w:left="0" w:right="0" w:hanging="0"/>
        <w:jc w:val="left"/>
        <w:rPr>
          <w:rFonts w:ascii="Times New Roman;Times;Serif" w:hAnsi="Times New Roman;Times;Serif"/>
          <w:i/>
          <w:color w:val="000000"/>
          <w:sz w:val="17"/>
        </w:rPr>
      </w:pPr>
      <w:r>
        <w:rPr>
          <w:rFonts w:ascii="Times New Roman;Times;Serif" w:hAnsi="Times New Roman;Times;Serif"/>
          <w:i/>
          <w:color w:val="000000"/>
          <w:sz w:val="17"/>
        </w:rPr>
        <w:t>Tax Reporting</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Certain U.S. Holders may be required to file an IRS Form 926 (Return by a U.S. Transferor of Property to a Foreign Corporation) to report a transfer of property (including cash) to us. Substantial penalties may be imposed on a U.S. Holder that fails to comply with this reporting requirement. Furthermore, certain U.S. Holders who are individuals and certain entities will be required to report information with respect to such U.S. Holders investment in specified foreign financial assets on IRS Form 8938 (Statement of Specified Foreign Financial Assets), subject to certain exceptions. Persons who are required to report specified foreign financial assets and fail to do so may be subject to substantial penalties. Potential investors are urged to consult their tax advisers regarding the foreign financial asset and other reporting obligations and their application to an investment in our Class A ordinary shares and warrants.</w:t>
      </w:r>
    </w:p>
    <w:p>
      <w:pPr>
        <w:pStyle w:val="TextBody"/>
        <w:spacing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Non-U.S. Holders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This section applies to you if you are a Non-U.S. Holder. As used herein, the term Non-U.S. Holder means a beneficial owner of our units, Class A ordinary shares or warrants that is for U.S. federal income tax purposes:</w:t>
      </w:r>
    </w:p>
    <w:tbl>
      <w:tblPr>
        <w:tblW w:w="5000" w:type="pct"/>
        <w:jc w:val="left"/>
        <w:tblInd w:w="0" w:type="dxa"/>
        <w:tblCellMar>
          <w:top w:w="0" w:type="dxa"/>
          <w:left w:w="0" w:type="dxa"/>
          <w:bottom w:w="0" w:type="dxa"/>
          <w:right w:w="0" w:type="dxa"/>
        </w:tblCellMar>
      </w:tblPr>
      <w:tblGrid>
        <w:gridCol w:w="410"/>
        <w:gridCol w:w="396"/>
        <w:gridCol w:w="9399"/>
      </w:tblGrid>
      <w:tr>
        <w:trPr/>
        <w:tc>
          <w:tcPr>
            <w:tcW w:w="410"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jc w:val="left"/>
              <w:rPr>
                <w:color w:val="000000"/>
              </w:rPr>
            </w:pPr>
            <w:r>
              <w:rPr>
                <w:color w:val="000000"/>
              </w:rPr>
              <w:t>•</w:t>
            </w:r>
          </w:p>
        </w:tc>
        <w:tc>
          <w:tcPr>
            <w:tcW w:w="9399"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a non-resident alien individual (other than certain former citizens and residents of the United States subject to U.S. tax as expatriates);</w:t>
            </w:r>
          </w:p>
        </w:tc>
      </w:tr>
    </w:tbl>
    <w:tbl>
      <w:tblPr>
        <w:tblW w:w="5000" w:type="pct"/>
        <w:jc w:val="left"/>
        <w:tblInd w:w="0" w:type="dxa"/>
        <w:tblCellMar>
          <w:top w:w="0" w:type="dxa"/>
          <w:left w:w="0" w:type="dxa"/>
          <w:bottom w:w="0" w:type="dxa"/>
          <w:right w:w="0" w:type="dxa"/>
        </w:tblCellMar>
      </w:tblPr>
      <w:tblGrid>
        <w:gridCol w:w="1617"/>
        <w:gridCol w:w="1558"/>
        <w:gridCol w:w="7030"/>
      </w:tblGrid>
      <w:tr>
        <w:trPr/>
        <w:tc>
          <w:tcPr>
            <w:tcW w:w="1617" w:type="dxa"/>
            <w:tcBorders/>
            <w:shd w:fill="auto" w:val="clear"/>
            <w:vAlign w:val="center"/>
          </w:tcPr>
          <w:p>
            <w:pPr>
              <w:pStyle w:val="TableContents"/>
              <w:spacing w:before="0" w:after="283"/>
              <w:rPr>
                <w:sz w:val="4"/>
                <w:szCs w:val="4"/>
              </w:rPr>
            </w:pPr>
            <w:r>
              <w:rPr>
                <w:sz w:val="4"/>
                <w:szCs w:val="4"/>
              </w:rPr>
            </w:r>
          </w:p>
        </w:tc>
        <w:tc>
          <w:tcPr>
            <w:tcW w:w="1558" w:type="dxa"/>
            <w:tcBorders/>
            <w:shd w:fill="auto" w:val="clear"/>
            <w:vAlign w:val="center"/>
          </w:tcPr>
          <w:p>
            <w:pPr>
              <w:pStyle w:val="TableContents"/>
              <w:spacing w:before="0" w:after="283"/>
              <w:jc w:val="left"/>
              <w:rPr>
                <w:color w:val="000000"/>
              </w:rPr>
            </w:pPr>
            <w:r>
              <w:rPr>
                <w:color w:val="000000"/>
              </w:rPr>
              <w:t>•</w:t>
            </w:r>
          </w:p>
        </w:tc>
        <w:tc>
          <w:tcPr>
            <w:tcW w:w="7030"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a foreign corporation; or</w:t>
            </w:r>
          </w:p>
        </w:tc>
      </w:tr>
    </w:tbl>
    <w:tbl>
      <w:tblPr>
        <w:tblW w:w="5000" w:type="pct"/>
        <w:jc w:val="left"/>
        <w:tblInd w:w="0" w:type="dxa"/>
        <w:tblCellMar>
          <w:top w:w="0" w:type="dxa"/>
          <w:left w:w="0" w:type="dxa"/>
          <w:bottom w:w="0" w:type="dxa"/>
          <w:right w:w="0" w:type="dxa"/>
        </w:tblCellMar>
      </w:tblPr>
      <w:tblGrid>
        <w:gridCol w:w="1114"/>
        <w:gridCol w:w="1072"/>
        <w:gridCol w:w="8019"/>
      </w:tblGrid>
      <w:tr>
        <w:trPr/>
        <w:tc>
          <w:tcPr>
            <w:tcW w:w="1114"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jc w:val="left"/>
              <w:rPr>
                <w:color w:val="000000"/>
              </w:rPr>
            </w:pPr>
            <w:r>
              <w:rPr>
                <w:color w:val="000000"/>
              </w:rPr>
              <w:t>•</w:t>
            </w:r>
          </w:p>
        </w:tc>
        <w:tc>
          <w:tcPr>
            <w:tcW w:w="8019"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an estate or trust that is not a U.S. Holder;</w:t>
            </w:r>
          </w:p>
        </w:tc>
      </w:tr>
    </w:tbl>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but generally does not include an individual who is present in the United States for 183 days or more in the taxable year of disposition. If you are such an individual, you should consult your tax advisor regarding the U.S. federal income tax consequences of the sale or other disposition of our securities.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Dividends (including constructive distributions treated as dividends) paid or deemed paid to a Non-U.S. Holder in respect of our Class A ordinary shares generally will not be subject to United States federal income tax, unless the dividends are effectively connected with the Non-U.S. Holders conduct of a trade or business within the United States (and, if required by an applicable income tax treaty, are attributable to a permanent establishment or fixed base that such Non-U.S. Holder maintains in the United States). In addition, a Non-U.S. Holder generally will not be subject to United States federal income tax on any gain attributable to a sale or other disposition of our Class A ordinary shares or warrants unless such gain is effectively connected with its conduct of a trade or business in the United States (and, if required by an applicable income tax treaty, is attributable to a permanent establishment or fixed base that such Non-U.S. Holder maintains in the United States).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Dividends (including constructive distributions treated as dividends) and gains that are effectively connected with the Non-U.S. Holders conduct of a trade or business in the United States (and, if required by an applicable income tax treaty, are attributable to a permanent establishment or fixed base in the United States) generally will be subject to United States federal income tax at the same regular United States federal income tax rates applicable to a comparable U.S. Holder and, in the case of a Non-U.S. Holder that is a corporation for United States federal income tax purposes, also may be subject to an additional branch profits tax at a 30% rate or a lower applicable tax treaty rate.</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United States federal income tax treatment of a Non-U.S. Holders exercise of a warrant, or the lapse of a warrant held by a Non-U.S. Holder, generally will correspond to the United States federal income tax treatment of the exercise or lapse of a warrant by a U.S. Holder, as described under U.S. Holders — Exercise or Lapse of a Warrant, above, although to the extent a cashless exercise results in a taxable exchange, the consequences would be similar to those described in the preceding paragraphs above for a Non-U.S. Holders gain on the sale or other disposition of our Class A ordinary shares and warrants.</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151</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Information Reporting and Backup Withholding</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Dividend payments with respect to our Class A ordinary shares and proceeds from the sale, exchange or redemption of our Class A ordinary shares may be subject to information reporting to the IRS and possible United States backup withholding. Backup withholding will not apply, however, to a U.S. Holder who furnishes a correct taxpayer identification number and makes other required certifications, or who is otherwise exempt from backup withholding and establishes such exempt status. A Non-U.S. Holder generally will eliminate the requirement for information reporting and backup withholding by providing certification of its foreign status, under penalties of perjury, on a duly executed applicable IRS Form W-8 or by otherwise establishing an exemption.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Backup withholding is not an additional tax. Amounts withheld as backup withholding may be credited against a holders U.S. federal income tax liability, and a holder generally may obtain a refund of any excess amounts withheld under the backup withholding rules by timely filing the appropriate claim for refund with the IRS and furnishing any required information. Holders are urged to consult their own tax advisors regarding the application of backup withholding and the availability of and procedure for obtaining an exemption from backup withholding in their particular circumstances.</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152</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before="240" w:after="0"/>
        <w:ind w:left="0" w:right="0" w:hanging="0"/>
        <w:jc w:val="center"/>
        <w:rPr>
          <w:rFonts w:ascii="Times New Roman;Times;Serif" w:hAnsi="Times New Roman;Times;Serif"/>
          <w:b/>
          <w:color w:val="000000"/>
          <w:sz w:val="17"/>
        </w:rPr>
      </w:pPr>
      <w:bookmarkStart w:id="19" w:name="tUNDER"/>
      <w:bookmarkEnd w:id="19"/>
      <w:r>
        <w:rPr>
          <w:rFonts w:ascii="Times New Roman;Times;Serif" w:hAnsi="Times New Roman;Times;Serif"/>
          <w:b/>
          <w:color w:val="000000"/>
          <w:sz w:val="17"/>
        </w:rPr>
        <w:t>UNDERWRITING</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Under the terms and subject to the conditions contained in an underwriting agreement dated the date of this prospectus, we have agreed to sell to the underwriters named below the following respective numbers of units: </w:t>
      </w:r>
    </w:p>
    <w:tbl>
      <w:tblPr>
        <w:tblW w:w="5000" w:type="pct"/>
        <w:jc w:val="center"/>
        <w:tblInd w:w="0" w:type="dxa"/>
        <w:tblCellMar>
          <w:top w:w="0" w:type="dxa"/>
          <w:left w:w="0" w:type="dxa"/>
          <w:bottom w:w="0" w:type="dxa"/>
          <w:right w:w="0" w:type="dxa"/>
        </w:tblCellMar>
      </w:tblPr>
      <w:tblGrid>
        <w:gridCol w:w="8512"/>
        <w:gridCol w:w="200"/>
        <w:gridCol w:w="1301"/>
        <w:gridCol w:w="192"/>
      </w:tblGrid>
      <w:tr>
        <w:trPr/>
        <w:tc>
          <w:tcPr>
            <w:tcW w:w="8512" w:type="dxa"/>
            <w:tcBorders/>
            <w:shd w:fill="auto" w:val="clear"/>
            <w:vAlign w:val="bottom"/>
          </w:tcPr>
          <w:p>
            <w:pPr>
              <w:pStyle w:val="TableContents"/>
              <w:spacing w:before="0" w:after="0"/>
              <w:ind w:left="0" w:right="0" w:firstLine="90"/>
              <w:jc w:val="left"/>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Underwriter</w:t>
            </w:r>
          </w:p>
        </w:tc>
        <w:tc>
          <w:tcPr>
            <w:tcW w:w="1693" w:type="dxa"/>
            <w:gridSpan w:val="3"/>
            <w:tcBorders/>
            <w:shd w:fill="auto" w:val="clear"/>
            <w:vAlign w:val="bottom"/>
          </w:tcPr>
          <w:p>
            <w:pPr>
              <w:pStyle w:val="TableContents"/>
              <w:spacing w:before="0" w:after="0"/>
              <w:ind w:left="0" w:right="0" w:hanging="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Number of Units</w:t>
            </w:r>
          </w:p>
        </w:tc>
      </w:tr>
      <w:tr>
        <w:trPr/>
        <w:tc>
          <w:tcPr>
            <w:tcW w:w="8512" w:type="dxa"/>
            <w:tcBorders/>
            <w:shd w:fill="CCEEFF"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Credit Suisse Securities (USA) LLC</w:t>
            </w:r>
          </w:p>
        </w:tc>
        <w:tc>
          <w:tcPr>
            <w:tcW w:w="200" w:type="dxa"/>
            <w:tcBorders/>
            <w:shd w:fill="CCEEFF" w:val="clear"/>
            <w:vAlign w:val="bottom"/>
          </w:tcPr>
          <w:p>
            <w:pPr>
              <w:pStyle w:val="TableContents"/>
              <w:spacing w:before="0" w:after="0"/>
              <w:ind w:left="0" w:right="0" w:hanging="0"/>
              <w:jc w:val="right"/>
              <w:rPr>
                <w:color w:val="000000"/>
              </w:rPr>
            </w:pPr>
            <w:r>
              <w:rPr>
                <w:color w:val="000000"/>
              </w:rPr>
              <w:t> </w:t>
            </w:r>
          </w:p>
        </w:tc>
        <w:tc>
          <w:tcPr>
            <w:tcW w:w="1301"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24,250,000</w:t>
            </w:r>
          </w:p>
        </w:tc>
        <w:tc>
          <w:tcPr>
            <w:tcW w:w="192" w:type="dxa"/>
            <w:tcBorders/>
            <w:shd w:fill="CCEEFF" w:val="clear"/>
            <w:vAlign w:val="bottom"/>
          </w:tcPr>
          <w:p>
            <w:pPr>
              <w:pStyle w:val="TableContents"/>
              <w:spacing w:before="0" w:after="0"/>
              <w:ind w:left="0" w:right="0" w:hanging="0"/>
              <w:jc w:val="left"/>
              <w:rPr>
                <w:color w:val="000000"/>
              </w:rPr>
            </w:pPr>
            <w:r>
              <w:rPr>
                <w:color w:val="000000"/>
              </w:rPr>
              <w:t> </w:t>
            </w:r>
          </w:p>
        </w:tc>
      </w:tr>
      <w:tr>
        <w:trPr/>
        <w:tc>
          <w:tcPr>
            <w:tcW w:w="8512" w:type="dxa"/>
            <w:tcBorders/>
            <w:shd w:fill="auto"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 xml:space="preserve">I-Bankers Securities, Inc. </w:t>
            </w:r>
          </w:p>
        </w:tc>
        <w:tc>
          <w:tcPr>
            <w:tcW w:w="200" w:type="dxa"/>
            <w:tcBorders/>
            <w:shd w:fill="auto" w:val="clear"/>
            <w:vAlign w:val="bottom"/>
          </w:tcPr>
          <w:p>
            <w:pPr>
              <w:pStyle w:val="TableContents"/>
              <w:spacing w:before="0" w:after="0"/>
              <w:ind w:left="0" w:right="0" w:hanging="0"/>
              <w:jc w:val="right"/>
              <w:rPr>
                <w:color w:val="000000"/>
                <w:bdr w:val="single" w:sz="8" w:space="1" w:color="000000"/>
              </w:rPr>
            </w:pPr>
            <w:r>
              <w:rPr>
                <w:color w:val="000000"/>
                <w:bdr w:val="single" w:sz="8" w:space="1" w:color="000000"/>
              </w:rPr>
              <w:t> </w:t>
            </w:r>
          </w:p>
        </w:tc>
        <w:tc>
          <w:tcPr>
            <w:tcW w:w="1301"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750,000</w:t>
            </w:r>
          </w:p>
        </w:tc>
        <w:tc>
          <w:tcPr>
            <w:tcW w:w="192" w:type="dxa"/>
            <w:tcBorders/>
            <w:shd w:fill="auto" w:val="clear"/>
            <w:vAlign w:val="bottom"/>
          </w:tcPr>
          <w:p>
            <w:pPr>
              <w:pStyle w:val="TableContents"/>
              <w:spacing w:before="0" w:after="0"/>
              <w:ind w:left="0" w:right="0" w:hanging="0"/>
              <w:jc w:val="left"/>
              <w:rPr>
                <w:color w:val="000000"/>
              </w:rPr>
            </w:pPr>
            <w:r>
              <w:rPr>
                <w:color w:val="000000"/>
              </w:rPr>
              <w:t> </w:t>
            </w:r>
          </w:p>
        </w:tc>
      </w:tr>
      <w:tr>
        <w:trPr/>
        <w:tc>
          <w:tcPr>
            <w:tcW w:w="8512" w:type="dxa"/>
            <w:tcBorders/>
            <w:shd w:fill="CCEEFF"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Total</w:t>
            </w:r>
          </w:p>
        </w:tc>
        <w:tc>
          <w:tcPr>
            <w:tcW w:w="200" w:type="dxa"/>
            <w:tcBorders/>
            <w:shd w:fill="CCEEFF" w:val="clear"/>
            <w:vAlign w:val="bottom"/>
          </w:tcPr>
          <w:p>
            <w:pPr>
              <w:pStyle w:val="TableContents"/>
              <w:spacing w:before="0" w:after="0"/>
              <w:ind w:left="0" w:right="0" w:hanging="0"/>
              <w:jc w:val="right"/>
              <w:rPr>
                <w:color w:val="000000"/>
                <w:bdr w:val="double" w:sz="8" w:space="1" w:color="000000"/>
              </w:rPr>
            </w:pPr>
            <w:r>
              <w:rPr>
                <w:color w:val="000000"/>
                <w:bdr w:val="double" w:sz="8" w:space="1" w:color="000000"/>
              </w:rPr>
              <w:t> </w:t>
            </w:r>
          </w:p>
        </w:tc>
        <w:tc>
          <w:tcPr>
            <w:tcW w:w="1301"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25,000,000</w:t>
            </w:r>
          </w:p>
        </w:tc>
        <w:tc>
          <w:tcPr>
            <w:tcW w:w="192" w:type="dxa"/>
            <w:tcBorders/>
            <w:shd w:fill="CCEEFF" w:val="clear"/>
            <w:vAlign w:val="bottom"/>
          </w:tcPr>
          <w:p>
            <w:pPr>
              <w:pStyle w:val="TableContents"/>
              <w:spacing w:before="0" w:after="0"/>
              <w:jc w:val="left"/>
              <w:rPr>
                <w:color w:val="000000"/>
              </w:rPr>
            </w:pPr>
            <w:r>
              <w:rPr>
                <w:color w:val="000000"/>
              </w:rPr>
              <w:t> </w:t>
            </w:r>
          </w:p>
        </w:tc>
      </w:tr>
    </w:tbl>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The underwriting agreement provides that the underwriters are obligated to purchase all the units in this offering if any are purchased, other than those units covered by the over-allotment option described below. </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We have granted to the underwriters a 45-day option to purchase on a pro rata basis up to 3,750,000 additional units at the initial public offering price, less the underwriting discounts and commissions. The option may be exercised only to cover any over-allotments of units. </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The underwriters propose to offer the units initially at the public offering price on the cover page of this prospectus and to selling group members at that price less a selling concession of $0.12 per unit. </w:t>
      </w:r>
    </w:p>
    <w:p>
      <w:pPr>
        <w:pStyle w:val="TextBody"/>
        <w:spacing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following table summarizes the compensation and estimated expenses we will pay:</w:t>
      </w:r>
    </w:p>
    <w:tbl>
      <w:tblPr>
        <w:tblW w:w="5000" w:type="pct"/>
        <w:jc w:val="center"/>
        <w:tblInd w:w="0" w:type="dxa"/>
        <w:tblCellMar>
          <w:top w:w="0" w:type="dxa"/>
          <w:left w:w="0" w:type="dxa"/>
          <w:bottom w:w="0" w:type="dxa"/>
          <w:right w:w="0" w:type="dxa"/>
        </w:tblCellMar>
      </w:tblPr>
      <w:tblGrid>
        <w:gridCol w:w="3606"/>
        <w:gridCol w:w="298"/>
        <w:gridCol w:w="956"/>
        <w:gridCol w:w="267"/>
        <w:gridCol w:w="303"/>
        <w:gridCol w:w="968"/>
        <w:gridCol w:w="274"/>
        <w:gridCol w:w="267"/>
        <w:gridCol w:w="1285"/>
        <w:gridCol w:w="231"/>
        <w:gridCol w:w="267"/>
        <w:gridCol w:w="1285"/>
        <w:gridCol w:w="198"/>
      </w:tblGrid>
      <w:tr>
        <w:trPr/>
        <w:tc>
          <w:tcPr>
            <w:tcW w:w="3606" w:type="dxa"/>
            <w:tcBorders/>
            <w:shd w:fill="auto" w:val="clear"/>
            <w:vAlign w:val="bottom"/>
          </w:tcPr>
          <w:p>
            <w:pPr>
              <w:pStyle w:val="TableContents"/>
              <w:spacing w:before="0" w:after="0"/>
              <w:ind w:left="0" w:right="0" w:firstLine="90"/>
              <w:jc w:val="left"/>
              <w:rPr>
                <w:color w:val="000000"/>
              </w:rPr>
            </w:pPr>
            <w:r>
              <w:rPr>
                <w:color w:val="000000"/>
              </w:rPr>
              <w:t> </w:t>
            </w:r>
          </w:p>
        </w:tc>
        <w:tc>
          <w:tcPr>
            <w:tcW w:w="3066" w:type="dxa"/>
            <w:gridSpan w:val="6"/>
            <w:tcBorders/>
            <w:shd w:fill="auto" w:val="clear"/>
            <w:vAlign w:val="bottom"/>
          </w:tcPr>
          <w:p>
            <w:pPr>
              <w:pStyle w:val="TableContents"/>
              <w:spacing w:lineRule="auto" w:line="240" w:before="0" w:after="0"/>
              <w:ind w:left="0" w:right="0" w:firstLine="9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Per Unit(1)</w:t>
            </w:r>
          </w:p>
        </w:tc>
        <w:tc>
          <w:tcPr>
            <w:tcW w:w="3533" w:type="dxa"/>
            <w:gridSpan w:val="6"/>
            <w:tcBorders/>
            <w:shd w:fill="auto" w:val="clear"/>
            <w:vAlign w:val="bottom"/>
          </w:tcPr>
          <w:p>
            <w:pPr>
              <w:pStyle w:val="TableContents"/>
              <w:spacing w:lineRule="auto" w:line="240" w:before="0" w:after="0"/>
              <w:ind w:left="0" w:right="0" w:hanging="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Total(2)</w:t>
            </w:r>
          </w:p>
        </w:tc>
      </w:tr>
      <w:tr>
        <w:trPr/>
        <w:tc>
          <w:tcPr>
            <w:tcW w:w="3606" w:type="dxa"/>
            <w:tcBorders/>
            <w:shd w:fill="auto" w:val="clear"/>
            <w:vAlign w:val="bottom"/>
          </w:tcPr>
          <w:p>
            <w:pPr>
              <w:pStyle w:val="TableContents"/>
              <w:spacing w:before="0" w:after="0"/>
              <w:ind w:left="0" w:right="0" w:firstLine="90"/>
              <w:jc w:val="left"/>
              <w:rPr>
                <w:color w:val="000000"/>
              </w:rPr>
            </w:pPr>
            <w:r>
              <w:rPr>
                <w:color w:val="000000"/>
              </w:rPr>
              <w:t> </w:t>
            </w:r>
          </w:p>
        </w:tc>
        <w:tc>
          <w:tcPr>
            <w:tcW w:w="1521" w:type="dxa"/>
            <w:gridSpan w:val="3"/>
            <w:tcBorders/>
            <w:shd w:fill="auto" w:val="clear"/>
            <w:vAlign w:val="bottom"/>
          </w:tcPr>
          <w:p>
            <w:pPr>
              <w:pStyle w:val="TableContents"/>
              <w:spacing w:before="0" w:after="0"/>
              <w:ind w:left="0" w:right="0" w:firstLine="9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Without</w:t>
              <w:br/>
              <w:t>Over-allotment</w:t>
            </w:r>
          </w:p>
        </w:tc>
        <w:tc>
          <w:tcPr>
            <w:tcW w:w="1545" w:type="dxa"/>
            <w:gridSpan w:val="3"/>
            <w:tcBorders/>
            <w:shd w:fill="auto" w:val="clear"/>
            <w:vAlign w:val="bottom"/>
          </w:tcPr>
          <w:p>
            <w:pPr>
              <w:pStyle w:val="TableContents"/>
              <w:spacing w:before="0" w:after="0"/>
              <w:ind w:left="0" w:right="0" w:firstLine="9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With</w:t>
              <w:br/>
              <w:t>Over-Allotment</w:t>
            </w:r>
          </w:p>
        </w:tc>
        <w:tc>
          <w:tcPr>
            <w:tcW w:w="1783" w:type="dxa"/>
            <w:gridSpan w:val="3"/>
            <w:tcBorders/>
            <w:shd w:fill="auto" w:val="clear"/>
            <w:vAlign w:val="bottom"/>
          </w:tcPr>
          <w:p>
            <w:pPr>
              <w:pStyle w:val="TableContents"/>
              <w:spacing w:before="0" w:after="0"/>
              <w:ind w:left="0" w:right="0" w:firstLine="9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Without</w:t>
              <w:br/>
              <w:t>Over-allotment</w:t>
            </w:r>
          </w:p>
        </w:tc>
        <w:tc>
          <w:tcPr>
            <w:tcW w:w="1750" w:type="dxa"/>
            <w:gridSpan w:val="3"/>
            <w:tcBorders/>
            <w:shd w:fill="auto" w:val="clear"/>
            <w:vAlign w:val="bottom"/>
          </w:tcPr>
          <w:p>
            <w:pPr>
              <w:pStyle w:val="TableContents"/>
              <w:spacing w:before="0" w:after="0"/>
              <w:ind w:left="0" w:right="0" w:hanging="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With</w:t>
              <w:br/>
              <w:t>Over-Allotment</w:t>
            </w:r>
          </w:p>
        </w:tc>
      </w:tr>
      <w:tr>
        <w:trPr/>
        <w:tc>
          <w:tcPr>
            <w:tcW w:w="3606" w:type="dxa"/>
            <w:tcBorders/>
            <w:shd w:fill="CCEEFF"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Underwriting Discounts and Commissions paid by us</w:t>
            </w:r>
          </w:p>
        </w:tc>
        <w:tc>
          <w:tcPr>
            <w:tcW w:w="298"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w:t>
            </w:r>
          </w:p>
        </w:tc>
        <w:tc>
          <w:tcPr>
            <w:tcW w:w="956"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0.55</w:t>
            </w:r>
          </w:p>
        </w:tc>
        <w:tc>
          <w:tcPr>
            <w:tcW w:w="267" w:type="dxa"/>
            <w:tcBorders/>
            <w:shd w:fill="CCEEFF" w:val="clear"/>
            <w:vAlign w:val="bottom"/>
          </w:tcPr>
          <w:p>
            <w:pPr>
              <w:pStyle w:val="TableContents"/>
              <w:spacing w:before="0" w:after="0"/>
              <w:ind w:left="0" w:right="0" w:firstLine="75"/>
              <w:jc w:val="left"/>
              <w:rPr>
                <w:color w:val="000000"/>
              </w:rPr>
            </w:pPr>
            <w:r>
              <w:rPr>
                <w:color w:val="000000"/>
              </w:rPr>
              <w:t> </w:t>
            </w:r>
          </w:p>
        </w:tc>
        <w:tc>
          <w:tcPr>
            <w:tcW w:w="303"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w:t>
            </w:r>
          </w:p>
        </w:tc>
        <w:tc>
          <w:tcPr>
            <w:tcW w:w="968"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0.55</w:t>
            </w:r>
          </w:p>
        </w:tc>
        <w:tc>
          <w:tcPr>
            <w:tcW w:w="274" w:type="dxa"/>
            <w:tcBorders/>
            <w:shd w:fill="CCEEFF" w:val="clear"/>
            <w:vAlign w:val="bottom"/>
          </w:tcPr>
          <w:p>
            <w:pPr>
              <w:pStyle w:val="TableContents"/>
              <w:spacing w:before="0" w:after="0"/>
              <w:ind w:left="0" w:right="0" w:firstLine="75"/>
              <w:jc w:val="left"/>
              <w:rPr>
                <w:color w:val="000000"/>
              </w:rPr>
            </w:pPr>
            <w:r>
              <w:rPr>
                <w:color w:val="000000"/>
              </w:rPr>
              <w:t> </w:t>
            </w:r>
          </w:p>
        </w:tc>
        <w:tc>
          <w:tcPr>
            <w:tcW w:w="267"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w:t>
            </w:r>
          </w:p>
        </w:tc>
        <w:tc>
          <w:tcPr>
            <w:tcW w:w="1285"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13,750,000</w:t>
            </w:r>
          </w:p>
        </w:tc>
        <w:tc>
          <w:tcPr>
            <w:tcW w:w="231" w:type="dxa"/>
            <w:tcBorders/>
            <w:shd w:fill="CCEEFF" w:val="clear"/>
            <w:vAlign w:val="bottom"/>
          </w:tcPr>
          <w:p>
            <w:pPr>
              <w:pStyle w:val="TableContents"/>
              <w:spacing w:before="0" w:after="0"/>
              <w:ind w:left="0" w:right="0" w:firstLine="75"/>
              <w:jc w:val="left"/>
              <w:rPr>
                <w:color w:val="000000"/>
              </w:rPr>
            </w:pPr>
            <w:r>
              <w:rPr>
                <w:color w:val="000000"/>
              </w:rPr>
              <w:t> </w:t>
            </w:r>
          </w:p>
        </w:tc>
        <w:tc>
          <w:tcPr>
            <w:tcW w:w="267"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w:t>
            </w:r>
          </w:p>
        </w:tc>
        <w:tc>
          <w:tcPr>
            <w:tcW w:w="1285"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15,812,500</w:t>
            </w:r>
          </w:p>
        </w:tc>
        <w:tc>
          <w:tcPr>
            <w:tcW w:w="198" w:type="dxa"/>
            <w:tcBorders/>
            <w:shd w:fill="CCEEFF" w:val="clear"/>
            <w:vAlign w:val="bottom"/>
          </w:tcPr>
          <w:p>
            <w:pPr>
              <w:pStyle w:val="TableContents"/>
              <w:spacing w:before="0" w:after="0"/>
              <w:jc w:val="left"/>
              <w:rPr>
                <w:color w:val="000000"/>
              </w:rPr>
            </w:pPr>
            <w:r>
              <w:rPr>
                <w:color w:val="000000"/>
              </w:rPr>
              <w:t> </w:t>
            </w:r>
          </w:p>
        </w:tc>
      </w:tr>
    </w:tbl>
    <w:tbl>
      <w:tblPr>
        <w:tblW w:w="5000" w:type="pct"/>
        <w:jc w:val="left"/>
        <w:tblInd w:w="0" w:type="dxa"/>
        <w:tblCellMar>
          <w:top w:w="0" w:type="dxa"/>
          <w:left w:w="0" w:type="dxa"/>
          <w:bottom w:w="0" w:type="dxa"/>
          <w:right w:w="0" w:type="dxa"/>
        </w:tblCellMar>
      </w:tblPr>
      <w:tblGrid>
        <w:gridCol w:w="37"/>
        <w:gridCol w:w="220"/>
        <w:gridCol w:w="9948"/>
      </w:tblGrid>
      <w:tr>
        <w:trPr/>
        <w:tc>
          <w:tcPr>
            <w:tcW w:w="37"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jc w:val="left"/>
              <w:rPr>
                <w:rFonts w:ascii="Times New Roman;Times;Serif" w:hAnsi="Times New Roman;Times;Serif"/>
                <w:color w:val="000000"/>
                <w:sz w:val="12"/>
              </w:rPr>
            </w:pPr>
            <w:r>
              <w:rPr>
                <w:rFonts w:ascii="Times New Roman;Times;Serif" w:hAnsi="Times New Roman;Times;Serif"/>
                <w:color w:val="000000"/>
                <w:sz w:val="12"/>
              </w:rPr>
              <w:t>(1)</w:t>
            </w:r>
          </w:p>
        </w:tc>
        <w:tc>
          <w:tcPr>
            <w:tcW w:w="9948" w:type="dxa"/>
            <w:tcBorders/>
            <w:shd w:fill="auto" w:val="clear"/>
            <w:vAlign w:val="center"/>
          </w:tcPr>
          <w:p>
            <w:pPr>
              <w:pStyle w:val="TableContents"/>
              <w:spacing w:before="0" w:after="283"/>
              <w:jc w:val="left"/>
              <w:rPr>
                <w:rFonts w:ascii="Times New Roman;Times;Serif" w:hAnsi="Times New Roman;Times;Serif"/>
                <w:color w:val="000000"/>
                <w:sz w:val="12"/>
              </w:rPr>
            </w:pPr>
            <w:r>
              <w:rPr>
                <w:rFonts w:ascii="Times New Roman;Times;Serif" w:hAnsi="Times New Roman;Times;Serif"/>
                <w:color w:val="000000"/>
                <w:sz w:val="12"/>
              </w:rPr>
              <w:t xml:space="preserve">Includes $0.35 per unit, or $8,750,000 (or $10,062,500 if the over-allotment option is exercised in full) in the aggregate, payable to the underwriters for deferred underwriting commissions to be placed in a trust account located in the United States as described herein. The deferred commissions will be released to the underwriters only on completion of an initial business combination, in an amount equal to $0.35 multiplied by the number of Class A ordinary shares sold as part of the units in this offering, as described in this prospectus. </w:t>
            </w:r>
          </w:p>
        </w:tc>
      </w:tr>
    </w:tbl>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We estimate that our non-reimbursed out-of-pocket expenses for this offering will be approximately $1,000,000. We have agreed to pay for the FINRA-related fees and expenses of the underwriters legal counsel, not to exceed $25,000. </w:t>
      </w:r>
    </w:p>
    <w:p>
      <w:pPr>
        <w:pStyle w:val="TextBody"/>
        <w:spacing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The representative has informed us that the underwriters do not intend to make sales to discretionary accounts. </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We, our sponsor and our officers and directors have agreed that we will not offer, sell, contract to sell, pledge or otherwise dispose of, directly or indirectly, without the prior written consent of Credit Suisse Securities (USA) LLC for a period of 180 days after the date of this prospectus, any units, warrants, ordinary shares or any other securities convertible into, or exercisable, or exchangeable for, ordinary shares; provided, however, that we may (1) issue and sell the private placement warrants; (2) issue and sell the additional units to cover our underwriters over-allotment option (if any); (3) register with the SEC pursuant to an agreement to be entered into concurrently with the issuance and sale of the securities in this offering, the resale of the private placement warrants and the ordinary shares issuable upon exercise of the warrants and the founder shares; and (4) issue securities in connection with our initial business combination. However, the foregoing shall not apply to the forfeiture of any founder shares pursuant to their terms or any transfer of founder shares to any current or future independent director of the Company (as long as such current or future independent director is subject to the terms of the letter agreement, filed herewith, at the time of such transfer; and as long as, to the extent any Section 16 reporting obligation is triggered as a result of such transfer, any related Section 16 filing includes a practical explanation as to the nature of the transfer). Credit Suisse Securities (USA) LLC in its sole discretion may release any of the securities subject to these lock-up agreements at any time without notice. </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Our initial shareholders have agreed not to transfer, assign or sell any of their founder shares and any Class A ordinary shares issued upon conversion thereof until the earlier to occur of (A) one year after the completion of our initial business combination or (B) subsequent to our initial business combination, (x) if the last reported sale price of Class A ordinary shares equals or exceeds $12.00 per share (as adjusted for share splits, share dividends, rights issuances, subdivisions, reorganizations, recapitalizations and the like) for any 20 trading days within any 30-trading day period commencing at least 150 days after our initial business combination, or (y) the date </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153</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following the completion of our initial business combination on which we complete a liquidation, merger, amalgamation, share exchange, reorganization or other similar transaction that results in all of our public shareholders having the right to exchange their Class A ordinary shares for cash, securities or other property (except with respect to permitted transferees as described herein under Principal Shareholders—Transfers of Founder Shares and Private Placement Warrants). Any permitted transferees would be subject to the same restrictions and other agreements of our initial shareholders with respect to any founder shares.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private placement warrants (including the Class A ordinary shares issuable upon exercise of the private placement warrants) will not be transferable, assignable or salable until 30 days after the completion of our initial business combination (except with respect to permitted transferees as described herein under Principal Shareholders—Transfers of Founder Shares and Private Placement Warrants).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We have agreed to indemnify the underwriters against certain liabilities under the Securities Act, or contribute to payments that the underwriters may be required to make in that respect. </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expect our units to be listed on Nasdaq, under the symbol SSPKU and, once the Class A ordinary shares and warrants begin separate trading, to have our Class A ordinary shares and warrants listed on Nasdaq under the symbols SSPK and SSPKW, respectively.</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Prior to this offering, there has been no public market for our securities. Consequently, the initial public offering price for the units was determined by negotiations between us and the representative. </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determination of our per unit offering price was more arbitrary than would typically be the case if we were an operating company. Among the factors considered in determining the initial public offering price were the history and prospects of companies whose principal business is the acquisition of other companies, prior offerings of those companies, our management, our capital structure, and currently prevailing general conditions in equity securities markets, including current market valuations of publicly traded companies considered comparable to our company. We cannot assure you, however, that the price at which the units, Class A ordinary shares or warrants will sell in the public market after this offering will not be lower than the initial public offering price or that an active trading market in our units, Class A ordinary shares or warrants will develop and continue after this offering.</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If we do not complete our initial business combination within the period provided in our amended and restated memorandum and articles of association, the underwriters have agreed that: (1) they will forfeit any rights or claims to their deferred underwriting discounts and commissions, including any accrued interest thereon, then in the trust account; and (2) the deferred underwriters discounts and commissions will be distributed on a pro rata basis, together with any accrued interest thereon (which interest shall be net of taxes payable) to the public shareholders. </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In connection with this offering, the underwriters may engage in stabilizing transactions, over-allotment transactions, syndicate covering transactions and penalty bids in accordance with Regulation M under the Exchange Act. </w:t>
      </w:r>
    </w:p>
    <w:tbl>
      <w:tblPr>
        <w:tblW w:w="5000" w:type="pct"/>
        <w:jc w:val="left"/>
        <w:tblInd w:w="0" w:type="dxa"/>
        <w:tblCellMar>
          <w:top w:w="0" w:type="dxa"/>
          <w:left w:w="0" w:type="dxa"/>
          <w:bottom w:w="0" w:type="dxa"/>
          <w:right w:w="0" w:type="dxa"/>
        </w:tblCellMar>
      </w:tblPr>
      <w:tblGrid>
        <w:gridCol w:w="396"/>
        <w:gridCol w:w="384"/>
        <w:gridCol w:w="9425"/>
      </w:tblGrid>
      <w:tr>
        <w:trPr/>
        <w:tc>
          <w:tcPr>
            <w:tcW w:w="396"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jc w:val="left"/>
              <w:rPr>
                <w:color w:val="000000"/>
              </w:rPr>
            </w:pPr>
            <w:r>
              <w:rPr>
                <w:color w:val="000000"/>
              </w:rPr>
              <w:t>•</w:t>
            </w:r>
          </w:p>
        </w:tc>
        <w:tc>
          <w:tcPr>
            <w:tcW w:w="9425"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Stabilizing transactions permit bids to purchase the underlying security so long as the stabilizing bids do not exceed a specified maximum.</w:t>
            </w:r>
          </w:p>
        </w:tc>
      </w:tr>
    </w:tbl>
    <w:tbl>
      <w:tblPr>
        <w:tblW w:w="5000" w:type="pct"/>
        <w:jc w:val="left"/>
        <w:tblInd w:w="0" w:type="dxa"/>
        <w:tblCellMar>
          <w:top w:w="0" w:type="dxa"/>
          <w:left w:w="0" w:type="dxa"/>
          <w:bottom w:w="0" w:type="dxa"/>
          <w:right w:w="0" w:type="dxa"/>
        </w:tblCellMar>
      </w:tblPr>
      <w:tblGrid>
        <w:gridCol w:w="104"/>
        <w:gridCol w:w="161"/>
        <w:gridCol w:w="9940"/>
      </w:tblGrid>
      <w:tr>
        <w:trPr/>
        <w:tc>
          <w:tcPr>
            <w:tcW w:w="104"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jc w:val="left"/>
              <w:rPr>
                <w:color w:val="000000"/>
              </w:rPr>
            </w:pPr>
            <w:r>
              <w:rPr>
                <w:color w:val="000000"/>
              </w:rPr>
              <w:t>•</w:t>
            </w:r>
          </w:p>
        </w:tc>
        <w:tc>
          <w:tcPr>
            <w:tcW w:w="9940"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Over-allotment involves sales by the underwriters of units in excess of the number of units the underwriters are obligated to purchase, which creates a syndicate short position. The short position may be either a covered short position or a naked short position. In a covered short position, the number of units over-allotted by the underwriters is not greater than the number of units that they may purchase in the over-allotment option. In a naked short position, the number of units involved is greater than the number of units in the over-allotment option. The underwriters may close out any covered short position by either exercising their over-allotment option and/or purchasing units in the open market.</w:t>
            </w:r>
          </w:p>
        </w:tc>
      </w:tr>
    </w:tbl>
    <w:tbl>
      <w:tblPr>
        <w:tblW w:w="5000" w:type="pct"/>
        <w:jc w:val="left"/>
        <w:tblInd w:w="0" w:type="dxa"/>
        <w:tblCellMar>
          <w:top w:w="0" w:type="dxa"/>
          <w:left w:w="0" w:type="dxa"/>
          <w:bottom w:w="0" w:type="dxa"/>
          <w:right w:w="0" w:type="dxa"/>
        </w:tblCellMar>
      </w:tblPr>
      <w:tblGrid>
        <w:gridCol w:w="116"/>
        <w:gridCol w:w="170"/>
        <w:gridCol w:w="9919"/>
      </w:tblGrid>
      <w:tr>
        <w:trPr/>
        <w:tc>
          <w:tcPr>
            <w:tcW w:w="116"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color w:val="000000"/>
              </w:rPr>
            </w:pPr>
            <w:r>
              <w:rPr>
                <w:color w:val="000000"/>
              </w:rPr>
              <w:t>•</w:t>
            </w:r>
          </w:p>
        </w:tc>
        <w:tc>
          <w:tcPr>
            <w:tcW w:w="9919"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 xml:space="preserve">Syndicate covering transactions involve purchases of the units in the open market after the distribution has been completed in order to cover syndicate short positions. In determining the source of units to close out the short position, the underwriters will consider, among other things, the price of units available for purchase in the open market as compared to the price at which they may purchase units through the over-allotment option. If the underwriters sell more units than could be covered by the over-allotment option, a naked short position, the position can only be closed out by buying units in the </w:t>
            </w:r>
          </w:p>
        </w:tc>
      </w:tr>
    </w:tbl>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154</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open market. A naked short position is more likely to be created if the underwriters are concerned that there could be downward pressure on the price of the units in the open market after pricing that could adversely affect investors who purchase in this offering.</w:t>
      </w:r>
    </w:p>
    <w:tbl>
      <w:tblPr>
        <w:tblW w:w="5000" w:type="pct"/>
        <w:jc w:val="left"/>
        <w:tblInd w:w="0" w:type="dxa"/>
        <w:tblCellMar>
          <w:top w:w="0" w:type="dxa"/>
          <w:left w:w="0" w:type="dxa"/>
          <w:bottom w:w="0" w:type="dxa"/>
          <w:right w:w="0" w:type="dxa"/>
        </w:tblCellMar>
      </w:tblPr>
      <w:tblGrid>
        <w:gridCol w:w="233"/>
        <w:gridCol w:w="259"/>
        <w:gridCol w:w="9713"/>
      </w:tblGrid>
      <w:tr>
        <w:trPr/>
        <w:tc>
          <w:tcPr>
            <w:tcW w:w="233"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jc w:val="left"/>
              <w:rPr>
                <w:color w:val="000000"/>
              </w:rPr>
            </w:pPr>
            <w:r>
              <w:rPr>
                <w:color w:val="000000"/>
              </w:rPr>
              <w:t>•</w:t>
            </w:r>
          </w:p>
        </w:tc>
        <w:tc>
          <w:tcPr>
            <w:tcW w:w="9713"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Penalty bids permit the representative to reclaim a selling concession from a syndicate member when the units originally sold by the syndicate member are purchased in a stabilizing or syndicate covering transaction to cover syndicate short positions.</w:t>
            </w:r>
          </w:p>
        </w:tc>
      </w:tr>
    </w:tbl>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These stabilizing transactions, syndicate covering transactions and penalty bids may have the effect of raising or maintaining the market price of our units or preventing or retarding a decline in the market price of the units. As a result, the price of our units may be higher than the price that might otherwise exist in the open market. These transactions may be effected on Nasdaq or otherwise and, if commenced, may be discontinued at any time.</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We are not under any contractual obligation to engage any of the underwriters to provide any services for us after this offering and have no present intent to do so. However, any of the underwriters may introduce us to potential target businesses or assist us in raising additional capital in the future. If any of the underwriters provide services to us after this offering, we may pay such underwriter fair and reasonable fees that would be determined at that time in an arms length negotiation; provided that no agreement will be entered into with any of the underwriters and no fees for such services will be paid to any of the underwriters prior to the date that is 90 days from the date of this prospectus, unless FINRA determines that such payment would not be deemed underwriters compensation in connection with this offering, and we may pay the underwriters of this offering or any entity with which they are affiliated, a finders fee or other compensation for services rendered to us in connection with the completion of a business combination. </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 </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A prospectus in electronic format may be made available on the websites maintained by one or more of the underwriters, or selling group members, if any, participating in this offering and one or more of the underwriters participating in this offering may distribute prospectuses electronically. The representative may agree to allocate a number of units to underwriters and selling group members for sale to their online brokerage account holders. Internet distributions will be allocated by the underwriters and selling group members that will make internet distributions on the same basis as other allocations. </w:t>
      </w:r>
    </w:p>
    <w:p>
      <w:pPr>
        <w:pStyle w:val="TextBody"/>
        <w:spacing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The units are offered for sale in the United States and other jurisdictions where it is lawful to make such offers. </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Each of the underwriters has represented and agreed that it has not offered, sold or delivered and will not offer, sell or deliver any of the units directly or indirectly, or distribute this prospectus or any other offering material relating to the units, in or from any jurisdiction except under circumstances that will result in compliance with the applicable laws and regulations thereof and that will not impose any obligations on us except as set forth in the underwriting agreement. </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European Economic Area</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In relation to each Member State of the European Economic Area which has implemented the Prospectus Directive (each, a Relevant Member State) an offer to the public of our common shares may not be made in that Relevant Member State, except that an offer to the public in that Relevant Member State of our common shares may be made at any time under the following exemptions under the Prospectus Directive:</w:t>
      </w:r>
    </w:p>
    <w:tbl>
      <w:tblPr>
        <w:tblW w:w="5000" w:type="pct"/>
        <w:jc w:val="left"/>
        <w:tblInd w:w="0" w:type="dxa"/>
        <w:tblCellMar>
          <w:top w:w="0" w:type="dxa"/>
          <w:left w:w="0" w:type="dxa"/>
          <w:bottom w:w="0" w:type="dxa"/>
          <w:right w:w="0" w:type="dxa"/>
        </w:tblCellMar>
      </w:tblPr>
      <w:tblGrid>
        <w:gridCol w:w="611"/>
        <w:gridCol w:w="589"/>
        <w:gridCol w:w="9005"/>
      </w:tblGrid>
      <w:tr>
        <w:trPr/>
        <w:tc>
          <w:tcPr>
            <w:tcW w:w="611"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(a)</w:t>
            </w:r>
          </w:p>
        </w:tc>
        <w:tc>
          <w:tcPr>
            <w:tcW w:w="9005"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to any legal entity which is a qualified investor as defined in the Prospectus Directive;</w:t>
            </w:r>
          </w:p>
        </w:tc>
      </w:tr>
    </w:tbl>
    <w:tbl>
      <w:tblPr>
        <w:tblW w:w="5000" w:type="pct"/>
        <w:jc w:val="left"/>
        <w:tblInd w:w="0" w:type="dxa"/>
        <w:tblCellMar>
          <w:top w:w="0" w:type="dxa"/>
          <w:left w:w="0" w:type="dxa"/>
          <w:bottom w:w="0" w:type="dxa"/>
          <w:right w:w="0" w:type="dxa"/>
        </w:tblCellMar>
      </w:tblPr>
      <w:tblGrid>
        <w:gridCol w:w="289"/>
        <w:gridCol w:w="321"/>
        <w:gridCol w:w="9595"/>
      </w:tblGrid>
      <w:tr>
        <w:trPr/>
        <w:tc>
          <w:tcPr>
            <w:tcW w:w="289"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(b)</w:t>
            </w:r>
          </w:p>
        </w:tc>
        <w:tc>
          <w:tcPr>
            <w:tcW w:w="9595"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to fewer than 150 natural or legal persons (other than qualified investors as defined in the Prospectus Directive), subject to obtaining the prior consent of the Representative for any such offer; or</w:t>
            </w:r>
          </w:p>
        </w:tc>
      </w:tr>
    </w:tbl>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155</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tbl>
      <w:tblPr>
        <w:tblW w:w="5000" w:type="pct"/>
        <w:jc w:val="left"/>
        <w:tblInd w:w="0" w:type="dxa"/>
        <w:tblCellMar>
          <w:top w:w="0" w:type="dxa"/>
          <w:left w:w="0" w:type="dxa"/>
          <w:bottom w:w="0" w:type="dxa"/>
          <w:right w:w="0" w:type="dxa"/>
        </w:tblCellMar>
      </w:tblPr>
      <w:tblGrid>
        <w:gridCol w:w="210"/>
        <w:gridCol w:w="266"/>
        <w:gridCol w:w="9729"/>
      </w:tblGrid>
      <w:tr>
        <w:trPr/>
        <w:tc>
          <w:tcPr>
            <w:tcW w:w="210"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(c)</w:t>
            </w:r>
          </w:p>
        </w:tc>
        <w:tc>
          <w:tcPr>
            <w:tcW w:w="9729"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in any other circumstances falling within Article 3(2) of the Prospectus Directive, provided that no such offer of shares of our common stock shall result in a requirement for the publication by us or any underwriters of a prospectus pursuant to Article 3 of the Prospectus Directive.</w:t>
            </w:r>
          </w:p>
        </w:tc>
      </w:tr>
    </w:tbl>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For the purposes of this provision, the expression an offer to the public in relation to our common shares in any Relevant Member State means the communication in any form and by any means of sufficient information on the terms of the offer and our common shares to be offered so as to enable an investor to decide to purchase our common shares, as the same may be varied in that Member State by any measure implementing the Prospectus Directive in that Member State, the expression Prospectus Directive means Directive 2003/71/EC (as amended), including by Directive 2010/73/EU, and includes any relevant implementing measure in the Relevant Member State.</w:t>
      </w:r>
    </w:p>
    <w:p>
      <w:pPr>
        <w:pStyle w:val="TextBody"/>
        <w:spacing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This European Economic Area selling restriction is in addition to any other selling restrictions set out below.</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Notice to Investors in the United Kingdom</w:t>
      </w:r>
    </w:p>
    <w:p>
      <w:pPr>
        <w:pStyle w:val="TextBody"/>
        <w:spacing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Each of the underwriters severally represents, warrants and agrees as follows: </w:t>
      </w:r>
    </w:p>
    <w:tbl>
      <w:tblPr>
        <w:tblW w:w="5000" w:type="pct"/>
        <w:jc w:val="left"/>
        <w:tblInd w:w="0" w:type="dxa"/>
        <w:tblCellMar>
          <w:top w:w="0" w:type="dxa"/>
          <w:left w:w="0" w:type="dxa"/>
          <w:bottom w:w="0" w:type="dxa"/>
          <w:right w:w="0" w:type="dxa"/>
        </w:tblCellMar>
      </w:tblPr>
      <w:tblGrid>
        <w:gridCol w:w="133"/>
        <w:gridCol w:w="217"/>
        <w:gridCol w:w="9855"/>
      </w:tblGrid>
      <w:tr>
        <w:trPr/>
        <w:tc>
          <w:tcPr>
            <w:tcW w:w="133"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(a)</w:t>
            </w:r>
          </w:p>
        </w:tc>
        <w:tc>
          <w:tcPr>
            <w:tcW w:w="9855"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it has only communicated or caused to be communicated and will only communicate or cause to be communicated an invitation or inducement to engage in investment activity (within the meaning of section 21 of FSMA) to persons who have professional experience in matters relating to investments falling with Article 19(5) of the Financial Services and Markets Act 2000 (Financial Promotion) Order 2005 or in circumstances in which section 21 of FSMA does not apply to the company; and</w:t>
            </w:r>
          </w:p>
        </w:tc>
      </w:tr>
    </w:tbl>
    <w:tbl>
      <w:tblPr>
        <w:tblW w:w="5000" w:type="pct"/>
        <w:jc w:val="left"/>
        <w:tblInd w:w="0" w:type="dxa"/>
        <w:tblCellMar>
          <w:top w:w="0" w:type="dxa"/>
          <w:left w:w="0" w:type="dxa"/>
          <w:bottom w:w="0" w:type="dxa"/>
          <w:right w:w="0" w:type="dxa"/>
        </w:tblCellMar>
      </w:tblPr>
      <w:tblGrid>
        <w:gridCol w:w="297"/>
        <w:gridCol w:w="326"/>
        <w:gridCol w:w="9582"/>
      </w:tblGrid>
      <w:tr>
        <w:trPr/>
        <w:tc>
          <w:tcPr>
            <w:tcW w:w="297"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(b)</w:t>
            </w:r>
          </w:p>
        </w:tc>
        <w:tc>
          <w:tcPr>
            <w:tcW w:w="9582"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it has complied with, and will comply with all applicable provisions of FSMA with respect to anything done by it in relation to the units in, from or otherwise involving the United Kingdom.</w:t>
            </w:r>
          </w:p>
        </w:tc>
      </w:tr>
    </w:tbl>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Notice to Residents of Japan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The underwriters will not offer or sell any of our units directly or indirectly in Japan or to, or for the benefit of any Japanese person or to others, for re-offering or re-sale directly or indirectly in Japan or to any Japanese person, except in each case pursuant to an exemption from the registration requirements of, and otherwise in compliance with, the Securities and Exchange Law of Japan and any other applicable laws and regulations of Japan. For purposes of this paragraph, Japanese person means any person resident in Japan, including any corporation or other entity organized under the laws of Japan. </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Notice to Residents of Hong Kong</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underwriters and each of their affiliates has not (1) offered or sold, and will not offer or sell, in Hong Kong, by means of any document, our units other than (A) to professional investors as defined in the Securities and Futures Ordinance (Cap.571)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or (2) issued or had in its possession for the purposes of issue, and will not issue or have in its possession for the purposes of issue, whether in Hong Kong or elsewhere any advertisement, invitation or document relating to our units which is directed at, or the contents of which are likely to be accessed or read by, the public in Hong Kong (except if permitted to do so under the securities laws of Hong Kong) other than with respect to our securities which are or are intended to be disposed of only to persons outside Hong Kong or only to professional investors as defined in the Securities and Futures Ordinance and any rules made under that Ordinance. The contents of this document have not been reviewed by any regulatory authority in Hong Kong. You are advised to exercise caution in relation to the offer. If you are in any doubt about any of the contents of this document, you should obtain independent professional advice.</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Notice to Residents of Singapore</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This prospectus or any other offering material relating to our units has not been and will not be registered as a prospectus with the Monetary Authority of Singapore, and the units will be offered in Singapore pursuant to exemptions under Section 274 and Section 275 of the Securities and Futures Act, Chapter 289 of Singapore (the Securities and Futures Act). Accordingly our units may not be offered or sold, or be the subject of an invitation for subscription or purchase, nor may this prospectus or any other offering material relating to our </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156</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40"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units be circulated or distributed, whether directly or indirectly, to the public or any member of the public in Singapore other than (a) to an institutional investor or other person specified in Section 274 of the Securities and Futures Act, (b) to a sophisticated investor, and in accordance with the conditions specified in Section 275 of the Securities and Futures Act or (c) otherwise pursuant to, and in accordance with the conditions of, any other applicable provision of the Securities and Futures Act.</w:t>
      </w:r>
    </w:p>
    <w:p>
      <w:pPr>
        <w:pStyle w:val="TextBody"/>
        <w:spacing w:before="12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Notice to Residents of Germany</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Each person who is in possession of this prospectus is aware that no German sales prospectus (Verkaufsprospekt) within the meaning of the Securities Sales Prospectus Act (Wertpapier-Verkaufsprospektgesetz, the Act) of the Federal Republic of Germany has been or will be published with respect to our units. In particular, each underwriter has represented that it has not engaged and has agreed that it will not engage in a public offering (offentliches Angebot) within the meaning of the Act with respect to any of our units otherwise then in accordance with the Act and all other applicable legal and regulatory requirements. </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Notice to Residents of France</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units are being issued and sold outside the Republic of France and that, in connection with their initial distribution, it has not offered or sold and will not offer or sell, directly or indirectly, any units to the public in the Republic of France, and that it has not distributed and will not distribute or cause to be distributed to the public in the Republic of France this prospectus or any other offering material relating to the units, and that such offers, sales and distributions have been and will be made in the Republic of France only to qualified investors (investisseurs qualifiés) in accordance with Article L.411-2 of the Monetary and Financial Code and decrét no. 98-880 dated October 1, 1998.</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Notice to Residents of the Netherlands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Our units may not be offered, sold, transferred or delivered in or from the Netherlands as part of their initial distribution or at any time thereafter, directly or indirectly, other than to, individuals or legal entities situated in The Netherlands who or which trade or invest in securities in the conduct of a business or profession (which includes banks, securities intermediaries (including dealers and brokers), insurance companies, pension funds, collective investment institution, central governments, large international and supranational organizations, other institutional investors and other parties, including treasury departments of commercial enterprises, which as an ancillary activity regularly invest in securities; hereinafter, Professional Investors); provided that in the offer, prospectus and in any other documents or advertisements in which a forthcoming offering of our units is publicly announced (whether electronically or otherwise) in The Netherlands it is stated that such offer is and will be exclusively made to such Professional Investors. Individual or legal entities who are not Professional Investors may not participate in the offering of our units, and this prospectus or any other offering material relating to our units may not be considered an offer or the prospect of an offer to sell or exchange our units.</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Notice to Prospective Investors in the Cayman Islands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No invitation, whether directly or indirectly, may be made to the public in the Cayman Islands to subscribe for our securities.</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Notice to Canadian Residents</w:t>
      </w:r>
    </w:p>
    <w:p>
      <w:pPr>
        <w:pStyle w:val="TextBody"/>
        <w:spacing w:before="12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Resale Restrictions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distribution of units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units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157</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Representations of Canadian Purchasers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By purchasing units in Canada and accepting delivery of a purchase confirmation, a purchaser is representing to us and the dealer from whom the purchase confirmation is received that:</w:t>
      </w:r>
    </w:p>
    <w:tbl>
      <w:tblPr>
        <w:tblW w:w="5000" w:type="pct"/>
        <w:jc w:val="left"/>
        <w:tblInd w:w="0" w:type="dxa"/>
        <w:tblCellMar>
          <w:top w:w="0" w:type="dxa"/>
          <w:left w:w="0" w:type="dxa"/>
          <w:bottom w:w="0" w:type="dxa"/>
          <w:right w:w="0" w:type="dxa"/>
        </w:tblCellMar>
      </w:tblPr>
      <w:tblGrid>
        <w:gridCol w:w="222"/>
        <w:gridCol w:w="251"/>
        <w:gridCol w:w="9732"/>
      </w:tblGrid>
      <w:tr>
        <w:trPr/>
        <w:tc>
          <w:tcPr>
            <w:tcW w:w="222"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jc w:val="left"/>
              <w:rPr>
                <w:color w:val="000000"/>
              </w:rPr>
            </w:pPr>
            <w:r>
              <w:rPr>
                <w:color w:val="000000"/>
              </w:rPr>
              <w:t>•</w:t>
            </w:r>
          </w:p>
        </w:tc>
        <w:tc>
          <w:tcPr>
            <w:tcW w:w="9732"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the purchaser is entitled under applicable provincial securities laws to purchase the units without the benefit of a prospectus qualified under those securities laws as it is an accredited investor as defined under National Instrument 45-106—Prospectus Exemptions;</w:t>
            </w:r>
          </w:p>
        </w:tc>
      </w:tr>
    </w:tbl>
    <w:tbl>
      <w:tblPr>
        <w:tblW w:w="5000" w:type="pct"/>
        <w:jc w:val="left"/>
        <w:tblInd w:w="0" w:type="dxa"/>
        <w:tblCellMar>
          <w:top w:w="0" w:type="dxa"/>
          <w:left w:w="0" w:type="dxa"/>
          <w:bottom w:w="0" w:type="dxa"/>
          <w:right w:w="0" w:type="dxa"/>
        </w:tblCellMar>
      </w:tblPr>
      <w:tblGrid>
        <w:gridCol w:w="348"/>
        <w:gridCol w:w="347"/>
        <w:gridCol w:w="9510"/>
      </w:tblGrid>
      <w:tr>
        <w:trPr/>
        <w:tc>
          <w:tcPr>
            <w:tcW w:w="348"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jc w:val="left"/>
              <w:rPr>
                <w:color w:val="000000"/>
              </w:rPr>
            </w:pPr>
            <w:r>
              <w:rPr>
                <w:color w:val="000000"/>
              </w:rPr>
              <w:t>•</w:t>
            </w:r>
          </w:p>
        </w:tc>
        <w:tc>
          <w:tcPr>
            <w:tcW w:w="9510"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the purchaser is a permitted client as defined in National Instrument 31-103—Registration Requirements, Exemptions and Ongoing Registrant Obligations;</w:t>
            </w:r>
          </w:p>
        </w:tc>
      </w:tr>
    </w:tbl>
    <w:tbl>
      <w:tblPr>
        <w:tblW w:w="5000" w:type="pct"/>
        <w:jc w:val="left"/>
        <w:tblInd w:w="0" w:type="dxa"/>
        <w:tblCellMar>
          <w:top w:w="0" w:type="dxa"/>
          <w:left w:w="0" w:type="dxa"/>
          <w:bottom w:w="0" w:type="dxa"/>
          <w:right w:w="0" w:type="dxa"/>
        </w:tblCellMar>
      </w:tblPr>
      <w:tblGrid>
        <w:gridCol w:w="614"/>
        <w:gridCol w:w="592"/>
        <w:gridCol w:w="8999"/>
      </w:tblGrid>
      <w:tr>
        <w:trPr/>
        <w:tc>
          <w:tcPr>
            <w:tcW w:w="614"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jc w:val="left"/>
              <w:rPr>
                <w:color w:val="000000"/>
              </w:rPr>
            </w:pPr>
            <w:r>
              <w:rPr>
                <w:color w:val="000000"/>
              </w:rPr>
              <w:t>•</w:t>
            </w:r>
          </w:p>
        </w:tc>
        <w:tc>
          <w:tcPr>
            <w:tcW w:w="8999"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where required by law, the purchaser is purchasing as principal and not as agent; and</w:t>
            </w:r>
          </w:p>
        </w:tc>
      </w:tr>
    </w:tbl>
    <w:tbl>
      <w:tblPr>
        <w:tblW w:w="5000" w:type="pct"/>
        <w:jc w:val="left"/>
        <w:tblInd w:w="0" w:type="dxa"/>
        <w:tblCellMar>
          <w:top w:w="0" w:type="dxa"/>
          <w:left w:w="0" w:type="dxa"/>
          <w:bottom w:w="0" w:type="dxa"/>
          <w:right w:w="0" w:type="dxa"/>
        </w:tblCellMar>
      </w:tblPr>
      <w:tblGrid>
        <w:gridCol w:w="745"/>
        <w:gridCol w:w="719"/>
        <w:gridCol w:w="8741"/>
      </w:tblGrid>
      <w:tr>
        <w:trPr/>
        <w:tc>
          <w:tcPr>
            <w:tcW w:w="745"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jc w:val="left"/>
              <w:rPr>
                <w:color w:val="000000"/>
              </w:rPr>
            </w:pPr>
            <w:r>
              <w:rPr>
                <w:color w:val="000000"/>
              </w:rPr>
              <w:t>•</w:t>
            </w:r>
          </w:p>
        </w:tc>
        <w:tc>
          <w:tcPr>
            <w:tcW w:w="8741"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the purchaser has reviewed the text above under Resale Restrictions.</w:t>
            </w:r>
          </w:p>
        </w:tc>
      </w:tr>
    </w:tbl>
    <w:p>
      <w:pPr>
        <w:pStyle w:val="TextBody"/>
        <w:spacing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Conflicts of Interest</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Canadian purchasers are hereby notified that Credit Suisse Securities (USA) LLC is relying on the exemption set out in section 3A.3 or 3A.4, if applicable, of National Instrument 33-105—Underwriting Conflicts from having to provide certain conflict of interest disclosure in this document.</w:t>
      </w:r>
    </w:p>
    <w:p>
      <w:pPr>
        <w:pStyle w:val="TextBody"/>
        <w:spacing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Statutory Rights of Action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Securities legislation in certain provinces or territories of Canada may provide a purchaser with remedies for rescission or damages if the prospectus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pStyle w:val="TextBody"/>
        <w:spacing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Enforcement of Legal Rights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pStyle w:val="TextBody"/>
        <w:spacing w:before="240" w:after="0"/>
        <w:ind w:left="0" w:right="0" w:hanging="0"/>
        <w:jc w:val="left"/>
        <w:rPr>
          <w:rFonts w:ascii="Times New Roman;Times;Serif" w:hAnsi="Times New Roman;Times;Serif"/>
          <w:b/>
          <w:i/>
          <w:color w:val="000000"/>
          <w:sz w:val="17"/>
        </w:rPr>
      </w:pPr>
      <w:r>
        <w:rPr>
          <w:rFonts w:ascii="Times New Roman;Times;Serif" w:hAnsi="Times New Roman;Times;Serif"/>
          <w:b/>
          <w:i/>
          <w:color w:val="000000"/>
          <w:sz w:val="17"/>
        </w:rPr>
        <w:t>Taxation and Eligibility for Investment</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Canadian purchasers of units should consult their own legal and tax advisors with respect to the tax consequences of an investment in the units in their particular circumstances and about the eligibility of the units for investment by the purchaser under relevant Canadian legislation.</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158</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before="240" w:after="0"/>
        <w:ind w:left="0" w:right="0" w:hanging="0"/>
        <w:jc w:val="center"/>
        <w:rPr>
          <w:rFonts w:ascii="Times New Roman;Times;Serif" w:hAnsi="Times New Roman;Times;Serif"/>
          <w:b/>
          <w:color w:val="000000"/>
          <w:sz w:val="17"/>
        </w:rPr>
      </w:pPr>
      <w:bookmarkStart w:id="20" w:name="tLM"/>
      <w:bookmarkEnd w:id="20"/>
      <w:r>
        <w:rPr>
          <w:rFonts w:ascii="Times New Roman;Times;Serif" w:hAnsi="Times New Roman;Times;Serif"/>
          <w:b/>
          <w:color w:val="000000"/>
          <w:sz w:val="17"/>
        </w:rPr>
        <w:t>LEGAL MATTERS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Davis Polk &amp; Wardwell LLP, New York, New York, is acting as counsel in connection with the registration of our securities under the Securities Act, and as such, will pass upon the validity of the securities offered in this prospectus with respect to units and warrants. Maples and Calder will pass upon the validity of the securities offered in this prospectus with respect to the ordinary shares and matters of Cayman Islands law. In connection with this offering, Skadden, Arps, Slate, Meagher &amp; Flom LLP, Los Angeles, California, is acting as counsel to the underwriters. </w:t>
      </w:r>
    </w:p>
    <w:p>
      <w:pPr>
        <w:pStyle w:val="TextBody"/>
        <w:spacing w:before="240" w:after="0"/>
        <w:ind w:left="0" w:right="0" w:hanging="0"/>
        <w:jc w:val="center"/>
        <w:rPr>
          <w:rFonts w:ascii="Times New Roman;Times;Serif" w:hAnsi="Times New Roman;Times;Serif"/>
          <w:b/>
          <w:color w:val="000000"/>
          <w:sz w:val="17"/>
        </w:rPr>
      </w:pPr>
      <w:bookmarkStart w:id="21" w:name="tEXP"/>
      <w:bookmarkEnd w:id="21"/>
      <w:r>
        <w:rPr>
          <w:rFonts w:ascii="Times New Roman;Times;Serif" w:hAnsi="Times New Roman;Times;Serif"/>
          <w:b/>
          <w:color w:val="000000"/>
          <w:sz w:val="17"/>
        </w:rPr>
        <w:t>EXPERTS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financial statements of Silver Spike Acquisition Corp. as of June 11, 2019 and for the period from June 7, 2019 (inception) through June 11, 2019 appearing in this prospectus have been audited by Marcum LLP, independent registered public accounting firm, as set forth in their report thereon (which contains an explanatory paragraph relating to substantial doubt about the ability of Silver Spike Acquisition Corp. to continue as a going concern as described in Note 1 to the financial statements), appearing elsewhere in this prospectus, and are included in reliance upon such report given on the authority of such firm as experts in accounting and auditing.</w:t>
      </w:r>
    </w:p>
    <w:p>
      <w:pPr>
        <w:pStyle w:val="TextBody"/>
        <w:spacing w:before="240" w:after="0"/>
        <w:ind w:left="0" w:right="0" w:hanging="0"/>
        <w:jc w:val="center"/>
        <w:rPr>
          <w:rFonts w:ascii="Times New Roman;Times;Serif" w:hAnsi="Times New Roman;Times;Serif"/>
          <w:b/>
          <w:color w:val="000000"/>
          <w:sz w:val="17"/>
        </w:rPr>
      </w:pPr>
      <w:bookmarkStart w:id="22" w:name="tWYC"/>
      <w:bookmarkEnd w:id="22"/>
      <w:r>
        <w:rPr>
          <w:rFonts w:ascii="Times New Roman;Times;Serif" w:hAnsi="Times New Roman;Times;Serif"/>
          <w:b/>
          <w:color w:val="000000"/>
          <w:sz w:val="17"/>
        </w:rPr>
        <w:t>WHERE YOU CAN FIND ADDITIONAL INFORMATION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have filed with the SEC a registration statement on Form S-1 under the Securities Act with respect to the securities we are offering by this prospectus. This prospectus does not contain all of the information included in the registration statement. For further information about us and our securities, you should refer to the registration statement and the exhibits and schedules filed with the registration statement. Whenever we make reference in this prospectus to any of our contracts, agreements or other documents, the references are materially complete but may not include a description of all aspects of such contracts, agreements or other documents, and you should refer to the exhibits attached to the registration statement for copies of the actual contract, agreement or other document.</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Upon completion of this offering, we will be subject to the information requirements of the Exchange Act and will file annual, quarterly and current event reports, proxy statements and other information with the SEC. You can read our SEC filings, including the registration statement, over the internet at the SECs website at www.sec.gov.</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159</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before="240" w:after="0"/>
        <w:ind w:left="0" w:right="0" w:hanging="0"/>
        <w:jc w:val="center"/>
        <w:rPr>
          <w:rFonts w:ascii="Times New Roman;Times;Serif" w:hAnsi="Times New Roman;Times;Serif"/>
          <w:b/>
          <w:color w:val="000000"/>
          <w:sz w:val="17"/>
        </w:rPr>
      </w:pPr>
      <w:r>
        <w:rPr>
          <w:rFonts w:ascii="Times New Roman;Times;Serif" w:hAnsi="Times New Roman;Times;Serif"/>
          <w:b/>
          <w:color w:val="000000"/>
          <w:sz w:val="17"/>
        </w:rPr>
        <w:t>SILVER SPIKE ACQUISITION CORP.</w:t>
      </w:r>
    </w:p>
    <w:p>
      <w:pPr>
        <w:pStyle w:val="TextBody"/>
        <w:spacing w:before="240" w:after="0"/>
        <w:ind w:left="0" w:right="0" w:hanging="0"/>
        <w:jc w:val="center"/>
        <w:rPr>
          <w:rFonts w:ascii="Times New Roman;Times;Serif" w:hAnsi="Times New Roman;Times;Serif"/>
          <w:b/>
          <w:color w:val="000000"/>
          <w:sz w:val="17"/>
        </w:rPr>
      </w:pPr>
      <w:bookmarkStart w:id="23" w:name="tIFS"/>
      <w:bookmarkEnd w:id="23"/>
      <w:r>
        <w:rPr>
          <w:rFonts w:ascii="Times New Roman;Times;Serif" w:hAnsi="Times New Roman;Times;Serif"/>
          <w:b/>
          <w:color w:val="000000"/>
          <w:sz w:val="17"/>
        </w:rPr>
        <w:t>INDEX TO FINANCIAL STATEMENTS</w:t>
      </w:r>
    </w:p>
    <w:p>
      <w:pPr>
        <w:pStyle w:val="Normal"/>
        <w:spacing w:before="0" w:after="0"/>
        <w:rPr>
          <w:sz w:val="4"/>
          <w:szCs w:val="4"/>
        </w:rPr>
      </w:pPr>
      <w:r>
        <w:rPr>
          <w:sz w:val="4"/>
          <w:szCs w:val="4"/>
        </w:rPr>
      </w:r>
      <w:bookmarkStart w:id="24" w:name="TOC1"/>
      <w:bookmarkStart w:id="25" w:name="TOC1"/>
      <w:bookmarkEnd w:id="25"/>
    </w:p>
    <w:tbl>
      <w:tblPr>
        <w:tblW w:w="5000" w:type="pct"/>
        <w:jc w:val="center"/>
        <w:tblInd w:w="0" w:type="dxa"/>
        <w:tblCellMar>
          <w:top w:w="0" w:type="dxa"/>
          <w:left w:w="0" w:type="dxa"/>
          <w:bottom w:w="0" w:type="dxa"/>
          <w:right w:w="0" w:type="dxa"/>
        </w:tblCellMar>
      </w:tblPr>
      <w:tblGrid>
        <w:gridCol w:w="8916"/>
        <w:gridCol w:w="282"/>
        <w:gridCol w:w="619"/>
        <w:gridCol w:w="388"/>
      </w:tblGrid>
      <w:tr>
        <w:trPr/>
        <w:tc>
          <w:tcPr>
            <w:tcW w:w="8916" w:type="dxa"/>
            <w:tcBorders/>
            <w:shd w:fill="auto" w:val="clear"/>
            <w:vAlign w:val="bottom"/>
          </w:tcPr>
          <w:p>
            <w:pPr>
              <w:pStyle w:val="TableContents"/>
              <w:spacing w:before="0" w:after="0"/>
              <w:ind w:left="0" w:right="0" w:firstLine="90"/>
              <w:jc w:val="left"/>
              <w:rPr>
                <w:color w:val="000000"/>
              </w:rPr>
            </w:pPr>
            <w:r>
              <w:rPr>
                <w:color w:val="000000"/>
              </w:rPr>
              <w:t> </w:t>
            </w:r>
          </w:p>
        </w:tc>
        <w:tc>
          <w:tcPr>
            <w:tcW w:w="1289" w:type="dxa"/>
            <w:gridSpan w:val="3"/>
            <w:tcBorders/>
            <w:shd w:fill="auto" w:val="clear"/>
            <w:vAlign w:val="bottom"/>
          </w:tcPr>
          <w:p>
            <w:pPr>
              <w:pStyle w:val="TableContents"/>
              <w:spacing w:before="0" w:after="0"/>
              <w:ind w:left="0" w:right="0" w:hanging="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Page</w:t>
            </w:r>
          </w:p>
        </w:tc>
      </w:tr>
      <w:tr>
        <w:trPr/>
        <w:tc>
          <w:tcPr>
            <w:tcW w:w="8916" w:type="dxa"/>
            <w:tcBorders/>
            <w:shd w:fill="CCEEFF" w:val="clear"/>
            <w:vAlign w:val="bottom"/>
          </w:tcPr>
          <w:p>
            <w:pPr>
              <w:pStyle w:val="TableContents"/>
              <w:spacing w:before="0" w:after="0"/>
              <w:ind w:left="0" w:right="0" w:firstLine="75"/>
              <w:jc w:val="left"/>
              <w:rPr/>
            </w:pPr>
            <w:hyperlink w:anchor="tROI">
              <w:r>
                <w:rPr>
                  <w:rStyle w:val="InternetLink"/>
                  <w:rFonts w:ascii="Times New Roman;Times;Serif" w:hAnsi="Times New Roman;Times;Serif"/>
                  <w:color w:val="000000"/>
                  <w:sz w:val="17"/>
                </w:rPr>
                <w:t xml:space="preserve">REPORT OF INDEPENDENT REGISTERED PUBLIC ACCOUNTING FIRM </w:t>
              </w:r>
            </w:hyperlink>
          </w:p>
        </w:tc>
        <w:tc>
          <w:tcPr>
            <w:tcW w:w="282" w:type="dxa"/>
            <w:tcBorders/>
            <w:shd w:fill="CCEEFF" w:val="clear"/>
            <w:vAlign w:val="bottom"/>
          </w:tcPr>
          <w:p>
            <w:pPr>
              <w:pStyle w:val="TableContents"/>
              <w:spacing w:before="0" w:after="0"/>
              <w:ind w:left="0" w:right="0" w:hanging="0"/>
              <w:jc w:val="right"/>
              <w:rPr>
                <w:color w:val="000000"/>
              </w:rPr>
            </w:pPr>
            <w:r>
              <w:rPr>
                <w:color w:val="000000"/>
              </w:rPr>
              <w:t> </w:t>
            </w:r>
          </w:p>
        </w:tc>
        <w:tc>
          <w:tcPr>
            <w:tcW w:w="619" w:type="dxa"/>
            <w:tcBorders/>
            <w:shd w:fill="CCEEFF" w:val="clear"/>
            <w:vAlign w:val="bottom"/>
          </w:tcPr>
          <w:p>
            <w:pPr>
              <w:pStyle w:val="TableContents"/>
              <w:spacing w:before="0" w:after="0"/>
              <w:ind w:left="0" w:right="0" w:hanging="0"/>
              <w:jc w:val="right"/>
              <w:rPr/>
            </w:pPr>
            <w:hyperlink w:anchor="tROI">
              <w:r>
                <w:rPr>
                  <w:rStyle w:val="InternetLink"/>
                  <w:rFonts w:ascii="Times New Roman;Times;Serif" w:hAnsi="Times New Roman;Times;Serif"/>
                  <w:color w:val="000000"/>
                  <w:sz w:val="17"/>
                </w:rPr>
                <w:t xml:space="preserve">F-2 </w:t>
              </w:r>
            </w:hyperlink>
          </w:p>
        </w:tc>
        <w:tc>
          <w:tcPr>
            <w:tcW w:w="388" w:type="dxa"/>
            <w:tcBorders/>
            <w:shd w:fill="CCEEFF" w:val="clear"/>
            <w:vAlign w:val="bottom"/>
          </w:tcPr>
          <w:p>
            <w:pPr>
              <w:pStyle w:val="TableContents"/>
              <w:spacing w:before="0" w:after="0"/>
              <w:ind w:left="0" w:right="0" w:hanging="0"/>
              <w:jc w:val="left"/>
              <w:rPr>
                <w:color w:val="000000"/>
              </w:rPr>
            </w:pPr>
            <w:r>
              <w:rPr>
                <w:color w:val="000000"/>
              </w:rPr>
              <w:t> </w:t>
            </w:r>
          </w:p>
        </w:tc>
      </w:tr>
      <w:tr>
        <w:trPr/>
        <w:tc>
          <w:tcPr>
            <w:tcW w:w="8916" w:type="dxa"/>
            <w:tcBorders/>
            <w:shd w:fill="auto"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FINANCIAL STATEMENTS:</w:t>
            </w:r>
          </w:p>
        </w:tc>
        <w:tc>
          <w:tcPr>
            <w:tcW w:w="282" w:type="dxa"/>
            <w:tcBorders/>
            <w:shd w:fill="auto" w:val="clear"/>
            <w:vAlign w:val="bottom"/>
          </w:tcPr>
          <w:p>
            <w:pPr>
              <w:pStyle w:val="TableContents"/>
              <w:spacing w:before="0" w:after="0"/>
              <w:ind w:left="0" w:right="0" w:hanging="0"/>
              <w:jc w:val="right"/>
              <w:rPr>
                <w:color w:val="000000"/>
              </w:rPr>
            </w:pPr>
            <w:r>
              <w:rPr>
                <w:color w:val="000000"/>
              </w:rPr>
              <w:t> </w:t>
            </w:r>
          </w:p>
        </w:tc>
        <w:tc>
          <w:tcPr>
            <w:tcW w:w="619" w:type="dxa"/>
            <w:tcBorders/>
            <w:shd w:fill="auto" w:val="clear"/>
            <w:vAlign w:val="bottom"/>
          </w:tcPr>
          <w:p>
            <w:pPr>
              <w:pStyle w:val="TableContents"/>
              <w:spacing w:before="0" w:after="0"/>
              <w:ind w:left="0" w:right="0" w:hanging="0"/>
              <w:jc w:val="right"/>
              <w:rPr>
                <w:color w:val="000000"/>
              </w:rPr>
            </w:pPr>
            <w:r>
              <w:rPr>
                <w:color w:val="000000"/>
              </w:rPr>
              <w:t> </w:t>
            </w:r>
          </w:p>
        </w:tc>
        <w:tc>
          <w:tcPr>
            <w:tcW w:w="388" w:type="dxa"/>
            <w:tcBorders/>
            <w:shd w:fill="auto" w:val="clear"/>
            <w:vAlign w:val="bottom"/>
          </w:tcPr>
          <w:p>
            <w:pPr>
              <w:pStyle w:val="TableContents"/>
              <w:spacing w:before="0" w:after="0"/>
              <w:ind w:left="0" w:right="0" w:hanging="0"/>
              <w:jc w:val="left"/>
              <w:rPr>
                <w:color w:val="000000"/>
              </w:rPr>
            </w:pPr>
            <w:r>
              <w:rPr>
                <w:color w:val="000000"/>
              </w:rPr>
              <w:t> </w:t>
            </w:r>
          </w:p>
        </w:tc>
      </w:tr>
      <w:tr>
        <w:trPr/>
        <w:tc>
          <w:tcPr>
            <w:tcW w:w="8916" w:type="dxa"/>
            <w:tcBorders/>
            <w:shd w:fill="CCEEFF" w:val="clear"/>
            <w:vAlign w:val="bottom"/>
          </w:tcPr>
          <w:p>
            <w:pPr>
              <w:pStyle w:val="TableContents"/>
              <w:spacing w:before="0" w:after="0"/>
              <w:ind w:left="0" w:right="0" w:firstLine="75"/>
              <w:jc w:val="left"/>
              <w:rPr/>
            </w:pPr>
            <w:hyperlink w:anchor="tBS">
              <w:r>
                <w:rPr>
                  <w:rStyle w:val="InternetLink"/>
                  <w:rFonts w:ascii="Times New Roman;Times;Serif" w:hAnsi="Times New Roman;Times;Serif"/>
                  <w:color w:val="000000"/>
                  <w:sz w:val="17"/>
                </w:rPr>
                <w:t>BALANCE SHEETS AS OF JUNE 30, 2019 (UNAUDITED) AND JUNE 11, 2019 (AUDITED)</w:t>
              </w:r>
            </w:hyperlink>
          </w:p>
        </w:tc>
        <w:tc>
          <w:tcPr>
            <w:tcW w:w="282" w:type="dxa"/>
            <w:tcBorders/>
            <w:shd w:fill="CCEEFF" w:val="clear"/>
            <w:vAlign w:val="bottom"/>
          </w:tcPr>
          <w:p>
            <w:pPr>
              <w:pStyle w:val="TableContents"/>
              <w:spacing w:before="0" w:after="0"/>
              <w:ind w:left="0" w:right="0" w:hanging="0"/>
              <w:jc w:val="right"/>
              <w:rPr>
                <w:color w:val="000000"/>
              </w:rPr>
            </w:pPr>
            <w:r>
              <w:rPr>
                <w:color w:val="000000"/>
              </w:rPr>
              <w:t> </w:t>
            </w:r>
          </w:p>
        </w:tc>
        <w:tc>
          <w:tcPr>
            <w:tcW w:w="619" w:type="dxa"/>
            <w:tcBorders/>
            <w:shd w:fill="CCEEFF" w:val="clear"/>
            <w:vAlign w:val="bottom"/>
          </w:tcPr>
          <w:p>
            <w:pPr>
              <w:pStyle w:val="TableContents"/>
              <w:spacing w:before="0" w:after="0"/>
              <w:ind w:left="0" w:right="0" w:hanging="0"/>
              <w:jc w:val="right"/>
              <w:rPr/>
            </w:pPr>
            <w:hyperlink w:anchor="tBS">
              <w:r>
                <w:rPr>
                  <w:rStyle w:val="InternetLink"/>
                  <w:rFonts w:ascii="Times New Roman;Times;Serif" w:hAnsi="Times New Roman;Times;Serif"/>
                  <w:color w:val="000000"/>
                  <w:sz w:val="17"/>
                </w:rPr>
                <w:t>F-3</w:t>
              </w:r>
            </w:hyperlink>
          </w:p>
        </w:tc>
        <w:tc>
          <w:tcPr>
            <w:tcW w:w="388" w:type="dxa"/>
            <w:tcBorders/>
            <w:shd w:fill="CCEEFF" w:val="clear"/>
            <w:vAlign w:val="bottom"/>
          </w:tcPr>
          <w:p>
            <w:pPr>
              <w:pStyle w:val="TableContents"/>
              <w:spacing w:before="0" w:after="0"/>
              <w:ind w:left="0" w:right="0" w:firstLine="195"/>
              <w:jc w:val="left"/>
              <w:rPr>
                <w:color w:val="000000"/>
              </w:rPr>
            </w:pPr>
            <w:r>
              <w:rPr>
                <w:color w:val="000000"/>
              </w:rPr>
              <w:t> </w:t>
            </w:r>
          </w:p>
        </w:tc>
      </w:tr>
      <w:tr>
        <w:trPr/>
        <w:tc>
          <w:tcPr>
            <w:tcW w:w="8916" w:type="dxa"/>
            <w:tcBorders/>
            <w:shd w:fill="auto" w:val="clear"/>
            <w:vAlign w:val="bottom"/>
          </w:tcPr>
          <w:p>
            <w:pPr>
              <w:pStyle w:val="TableContents"/>
              <w:spacing w:before="0" w:after="0"/>
              <w:ind w:left="0" w:right="0" w:firstLine="75"/>
              <w:jc w:val="left"/>
              <w:rPr/>
            </w:pPr>
            <w:hyperlink w:anchor="tSOP">
              <w:r>
                <w:rPr>
                  <w:rStyle w:val="InternetLink"/>
                  <w:rFonts w:ascii="Times New Roman;Times;Serif" w:hAnsi="Times New Roman;Times;Serif"/>
                  <w:color w:val="000000"/>
                  <w:sz w:val="17"/>
                </w:rPr>
                <w:t>STATEMENTS OF OPERATIONS FOR THE PERIOD FROM JUNE 7, 2019 (INCEPTION) THROUGH JUNE 30, 2019 (UNAUDITED) AND FOR THE PERIOD FROM JUNE 7, 2019 (INCEPTION) THROUGH JUNE 11, 2019 (AUDITED)</w:t>
              </w:r>
            </w:hyperlink>
          </w:p>
        </w:tc>
        <w:tc>
          <w:tcPr>
            <w:tcW w:w="282" w:type="dxa"/>
            <w:tcBorders/>
            <w:shd w:fill="auto" w:val="clear"/>
            <w:vAlign w:val="bottom"/>
          </w:tcPr>
          <w:p>
            <w:pPr>
              <w:pStyle w:val="TableContents"/>
              <w:spacing w:before="0" w:after="0"/>
              <w:ind w:left="0" w:right="0" w:hanging="0"/>
              <w:jc w:val="right"/>
              <w:rPr>
                <w:color w:val="000000"/>
              </w:rPr>
            </w:pPr>
            <w:r>
              <w:rPr>
                <w:color w:val="000000"/>
              </w:rPr>
              <w:t> </w:t>
            </w:r>
          </w:p>
        </w:tc>
        <w:tc>
          <w:tcPr>
            <w:tcW w:w="619" w:type="dxa"/>
            <w:tcBorders/>
            <w:shd w:fill="auto" w:val="clear"/>
            <w:vAlign w:val="bottom"/>
          </w:tcPr>
          <w:p>
            <w:pPr>
              <w:pStyle w:val="TableContents"/>
              <w:spacing w:before="0" w:after="0"/>
              <w:ind w:left="0" w:right="0" w:hanging="0"/>
              <w:jc w:val="right"/>
              <w:rPr/>
            </w:pPr>
            <w:hyperlink w:anchor="tSOP">
              <w:r>
                <w:rPr>
                  <w:rStyle w:val="InternetLink"/>
                  <w:rFonts w:ascii="Times New Roman;Times;Serif" w:hAnsi="Times New Roman;Times;Serif"/>
                  <w:color w:val="000000"/>
                  <w:sz w:val="17"/>
                </w:rPr>
                <w:t>F-4</w:t>
              </w:r>
            </w:hyperlink>
          </w:p>
        </w:tc>
        <w:tc>
          <w:tcPr>
            <w:tcW w:w="388" w:type="dxa"/>
            <w:tcBorders/>
            <w:shd w:fill="auto" w:val="clear"/>
            <w:vAlign w:val="bottom"/>
          </w:tcPr>
          <w:p>
            <w:pPr>
              <w:pStyle w:val="TableContents"/>
              <w:spacing w:before="0" w:after="0"/>
              <w:ind w:left="0" w:right="0" w:firstLine="195"/>
              <w:jc w:val="left"/>
              <w:rPr>
                <w:color w:val="000000"/>
              </w:rPr>
            </w:pPr>
            <w:r>
              <w:rPr>
                <w:color w:val="000000"/>
              </w:rPr>
              <w:t> </w:t>
            </w:r>
          </w:p>
        </w:tc>
      </w:tr>
      <w:tr>
        <w:trPr/>
        <w:tc>
          <w:tcPr>
            <w:tcW w:w="8916" w:type="dxa"/>
            <w:tcBorders/>
            <w:shd w:fill="CCEEFF" w:val="clear"/>
            <w:vAlign w:val="bottom"/>
          </w:tcPr>
          <w:p>
            <w:pPr>
              <w:pStyle w:val="TableContents"/>
              <w:spacing w:before="0" w:after="0"/>
              <w:ind w:left="0" w:right="0" w:firstLine="75"/>
              <w:jc w:val="left"/>
              <w:rPr/>
            </w:pPr>
            <w:hyperlink w:anchor="tSCF">
              <w:r>
                <w:rPr>
                  <w:rStyle w:val="InternetLink"/>
                  <w:rFonts w:ascii="Times New Roman;Times;Serif" w:hAnsi="Times New Roman;Times;Serif"/>
                  <w:color w:val="000000"/>
                  <w:sz w:val="17"/>
                </w:rPr>
                <w:t>STATEMENTS OF CHANGES IN SHAREHOLDER'S EQUITY FOR THE PERIOD FROM JUNE 7, 2019 (INCEPTION) THROUGH JUNE 30, 2019 (UNAUDITED) AND FOR THE PERIOD FROM JUNE 7, 2019 (INCEPTION) THROUGH JUNE 11, 2019 (AUDITED)</w:t>
              </w:r>
            </w:hyperlink>
          </w:p>
        </w:tc>
        <w:tc>
          <w:tcPr>
            <w:tcW w:w="282" w:type="dxa"/>
            <w:tcBorders/>
            <w:shd w:fill="CCEEFF" w:val="clear"/>
            <w:vAlign w:val="bottom"/>
          </w:tcPr>
          <w:p>
            <w:pPr>
              <w:pStyle w:val="TableContents"/>
              <w:spacing w:before="0" w:after="0"/>
              <w:ind w:left="0" w:right="0" w:hanging="0"/>
              <w:jc w:val="right"/>
              <w:rPr>
                <w:color w:val="000000"/>
              </w:rPr>
            </w:pPr>
            <w:r>
              <w:rPr>
                <w:color w:val="000000"/>
              </w:rPr>
              <w:t> </w:t>
            </w:r>
          </w:p>
        </w:tc>
        <w:tc>
          <w:tcPr>
            <w:tcW w:w="619" w:type="dxa"/>
            <w:tcBorders/>
            <w:shd w:fill="CCEEFF" w:val="clear"/>
            <w:vAlign w:val="bottom"/>
          </w:tcPr>
          <w:p>
            <w:pPr>
              <w:pStyle w:val="TableContents"/>
              <w:spacing w:before="0" w:after="0"/>
              <w:ind w:left="0" w:right="0" w:hanging="0"/>
              <w:jc w:val="right"/>
              <w:rPr/>
            </w:pPr>
            <w:hyperlink w:anchor="tSCF">
              <w:r>
                <w:rPr>
                  <w:rStyle w:val="InternetLink"/>
                  <w:rFonts w:ascii="Times New Roman;Times;Serif" w:hAnsi="Times New Roman;Times;Serif"/>
                  <w:color w:val="000000"/>
                  <w:sz w:val="17"/>
                </w:rPr>
                <w:t>F-5</w:t>
              </w:r>
            </w:hyperlink>
          </w:p>
        </w:tc>
        <w:tc>
          <w:tcPr>
            <w:tcW w:w="388" w:type="dxa"/>
            <w:tcBorders/>
            <w:shd w:fill="CCEEFF" w:val="clear"/>
            <w:vAlign w:val="bottom"/>
          </w:tcPr>
          <w:p>
            <w:pPr>
              <w:pStyle w:val="TableContents"/>
              <w:spacing w:before="0" w:after="0"/>
              <w:ind w:left="0" w:right="0" w:firstLine="195"/>
              <w:jc w:val="left"/>
              <w:rPr>
                <w:color w:val="000000"/>
              </w:rPr>
            </w:pPr>
            <w:r>
              <w:rPr>
                <w:color w:val="000000"/>
              </w:rPr>
              <w:t> </w:t>
            </w:r>
          </w:p>
        </w:tc>
      </w:tr>
      <w:tr>
        <w:trPr/>
        <w:tc>
          <w:tcPr>
            <w:tcW w:w="8916" w:type="dxa"/>
            <w:tcBorders/>
            <w:shd w:fill="auto" w:val="clear"/>
            <w:vAlign w:val="bottom"/>
          </w:tcPr>
          <w:p>
            <w:pPr>
              <w:pStyle w:val="TableContents"/>
              <w:spacing w:before="0" w:after="0"/>
              <w:ind w:left="0" w:right="0" w:firstLine="75"/>
              <w:jc w:val="left"/>
              <w:rPr/>
            </w:pPr>
            <w:hyperlink w:anchor="tSCFP">
              <w:r>
                <w:rPr>
                  <w:rStyle w:val="InternetLink"/>
                  <w:rFonts w:ascii="Times New Roman;Times;Serif" w:hAnsi="Times New Roman;Times;Serif"/>
                  <w:color w:val="000000"/>
                  <w:sz w:val="17"/>
                </w:rPr>
                <w:t>STATEMENT OF CASH FLOWS FOR THE PERIOD FROM JUNE 7, 2019 (INCEPTION) THROUGH JUNE 30, 2019 (UNAUDITED) FOR THE PERIOD FROM JUNE 7, 2019 (INCEPTION) THROUGH JUNE 11, 2019 (AUDITED)</w:t>
              </w:r>
            </w:hyperlink>
          </w:p>
        </w:tc>
        <w:tc>
          <w:tcPr>
            <w:tcW w:w="282" w:type="dxa"/>
            <w:tcBorders/>
            <w:shd w:fill="auto" w:val="clear"/>
            <w:vAlign w:val="bottom"/>
          </w:tcPr>
          <w:p>
            <w:pPr>
              <w:pStyle w:val="TableContents"/>
              <w:spacing w:before="0" w:after="0"/>
              <w:ind w:left="0" w:right="0" w:hanging="0"/>
              <w:jc w:val="right"/>
              <w:rPr>
                <w:color w:val="000000"/>
              </w:rPr>
            </w:pPr>
            <w:r>
              <w:rPr>
                <w:color w:val="000000"/>
              </w:rPr>
              <w:t> </w:t>
            </w:r>
          </w:p>
        </w:tc>
        <w:tc>
          <w:tcPr>
            <w:tcW w:w="619" w:type="dxa"/>
            <w:tcBorders/>
            <w:shd w:fill="auto" w:val="clear"/>
            <w:vAlign w:val="bottom"/>
          </w:tcPr>
          <w:p>
            <w:pPr>
              <w:pStyle w:val="TableContents"/>
              <w:spacing w:before="0" w:after="0"/>
              <w:ind w:left="0" w:right="0" w:hanging="0"/>
              <w:jc w:val="right"/>
              <w:rPr/>
            </w:pPr>
            <w:hyperlink w:anchor="tSCFP">
              <w:r>
                <w:rPr>
                  <w:rStyle w:val="InternetLink"/>
                  <w:rFonts w:ascii="Times New Roman;Times;Serif" w:hAnsi="Times New Roman;Times;Serif"/>
                  <w:color w:val="000000"/>
                  <w:sz w:val="17"/>
                </w:rPr>
                <w:t>F-6</w:t>
              </w:r>
            </w:hyperlink>
          </w:p>
        </w:tc>
        <w:tc>
          <w:tcPr>
            <w:tcW w:w="388" w:type="dxa"/>
            <w:tcBorders/>
            <w:shd w:fill="auto" w:val="clear"/>
            <w:vAlign w:val="bottom"/>
          </w:tcPr>
          <w:p>
            <w:pPr>
              <w:pStyle w:val="TableContents"/>
              <w:spacing w:before="0" w:after="0"/>
              <w:ind w:left="0" w:right="0" w:hanging="0"/>
              <w:jc w:val="left"/>
              <w:rPr>
                <w:color w:val="000000"/>
              </w:rPr>
            </w:pPr>
            <w:r>
              <w:rPr>
                <w:color w:val="000000"/>
              </w:rPr>
              <w:t> </w:t>
            </w:r>
          </w:p>
        </w:tc>
      </w:tr>
      <w:tr>
        <w:trPr/>
        <w:tc>
          <w:tcPr>
            <w:tcW w:w="8916" w:type="dxa"/>
            <w:tcBorders/>
            <w:shd w:fill="CCEEFF" w:val="clear"/>
            <w:vAlign w:val="bottom"/>
          </w:tcPr>
          <w:p>
            <w:pPr>
              <w:pStyle w:val="TableContents"/>
              <w:spacing w:before="0" w:after="0"/>
              <w:ind w:left="0" w:right="0" w:firstLine="75"/>
              <w:jc w:val="left"/>
              <w:rPr/>
            </w:pPr>
            <w:hyperlink w:anchor="tNTF">
              <w:r>
                <w:rPr>
                  <w:rStyle w:val="InternetLink"/>
                  <w:rFonts w:ascii="Times New Roman;Times;Serif" w:hAnsi="Times New Roman;Times;Serif"/>
                  <w:color w:val="000000"/>
                  <w:sz w:val="17"/>
                </w:rPr>
                <w:t>NOTES TO FINANCIAL STATEMENTS</w:t>
              </w:r>
            </w:hyperlink>
          </w:p>
        </w:tc>
        <w:tc>
          <w:tcPr>
            <w:tcW w:w="282" w:type="dxa"/>
            <w:tcBorders/>
            <w:shd w:fill="CCEEFF" w:val="clear"/>
            <w:vAlign w:val="bottom"/>
          </w:tcPr>
          <w:p>
            <w:pPr>
              <w:pStyle w:val="TableContents"/>
              <w:spacing w:before="0" w:after="0"/>
              <w:ind w:left="0" w:right="0" w:hanging="0"/>
              <w:jc w:val="right"/>
              <w:rPr>
                <w:color w:val="000000"/>
              </w:rPr>
            </w:pPr>
            <w:r>
              <w:rPr>
                <w:color w:val="000000"/>
              </w:rPr>
              <w:t> </w:t>
            </w:r>
          </w:p>
        </w:tc>
        <w:tc>
          <w:tcPr>
            <w:tcW w:w="619" w:type="dxa"/>
            <w:tcBorders/>
            <w:shd w:fill="CCEEFF" w:val="clear"/>
            <w:vAlign w:val="bottom"/>
          </w:tcPr>
          <w:p>
            <w:pPr>
              <w:pStyle w:val="TableContents"/>
              <w:spacing w:before="0" w:after="0"/>
              <w:ind w:left="0" w:right="0" w:hanging="0"/>
              <w:jc w:val="right"/>
              <w:rPr/>
            </w:pPr>
            <w:hyperlink w:anchor="tNTF">
              <w:r>
                <w:rPr>
                  <w:rStyle w:val="InternetLink"/>
                  <w:rFonts w:ascii="Times New Roman;Times;Serif" w:hAnsi="Times New Roman;Times;Serif"/>
                  <w:color w:val="000000"/>
                  <w:sz w:val="17"/>
                </w:rPr>
                <w:t>F-7</w:t>
              </w:r>
            </w:hyperlink>
          </w:p>
        </w:tc>
        <w:tc>
          <w:tcPr>
            <w:tcW w:w="388" w:type="dxa"/>
            <w:tcBorders/>
            <w:shd w:fill="CCEEFF" w:val="clear"/>
            <w:vAlign w:val="bottom"/>
          </w:tcPr>
          <w:p>
            <w:pPr>
              <w:pStyle w:val="TableContents"/>
              <w:spacing w:before="0" w:after="0"/>
              <w:jc w:val="left"/>
              <w:rPr>
                <w:color w:val="000000"/>
              </w:rPr>
            </w:pPr>
            <w:r>
              <w:rPr>
                <w:color w:val="000000"/>
              </w:rPr>
              <w:t> </w:t>
            </w:r>
          </w:p>
        </w:tc>
      </w:tr>
    </w:tbl>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F-1</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before="240" w:after="0"/>
        <w:ind w:left="0" w:right="0" w:hanging="0"/>
        <w:jc w:val="center"/>
        <w:rPr>
          <w:rFonts w:ascii="Times New Roman;Times;Serif" w:hAnsi="Times New Roman;Times;Serif"/>
          <w:b/>
          <w:color w:val="000000"/>
          <w:sz w:val="17"/>
        </w:rPr>
      </w:pPr>
      <w:bookmarkStart w:id="26" w:name="tROI"/>
      <w:bookmarkEnd w:id="26"/>
      <w:r>
        <w:rPr>
          <w:rFonts w:ascii="Times New Roman;Times;Serif" w:hAnsi="Times New Roman;Times;Serif"/>
          <w:b/>
          <w:color w:val="000000"/>
          <w:sz w:val="17"/>
        </w:rPr>
        <w:t>REPORT OF INDEPENDENT REGISTERED PUBLIC ACCOUNTING FIRM</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To the Shareholder and the Board of Directors of</w:t>
        <w:br/>
        <w:t>Silver Spike Acquisition Corp.</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Opinion on the Financial Statements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have audited the accompanying balance sheet of Silver Spike Acquisition Corp. (the Company) as of June 11, 2019 and the related statements of operations, changes in shareholder's equity and cash flows for the period from June 7, 2019 (inception) through June 11, 2019 and the related notes (collectively referred to as the financial statements). In our opinion, the financial statements present fairly, in all material respects, the financial position of the Company as of June 11, 2019 and the results of its operations and its cash flows for the period from June 7, 2019 (inception) through June 11, 2019, in conformity with accounting principles generally accepted in the United States of America.</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Explanatory Paragraph — Going Concern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accompanying financial statements have been prepared assuming that the Company will continue as a going concern. As discussed in Note 1 to the financial statements, the Company's business plan is dependent on the completion of a financing and the Company's cash and working capital as of June 11, 2019 are not sufficient to complete its planned activities. These conditions raise substantial doubt about the Company's ability to continue as a going concern. Management's plans in regard to these matters are also described in Note 1 and 3 to the financial statements. The financial statements do not include any adjustments that might result from the outcome of this uncertainty.</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Basis for Opinion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(the PCAOB) and are required to be independent with respect to the Company in accordance with the U.S. federal securities laws and the applicable rules and regulations of the Securities and Exchange Commission and the PCAOB.</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spacing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/s/ Marcum LLP</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Marcum LLP</w:t>
        <w:br/>
        <w:t>We have served as the Company's auditor since 2019.</w:t>
        <w:br/>
        <w:t>New York, NY</w:t>
        <w:br/>
        <w:t>June 20, 2019</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F-2</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10" w:before="240" w:after="0"/>
        <w:ind w:left="0" w:right="0" w:hanging="0"/>
        <w:jc w:val="center"/>
        <w:rPr>
          <w:rFonts w:ascii="Times New Roman;Times;Serif" w:hAnsi="Times New Roman;Times;Serif"/>
          <w:b/>
          <w:color w:val="000000"/>
          <w:sz w:val="17"/>
        </w:rPr>
      </w:pPr>
      <w:bookmarkStart w:id="27" w:name="tBS"/>
      <w:bookmarkEnd w:id="27"/>
      <w:r>
        <w:rPr>
          <w:rFonts w:ascii="Times New Roman;Times;Serif" w:hAnsi="Times New Roman;Times;Serif"/>
          <w:b/>
          <w:color w:val="000000"/>
          <w:sz w:val="17"/>
        </w:rPr>
        <w:t>SILVER SPIKE ACQUISITION CORP.</w:t>
        <w:br/>
        <w:t>BALANCE SHEETS</w:t>
      </w:r>
    </w:p>
    <w:tbl>
      <w:tblPr>
        <w:tblW w:w="5000" w:type="pct"/>
        <w:jc w:val="center"/>
        <w:tblInd w:w="0" w:type="dxa"/>
        <w:tblCellMar>
          <w:top w:w="0" w:type="dxa"/>
          <w:left w:w="0" w:type="dxa"/>
          <w:bottom w:w="0" w:type="dxa"/>
          <w:right w:w="0" w:type="dxa"/>
        </w:tblCellMar>
      </w:tblPr>
      <w:tblGrid>
        <w:gridCol w:w="6472"/>
        <w:gridCol w:w="304"/>
        <w:gridCol w:w="1202"/>
        <w:gridCol w:w="279"/>
        <w:gridCol w:w="304"/>
        <w:gridCol w:w="1057"/>
        <w:gridCol w:w="587"/>
      </w:tblGrid>
      <w:tr>
        <w:trPr/>
        <w:tc>
          <w:tcPr>
            <w:tcW w:w="6472" w:type="dxa"/>
            <w:tcBorders/>
            <w:shd w:fill="auto" w:val="clear"/>
            <w:vAlign w:val="bottom"/>
          </w:tcPr>
          <w:p>
            <w:pPr>
              <w:pStyle w:val="TableContents"/>
              <w:spacing w:before="0" w:after="0"/>
              <w:ind w:left="0" w:right="0" w:firstLine="90"/>
              <w:jc w:val="left"/>
              <w:rPr>
                <w:color w:val="000000"/>
              </w:rPr>
            </w:pPr>
            <w:r>
              <w:rPr>
                <w:color w:val="000000"/>
              </w:rPr>
              <w:t> </w:t>
            </w:r>
          </w:p>
        </w:tc>
        <w:tc>
          <w:tcPr>
            <w:tcW w:w="1785" w:type="dxa"/>
            <w:gridSpan w:val="3"/>
            <w:tcBorders/>
            <w:shd w:fill="auto" w:val="clear"/>
            <w:vAlign w:val="bottom"/>
          </w:tcPr>
          <w:p>
            <w:pPr>
              <w:pStyle w:val="TableContents"/>
              <w:spacing w:before="0" w:after="0"/>
              <w:ind w:left="0" w:right="0" w:firstLine="9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June 30,</w:t>
              <w:br/>
              <w:t xml:space="preserve">2019 </w:t>
            </w:r>
          </w:p>
        </w:tc>
        <w:tc>
          <w:tcPr>
            <w:tcW w:w="1948" w:type="dxa"/>
            <w:gridSpan w:val="3"/>
            <w:tcBorders/>
            <w:shd w:fill="auto" w:val="clear"/>
            <w:vAlign w:val="bottom"/>
          </w:tcPr>
          <w:p>
            <w:pPr>
              <w:pStyle w:val="TableContents"/>
              <w:spacing w:before="0" w:after="0"/>
              <w:ind w:left="0" w:right="0" w:hanging="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June 11,</w:t>
              <w:br/>
              <w:t xml:space="preserve">2019 </w:t>
            </w:r>
          </w:p>
        </w:tc>
      </w:tr>
      <w:tr>
        <w:trPr/>
        <w:tc>
          <w:tcPr>
            <w:tcW w:w="6472" w:type="dxa"/>
            <w:tcBorders/>
            <w:shd w:fill="auto" w:val="clear"/>
            <w:vAlign w:val="bottom"/>
          </w:tcPr>
          <w:p>
            <w:pPr>
              <w:pStyle w:val="TableContents"/>
              <w:spacing w:before="0" w:after="0"/>
              <w:ind w:left="0" w:right="0" w:hanging="0"/>
              <w:jc w:val="left"/>
              <w:rPr>
                <w:color w:val="000000"/>
              </w:rPr>
            </w:pPr>
            <w:r>
              <w:rPr>
                <w:color w:val="000000"/>
              </w:rPr>
              <w:t> </w:t>
            </w:r>
          </w:p>
        </w:tc>
        <w:tc>
          <w:tcPr>
            <w:tcW w:w="1785" w:type="dxa"/>
            <w:gridSpan w:val="3"/>
            <w:tcBorders/>
            <w:shd w:fill="auto" w:val="clear"/>
            <w:vAlign w:val="bottom"/>
          </w:tcPr>
          <w:p>
            <w:pPr>
              <w:pStyle w:val="TableContents"/>
              <w:spacing w:before="0" w:after="0"/>
              <w:ind w:left="0" w:right="0" w:hanging="0"/>
              <w:jc w:val="center"/>
              <w:rPr>
                <w:rFonts w:ascii="Times New Roman;Times;Serif" w:hAnsi="Times New Roman;Times;Serif"/>
                <w:color w:val="000000"/>
                <w:sz w:val="12"/>
              </w:rPr>
            </w:pPr>
            <w:r>
              <w:rPr>
                <w:rFonts w:ascii="Times New Roman;Times;Serif" w:hAnsi="Times New Roman;Times;Serif"/>
                <w:i/>
                <w:color w:val="000000"/>
                <w:sz w:val="12"/>
              </w:rPr>
              <w:t>(Unaudited)</w:t>
            </w:r>
            <w:r>
              <w:rPr>
                <w:rFonts w:ascii="Times New Roman;Times;Serif" w:hAnsi="Times New Roman;Times;Serif"/>
                <w:color w:val="000000"/>
                <w:sz w:val="12"/>
              </w:rPr>
              <w:t xml:space="preserve"> </w:t>
            </w:r>
          </w:p>
        </w:tc>
        <w:tc>
          <w:tcPr>
            <w:tcW w:w="1948" w:type="dxa"/>
            <w:gridSpan w:val="3"/>
            <w:tcBorders/>
            <w:shd w:fill="auto" w:val="clear"/>
            <w:vAlign w:val="bottom"/>
          </w:tcPr>
          <w:p>
            <w:pPr>
              <w:pStyle w:val="TableContents"/>
              <w:spacing w:before="0" w:after="0"/>
              <w:ind w:left="0" w:right="0" w:hanging="0"/>
              <w:jc w:val="center"/>
              <w:rPr>
                <w:rFonts w:ascii="Times New Roman;Times;Serif" w:hAnsi="Times New Roman;Times;Serif"/>
                <w:i/>
                <w:color w:val="000000"/>
                <w:sz w:val="12"/>
              </w:rPr>
            </w:pPr>
            <w:r>
              <w:rPr>
                <w:rFonts w:ascii="Times New Roman;Times;Serif" w:hAnsi="Times New Roman;Times;Serif"/>
                <w:i/>
                <w:color w:val="000000"/>
                <w:sz w:val="12"/>
              </w:rPr>
              <w:t>(Audited)</w:t>
            </w:r>
          </w:p>
        </w:tc>
      </w:tr>
      <w:tr>
        <w:trPr/>
        <w:tc>
          <w:tcPr>
            <w:tcW w:w="6472" w:type="dxa"/>
            <w:tcBorders/>
            <w:shd w:fill="CCEEFF" w:val="clear"/>
            <w:vAlign w:val="bottom"/>
          </w:tcPr>
          <w:p>
            <w:pPr>
              <w:pStyle w:val="TableContents"/>
              <w:spacing w:before="0" w:after="0"/>
              <w:ind w:left="0" w:right="0" w:firstLine="75"/>
              <w:jc w:val="left"/>
              <w:rPr>
                <w:rFonts w:ascii="Times New Roman;Times;Serif" w:hAnsi="Times New Roman;Times;Serif"/>
                <w:b/>
                <w:color w:val="000000"/>
                <w:sz w:val="17"/>
              </w:rPr>
            </w:pPr>
            <w:r>
              <w:rPr>
                <w:rFonts w:ascii="Times New Roman;Times;Serif" w:hAnsi="Times New Roman;Times;Serif"/>
                <w:b/>
                <w:color w:val="000000"/>
                <w:sz w:val="17"/>
              </w:rPr>
              <w:t>ASSETS</w:t>
            </w:r>
          </w:p>
        </w:tc>
        <w:tc>
          <w:tcPr>
            <w:tcW w:w="304" w:type="dxa"/>
            <w:tcBorders/>
            <w:shd w:fill="CCEEFF" w:val="clear"/>
            <w:vAlign w:val="bottom"/>
          </w:tcPr>
          <w:p>
            <w:pPr>
              <w:pStyle w:val="TableContents"/>
              <w:spacing w:before="0" w:after="0"/>
              <w:ind w:left="0" w:right="0" w:hanging="0"/>
              <w:jc w:val="right"/>
              <w:rPr>
                <w:color w:val="000000"/>
              </w:rPr>
            </w:pPr>
            <w:r>
              <w:rPr>
                <w:color w:val="000000"/>
              </w:rPr>
              <w:t> </w:t>
            </w:r>
          </w:p>
        </w:tc>
        <w:tc>
          <w:tcPr>
            <w:tcW w:w="1202" w:type="dxa"/>
            <w:tcBorders/>
            <w:shd w:fill="CCEEFF" w:val="clear"/>
            <w:vAlign w:val="bottom"/>
          </w:tcPr>
          <w:p>
            <w:pPr>
              <w:pStyle w:val="TableContents"/>
              <w:spacing w:before="0" w:after="0"/>
              <w:ind w:left="0" w:right="0" w:hanging="0"/>
              <w:jc w:val="right"/>
              <w:rPr>
                <w:color w:val="000000"/>
              </w:rPr>
            </w:pPr>
            <w:r>
              <w:rPr>
                <w:color w:val="000000"/>
              </w:rPr>
              <w:t> </w:t>
            </w:r>
          </w:p>
        </w:tc>
        <w:tc>
          <w:tcPr>
            <w:tcW w:w="279" w:type="dxa"/>
            <w:tcBorders/>
            <w:shd w:fill="CCEEFF" w:val="clear"/>
            <w:vAlign w:val="bottom"/>
          </w:tcPr>
          <w:p>
            <w:pPr>
              <w:pStyle w:val="TableContents"/>
              <w:spacing w:before="0" w:after="0"/>
              <w:ind w:left="0" w:right="0" w:firstLine="75"/>
              <w:jc w:val="left"/>
              <w:rPr>
                <w:color w:val="000000"/>
              </w:rPr>
            </w:pPr>
            <w:r>
              <w:rPr>
                <w:color w:val="000000"/>
              </w:rPr>
              <w:t> </w:t>
            </w:r>
          </w:p>
        </w:tc>
        <w:tc>
          <w:tcPr>
            <w:tcW w:w="304" w:type="dxa"/>
            <w:tcBorders/>
            <w:shd w:fill="CCEEFF" w:val="clear"/>
            <w:vAlign w:val="bottom"/>
          </w:tcPr>
          <w:p>
            <w:pPr>
              <w:pStyle w:val="TableContents"/>
              <w:spacing w:before="0" w:after="0"/>
              <w:ind w:left="0" w:right="0" w:hanging="0"/>
              <w:jc w:val="right"/>
              <w:rPr>
                <w:color w:val="000000"/>
              </w:rPr>
            </w:pPr>
            <w:r>
              <w:rPr>
                <w:color w:val="000000"/>
              </w:rPr>
              <w:t> </w:t>
            </w:r>
          </w:p>
        </w:tc>
        <w:tc>
          <w:tcPr>
            <w:tcW w:w="1057" w:type="dxa"/>
            <w:tcBorders/>
            <w:shd w:fill="CCEEFF" w:val="clear"/>
            <w:vAlign w:val="bottom"/>
          </w:tcPr>
          <w:p>
            <w:pPr>
              <w:pStyle w:val="TableContents"/>
              <w:spacing w:before="0" w:after="0"/>
              <w:ind w:left="0" w:right="0" w:hanging="0"/>
              <w:jc w:val="right"/>
              <w:rPr>
                <w:color w:val="000000"/>
              </w:rPr>
            </w:pPr>
            <w:r>
              <w:rPr>
                <w:color w:val="000000"/>
              </w:rPr>
              <w:t> </w:t>
            </w:r>
          </w:p>
        </w:tc>
        <w:tc>
          <w:tcPr>
            <w:tcW w:w="587" w:type="dxa"/>
            <w:tcBorders/>
            <w:shd w:fill="CCEEFF" w:val="clear"/>
            <w:vAlign w:val="bottom"/>
          </w:tcPr>
          <w:p>
            <w:pPr>
              <w:pStyle w:val="TableContents"/>
              <w:spacing w:before="0" w:after="0"/>
              <w:ind w:left="0" w:right="0" w:hanging="0"/>
              <w:jc w:val="left"/>
              <w:rPr>
                <w:color w:val="000000"/>
              </w:rPr>
            </w:pPr>
            <w:r>
              <w:rPr>
                <w:color w:val="000000"/>
              </w:rPr>
              <w:t> </w:t>
            </w:r>
          </w:p>
        </w:tc>
      </w:tr>
      <w:tr>
        <w:trPr/>
        <w:tc>
          <w:tcPr>
            <w:tcW w:w="6472" w:type="dxa"/>
            <w:tcBorders/>
            <w:shd w:fill="auto"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Deferred offering costs</w:t>
            </w:r>
          </w:p>
        </w:tc>
        <w:tc>
          <w:tcPr>
            <w:tcW w:w="304"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w:t>
            </w:r>
          </w:p>
        </w:tc>
        <w:tc>
          <w:tcPr>
            <w:tcW w:w="1202"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315,281</w:t>
            </w:r>
          </w:p>
        </w:tc>
        <w:tc>
          <w:tcPr>
            <w:tcW w:w="279" w:type="dxa"/>
            <w:tcBorders/>
            <w:shd w:fill="auto" w:val="clear"/>
            <w:vAlign w:val="bottom"/>
          </w:tcPr>
          <w:p>
            <w:pPr>
              <w:pStyle w:val="TableContents"/>
              <w:spacing w:before="0" w:after="0"/>
              <w:ind w:left="0" w:right="0" w:firstLine="75"/>
              <w:jc w:val="left"/>
              <w:rPr>
                <w:color w:val="000000"/>
              </w:rPr>
            </w:pPr>
            <w:r>
              <w:rPr>
                <w:color w:val="000000"/>
              </w:rPr>
              <w:t> </w:t>
            </w:r>
          </w:p>
        </w:tc>
        <w:tc>
          <w:tcPr>
            <w:tcW w:w="304"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w:t>
            </w:r>
          </w:p>
        </w:tc>
        <w:tc>
          <w:tcPr>
            <w:tcW w:w="1057"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32,500</w:t>
            </w:r>
          </w:p>
        </w:tc>
        <w:tc>
          <w:tcPr>
            <w:tcW w:w="587" w:type="dxa"/>
            <w:tcBorders/>
            <w:shd w:fill="auto" w:val="clear"/>
            <w:vAlign w:val="bottom"/>
          </w:tcPr>
          <w:p>
            <w:pPr>
              <w:pStyle w:val="TableContents"/>
              <w:spacing w:before="0" w:after="0"/>
              <w:ind w:left="0" w:right="0" w:hanging="0"/>
              <w:jc w:val="left"/>
              <w:rPr>
                <w:color w:val="000000"/>
              </w:rPr>
            </w:pPr>
            <w:r>
              <w:rPr>
                <w:color w:val="000000"/>
              </w:rPr>
              <w:t> </w:t>
            </w:r>
          </w:p>
        </w:tc>
      </w:tr>
      <w:tr>
        <w:trPr/>
        <w:tc>
          <w:tcPr>
            <w:tcW w:w="6472" w:type="dxa"/>
            <w:tcBorders/>
            <w:shd w:fill="CCEEFF" w:val="clear"/>
            <w:vAlign w:val="bottom"/>
          </w:tcPr>
          <w:p>
            <w:pPr>
              <w:pStyle w:val="TableContents"/>
              <w:spacing w:before="0" w:after="0"/>
              <w:ind w:left="0" w:right="0" w:firstLine="75"/>
              <w:jc w:val="left"/>
              <w:rPr>
                <w:rFonts w:ascii="Times New Roman;Times;Serif" w:hAnsi="Times New Roman;Times;Serif"/>
                <w:b/>
                <w:color w:val="000000"/>
                <w:sz w:val="17"/>
              </w:rPr>
            </w:pPr>
            <w:r>
              <w:rPr>
                <w:rFonts w:ascii="Times New Roman;Times;Serif" w:hAnsi="Times New Roman;Times;Serif"/>
                <w:b/>
                <w:color w:val="000000"/>
                <w:sz w:val="17"/>
              </w:rPr>
              <w:t>Total Assets</w:t>
            </w:r>
          </w:p>
        </w:tc>
        <w:tc>
          <w:tcPr>
            <w:tcW w:w="304"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w:t>
            </w:r>
          </w:p>
        </w:tc>
        <w:tc>
          <w:tcPr>
            <w:tcW w:w="1202"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315,281</w:t>
            </w:r>
          </w:p>
        </w:tc>
        <w:tc>
          <w:tcPr>
            <w:tcW w:w="279" w:type="dxa"/>
            <w:tcBorders/>
            <w:shd w:fill="CCEEFF" w:val="clear"/>
            <w:vAlign w:val="bottom"/>
          </w:tcPr>
          <w:p>
            <w:pPr>
              <w:pStyle w:val="TableContents"/>
              <w:spacing w:before="0" w:after="0"/>
              <w:ind w:left="0" w:right="0" w:firstLine="75"/>
              <w:jc w:val="left"/>
              <w:rPr>
                <w:color w:val="000000"/>
              </w:rPr>
            </w:pPr>
            <w:r>
              <w:rPr>
                <w:color w:val="000000"/>
              </w:rPr>
              <w:t> </w:t>
            </w:r>
          </w:p>
        </w:tc>
        <w:tc>
          <w:tcPr>
            <w:tcW w:w="304"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w:t>
            </w:r>
          </w:p>
        </w:tc>
        <w:tc>
          <w:tcPr>
            <w:tcW w:w="1057"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32,500</w:t>
            </w:r>
          </w:p>
        </w:tc>
        <w:tc>
          <w:tcPr>
            <w:tcW w:w="587" w:type="dxa"/>
            <w:tcBorders/>
            <w:shd w:fill="CCEEFF" w:val="clear"/>
            <w:vAlign w:val="bottom"/>
          </w:tcPr>
          <w:p>
            <w:pPr>
              <w:pStyle w:val="TableContents"/>
              <w:spacing w:before="0" w:after="0"/>
              <w:ind w:left="0" w:right="0" w:hanging="0"/>
              <w:jc w:val="left"/>
              <w:rPr>
                <w:color w:val="000000"/>
              </w:rPr>
            </w:pPr>
            <w:r>
              <w:rPr>
                <w:color w:val="000000"/>
              </w:rPr>
              <w:t> </w:t>
            </w:r>
          </w:p>
        </w:tc>
      </w:tr>
      <w:tr>
        <w:trPr/>
        <w:tc>
          <w:tcPr>
            <w:tcW w:w="6472" w:type="dxa"/>
            <w:tcBorders/>
            <w:shd w:fill="auto" w:val="clear"/>
            <w:vAlign w:val="bottom"/>
          </w:tcPr>
          <w:p>
            <w:pPr>
              <w:pStyle w:val="TableContents"/>
              <w:spacing w:before="0" w:after="0"/>
              <w:ind w:left="0" w:right="0" w:firstLine="75"/>
              <w:jc w:val="left"/>
              <w:rPr>
                <w:color w:val="000000"/>
              </w:rPr>
            </w:pPr>
            <w:r>
              <w:rPr>
                <w:color w:val="000000"/>
              </w:rPr>
              <w:t> </w:t>
            </w:r>
          </w:p>
        </w:tc>
        <w:tc>
          <w:tcPr>
            <w:tcW w:w="304" w:type="dxa"/>
            <w:tcBorders/>
            <w:shd w:fill="auto" w:val="clear"/>
            <w:vAlign w:val="bottom"/>
          </w:tcPr>
          <w:p>
            <w:pPr>
              <w:pStyle w:val="TableContents"/>
              <w:spacing w:before="0" w:after="0"/>
              <w:ind w:left="0" w:right="0" w:hanging="0"/>
              <w:jc w:val="right"/>
              <w:rPr>
                <w:color w:val="000000"/>
              </w:rPr>
            </w:pPr>
            <w:r>
              <w:rPr>
                <w:color w:val="000000"/>
              </w:rPr>
              <w:t> </w:t>
            </w:r>
          </w:p>
        </w:tc>
        <w:tc>
          <w:tcPr>
            <w:tcW w:w="1202" w:type="dxa"/>
            <w:tcBorders/>
            <w:shd w:fill="auto" w:val="clear"/>
            <w:vAlign w:val="bottom"/>
          </w:tcPr>
          <w:p>
            <w:pPr>
              <w:pStyle w:val="TableContents"/>
              <w:spacing w:before="0" w:after="0"/>
              <w:ind w:left="0" w:right="0" w:hanging="0"/>
              <w:jc w:val="right"/>
              <w:rPr>
                <w:color w:val="000000"/>
              </w:rPr>
            </w:pPr>
            <w:r>
              <w:rPr>
                <w:color w:val="000000"/>
              </w:rPr>
              <w:t> </w:t>
            </w:r>
          </w:p>
        </w:tc>
        <w:tc>
          <w:tcPr>
            <w:tcW w:w="279" w:type="dxa"/>
            <w:tcBorders/>
            <w:shd w:fill="auto" w:val="clear"/>
            <w:vAlign w:val="bottom"/>
          </w:tcPr>
          <w:p>
            <w:pPr>
              <w:pStyle w:val="TableContents"/>
              <w:spacing w:before="0" w:after="0"/>
              <w:ind w:left="0" w:right="0" w:firstLine="75"/>
              <w:jc w:val="left"/>
              <w:rPr>
                <w:color w:val="000000"/>
              </w:rPr>
            </w:pPr>
            <w:r>
              <w:rPr>
                <w:color w:val="000000"/>
              </w:rPr>
              <w:t> </w:t>
            </w:r>
          </w:p>
        </w:tc>
        <w:tc>
          <w:tcPr>
            <w:tcW w:w="304" w:type="dxa"/>
            <w:tcBorders/>
            <w:shd w:fill="auto" w:val="clear"/>
            <w:vAlign w:val="bottom"/>
          </w:tcPr>
          <w:p>
            <w:pPr>
              <w:pStyle w:val="TableContents"/>
              <w:spacing w:before="0" w:after="0"/>
              <w:ind w:left="0" w:right="0" w:hanging="0"/>
              <w:jc w:val="right"/>
              <w:rPr>
                <w:color w:val="000000"/>
              </w:rPr>
            </w:pPr>
            <w:r>
              <w:rPr>
                <w:color w:val="000000"/>
              </w:rPr>
              <w:t> </w:t>
            </w:r>
          </w:p>
        </w:tc>
        <w:tc>
          <w:tcPr>
            <w:tcW w:w="1057" w:type="dxa"/>
            <w:tcBorders/>
            <w:shd w:fill="auto" w:val="clear"/>
            <w:vAlign w:val="bottom"/>
          </w:tcPr>
          <w:p>
            <w:pPr>
              <w:pStyle w:val="TableContents"/>
              <w:spacing w:before="0" w:after="0"/>
              <w:ind w:left="0" w:right="0" w:hanging="0"/>
              <w:jc w:val="right"/>
              <w:rPr>
                <w:color w:val="000000"/>
              </w:rPr>
            </w:pPr>
            <w:r>
              <w:rPr>
                <w:color w:val="000000"/>
              </w:rPr>
              <w:t> </w:t>
            </w:r>
          </w:p>
        </w:tc>
        <w:tc>
          <w:tcPr>
            <w:tcW w:w="587" w:type="dxa"/>
            <w:tcBorders/>
            <w:shd w:fill="auto" w:val="clear"/>
            <w:vAlign w:val="bottom"/>
          </w:tcPr>
          <w:p>
            <w:pPr>
              <w:pStyle w:val="TableContents"/>
              <w:spacing w:before="0" w:after="0"/>
              <w:ind w:left="0" w:right="0" w:hanging="0"/>
              <w:jc w:val="left"/>
              <w:rPr>
                <w:color w:val="000000"/>
              </w:rPr>
            </w:pPr>
            <w:r>
              <w:rPr>
                <w:color w:val="000000"/>
              </w:rPr>
              <w:t> </w:t>
            </w:r>
          </w:p>
        </w:tc>
      </w:tr>
      <w:tr>
        <w:trPr/>
        <w:tc>
          <w:tcPr>
            <w:tcW w:w="6472" w:type="dxa"/>
            <w:tcBorders/>
            <w:shd w:fill="CCEEFF" w:val="clear"/>
            <w:vAlign w:val="bottom"/>
          </w:tcPr>
          <w:p>
            <w:pPr>
              <w:pStyle w:val="TableContents"/>
              <w:spacing w:before="0" w:after="0"/>
              <w:ind w:left="0" w:right="0" w:firstLine="75"/>
              <w:jc w:val="left"/>
              <w:rPr>
                <w:rFonts w:ascii="Times New Roman;Times;Serif" w:hAnsi="Times New Roman;Times;Serif"/>
                <w:b/>
                <w:color w:val="000000"/>
                <w:sz w:val="17"/>
              </w:rPr>
            </w:pPr>
            <w:r>
              <w:rPr>
                <w:rFonts w:ascii="Times New Roman;Times;Serif" w:hAnsi="Times New Roman;Times;Serif"/>
                <w:b/>
                <w:color w:val="000000"/>
                <w:sz w:val="17"/>
              </w:rPr>
              <w:t>LIABILITIES AND SHAREHOLDER'S EQUITY</w:t>
            </w:r>
          </w:p>
        </w:tc>
        <w:tc>
          <w:tcPr>
            <w:tcW w:w="304" w:type="dxa"/>
            <w:tcBorders/>
            <w:shd w:fill="CCEEFF" w:val="clear"/>
            <w:vAlign w:val="bottom"/>
          </w:tcPr>
          <w:p>
            <w:pPr>
              <w:pStyle w:val="TableContents"/>
              <w:spacing w:before="0" w:after="0"/>
              <w:ind w:left="0" w:right="0" w:hanging="0"/>
              <w:jc w:val="right"/>
              <w:rPr>
                <w:color w:val="000000"/>
              </w:rPr>
            </w:pPr>
            <w:r>
              <w:rPr>
                <w:color w:val="000000"/>
              </w:rPr>
              <w:t> </w:t>
            </w:r>
          </w:p>
        </w:tc>
        <w:tc>
          <w:tcPr>
            <w:tcW w:w="1202" w:type="dxa"/>
            <w:tcBorders/>
            <w:shd w:fill="CCEEFF" w:val="clear"/>
            <w:vAlign w:val="bottom"/>
          </w:tcPr>
          <w:p>
            <w:pPr>
              <w:pStyle w:val="TableContents"/>
              <w:spacing w:before="0" w:after="0"/>
              <w:ind w:left="0" w:right="0" w:hanging="0"/>
              <w:jc w:val="right"/>
              <w:rPr>
                <w:color w:val="000000"/>
              </w:rPr>
            </w:pPr>
            <w:r>
              <w:rPr>
                <w:color w:val="000000"/>
              </w:rPr>
              <w:t> </w:t>
            </w:r>
          </w:p>
        </w:tc>
        <w:tc>
          <w:tcPr>
            <w:tcW w:w="279" w:type="dxa"/>
            <w:tcBorders/>
            <w:shd w:fill="CCEEFF" w:val="clear"/>
            <w:vAlign w:val="bottom"/>
          </w:tcPr>
          <w:p>
            <w:pPr>
              <w:pStyle w:val="TableContents"/>
              <w:spacing w:before="0" w:after="0"/>
              <w:ind w:left="0" w:right="0" w:firstLine="75"/>
              <w:jc w:val="left"/>
              <w:rPr>
                <w:color w:val="000000"/>
              </w:rPr>
            </w:pPr>
            <w:r>
              <w:rPr>
                <w:color w:val="000000"/>
              </w:rPr>
              <w:t> </w:t>
            </w:r>
          </w:p>
        </w:tc>
        <w:tc>
          <w:tcPr>
            <w:tcW w:w="304" w:type="dxa"/>
            <w:tcBorders/>
            <w:shd w:fill="CCEEFF" w:val="clear"/>
            <w:vAlign w:val="bottom"/>
          </w:tcPr>
          <w:p>
            <w:pPr>
              <w:pStyle w:val="TableContents"/>
              <w:spacing w:before="0" w:after="0"/>
              <w:ind w:left="0" w:right="0" w:hanging="0"/>
              <w:jc w:val="right"/>
              <w:rPr>
                <w:color w:val="000000"/>
              </w:rPr>
            </w:pPr>
            <w:r>
              <w:rPr>
                <w:color w:val="000000"/>
              </w:rPr>
              <w:t> </w:t>
            </w:r>
          </w:p>
        </w:tc>
        <w:tc>
          <w:tcPr>
            <w:tcW w:w="1057" w:type="dxa"/>
            <w:tcBorders/>
            <w:shd w:fill="CCEEFF" w:val="clear"/>
            <w:vAlign w:val="bottom"/>
          </w:tcPr>
          <w:p>
            <w:pPr>
              <w:pStyle w:val="TableContents"/>
              <w:spacing w:before="0" w:after="0"/>
              <w:ind w:left="0" w:right="0" w:hanging="0"/>
              <w:jc w:val="right"/>
              <w:rPr>
                <w:color w:val="000000"/>
              </w:rPr>
            </w:pPr>
            <w:r>
              <w:rPr>
                <w:color w:val="000000"/>
              </w:rPr>
              <w:t> </w:t>
            </w:r>
          </w:p>
        </w:tc>
        <w:tc>
          <w:tcPr>
            <w:tcW w:w="587" w:type="dxa"/>
            <w:tcBorders/>
            <w:shd w:fill="CCEEFF" w:val="clear"/>
            <w:vAlign w:val="bottom"/>
          </w:tcPr>
          <w:p>
            <w:pPr>
              <w:pStyle w:val="TableContents"/>
              <w:spacing w:before="0" w:after="0"/>
              <w:ind w:left="0" w:right="0" w:hanging="0"/>
              <w:jc w:val="left"/>
              <w:rPr>
                <w:color w:val="000000"/>
              </w:rPr>
            </w:pPr>
            <w:r>
              <w:rPr>
                <w:color w:val="000000"/>
              </w:rPr>
              <w:t> </w:t>
            </w:r>
          </w:p>
        </w:tc>
      </w:tr>
      <w:tr>
        <w:trPr/>
        <w:tc>
          <w:tcPr>
            <w:tcW w:w="6472" w:type="dxa"/>
            <w:tcBorders/>
            <w:shd w:fill="auto"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Current liabilities</w:t>
            </w:r>
          </w:p>
        </w:tc>
        <w:tc>
          <w:tcPr>
            <w:tcW w:w="304" w:type="dxa"/>
            <w:tcBorders/>
            <w:shd w:fill="auto" w:val="clear"/>
            <w:vAlign w:val="bottom"/>
          </w:tcPr>
          <w:p>
            <w:pPr>
              <w:pStyle w:val="TableContents"/>
              <w:spacing w:before="0" w:after="0"/>
              <w:ind w:left="0" w:right="0" w:hanging="0"/>
              <w:jc w:val="right"/>
              <w:rPr>
                <w:color w:val="000000"/>
              </w:rPr>
            </w:pPr>
            <w:r>
              <w:rPr>
                <w:color w:val="000000"/>
              </w:rPr>
              <w:t> </w:t>
            </w:r>
          </w:p>
        </w:tc>
        <w:tc>
          <w:tcPr>
            <w:tcW w:w="1202" w:type="dxa"/>
            <w:tcBorders/>
            <w:shd w:fill="auto" w:val="clear"/>
            <w:vAlign w:val="bottom"/>
          </w:tcPr>
          <w:p>
            <w:pPr>
              <w:pStyle w:val="TableContents"/>
              <w:spacing w:before="0" w:after="0"/>
              <w:ind w:left="0" w:right="0" w:hanging="0"/>
              <w:jc w:val="right"/>
              <w:rPr>
                <w:color w:val="000000"/>
              </w:rPr>
            </w:pPr>
            <w:r>
              <w:rPr>
                <w:color w:val="000000"/>
              </w:rPr>
              <w:t> </w:t>
            </w:r>
          </w:p>
        </w:tc>
        <w:tc>
          <w:tcPr>
            <w:tcW w:w="279" w:type="dxa"/>
            <w:tcBorders/>
            <w:shd w:fill="auto" w:val="clear"/>
            <w:vAlign w:val="bottom"/>
          </w:tcPr>
          <w:p>
            <w:pPr>
              <w:pStyle w:val="TableContents"/>
              <w:spacing w:before="0" w:after="0"/>
              <w:ind w:left="0" w:right="0" w:firstLine="75"/>
              <w:jc w:val="left"/>
              <w:rPr>
                <w:color w:val="000000"/>
              </w:rPr>
            </w:pPr>
            <w:r>
              <w:rPr>
                <w:color w:val="000000"/>
              </w:rPr>
              <w:t> </w:t>
            </w:r>
          </w:p>
        </w:tc>
        <w:tc>
          <w:tcPr>
            <w:tcW w:w="304" w:type="dxa"/>
            <w:tcBorders/>
            <w:shd w:fill="auto" w:val="clear"/>
            <w:vAlign w:val="bottom"/>
          </w:tcPr>
          <w:p>
            <w:pPr>
              <w:pStyle w:val="TableContents"/>
              <w:spacing w:before="0" w:after="0"/>
              <w:ind w:left="0" w:right="0" w:hanging="0"/>
              <w:jc w:val="right"/>
              <w:rPr>
                <w:color w:val="000000"/>
              </w:rPr>
            </w:pPr>
            <w:r>
              <w:rPr>
                <w:color w:val="000000"/>
              </w:rPr>
              <w:t> </w:t>
            </w:r>
          </w:p>
        </w:tc>
        <w:tc>
          <w:tcPr>
            <w:tcW w:w="1057" w:type="dxa"/>
            <w:tcBorders/>
            <w:shd w:fill="auto" w:val="clear"/>
            <w:vAlign w:val="bottom"/>
          </w:tcPr>
          <w:p>
            <w:pPr>
              <w:pStyle w:val="TableContents"/>
              <w:spacing w:before="0" w:after="0"/>
              <w:ind w:left="0" w:right="0" w:hanging="0"/>
              <w:jc w:val="right"/>
              <w:rPr>
                <w:color w:val="000000"/>
              </w:rPr>
            </w:pPr>
            <w:r>
              <w:rPr>
                <w:color w:val="000000"/>
              </w:rPr>
              <w:t> </w:t>
            </w:r>
          </w:p>
        </w:tc>
        <w:tc>
          <w:tcPr>
            <w:tcW w:w="587" w:type="dxa"/>
            <w:tcBorders/>
            <w:shd w:fill="auto" w:val="clear"/>
            <w:vAlign w:val="bottom"/>
          </w:tcPr>
          <w:p>
            <w:pPr>
              <w:pStyle w:val="TableContents"/>
              <w:spacing w:before="0" w:after="0"/>
              <w:ind w:left="0" w:right="0" w:firstLine="195"/>
              <w:jc w:val="left"/>
              <w:rPr>
                <w:color w:val="000000"/>
              </w:rPr>
            </w:pPr>
            <w:r>
              <w:rPr>
                <w:color w:val="000000"/>
              </w:rPr>
              <w:t> </w:t>
            </w:r>
          </w:p>
        </w:tc>
      </w:tr>
      <w:tr>
        <w:trPr/>
        <w:tc>
          <w:tcPr>
            <w:tcW w:w="6472" w:type="dxa"/>
            <w:tcBorders/>
            <w:shd w:fill="CCEEFF"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Accrued offering costs</w:t>
            </w:r>
          </w:p>
        </w:tc>
        <w:tc>
          <w:tcPr>
            <w:tcW w:w="304"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w:t>
            </w:r>
          </w:p>
        </w:tc>
        <w:tc>
          <w:tcPr>
            <w:tcW w:w="1202"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226,656</w:t>
            </w:r>
          </w:p>
        </w:tc>
        <w:tc>
          <w:tcPr>
            <w:tcW w:w="279" w:type="dxa"/>
            <w:tcBorders/>
            <w:shd w:fill="CCEEFF" w:val="clear"/>
            <w:vAlign w:val="bottom"/>
          </w:tcPr>
          <w:p>
            <w:pPr>
              <w:pStyle w:val="TableContents"/>
              <w:spacing w:before="0" w:after="0"/>
              <w:ind w:left="0" w:right="0" w:firstLine="75"/>
              <w:jc w:val="left"/>
              <w:rPr>
                <w:color w:val="000000"/>
              </w:rPr>
            </w:pPr>
            <w:r>
              <w:rPr>
                <w:color w:val="000000"/>
              </w:rPr>
              <w:t> </w:t>
            </w:r>
          </w:p>
        </w:tc>
        <w:tc>
          <w:tcPr>
            <w:tcW w:w="304" w:type="dxa"/>
            <w:tcBorders/>
            <w:shd w:fill="CCEEFF" w:val="clear"/>
            <w:vAlign w:val="bottom"/>
          </w:tcPr>
          <w:p>
            <w:pPr>
              <w:pStyle w:val="TableContents"/>
              <w:spacing w:before="0" w:after="0"/>
              <w:ind w:left="0" w:right="0" w:hanging="0"/>
              <w:jc w:val="right"/>
              <w:rPr>
                <w:color w:val="000000"/>
              </w:rPr>
            </w:pPr>
            <w:r>
              <w:rPr>
                <w:color w:val="000000"/>
              </w:rPr>
              <w:t> </w:t>
            </w:r>
          </w:p>
        </w:tc>
        <w:tc>
          <w:tcPr>
            <w:tcW w:w="1057" w:type="dxa"/>
            <w:tcBorders/>
            <w:shd w:fill="CCEEFF" w:val="clear"/>
            <w:vAlign w:val="bottom"/>
          </w:tcPr>
          <w:p>
            <w:pPr>
              <w:pStyle w:val="TableContents"/>
              <w:spacing w:before="0" w:after="0"/>
              <w:ind w:left="0" w:right="0" w:hanging="0"/>
              <w:jc w:val="right"/>
              <w:rPr>
                <w:color w:val="000000"/>
              </w:rPr>
            </w:pPr>
            <w:r>
              <w:rPr>
                <w:color w:val="000000"/>
              </w:rPr>
              <w:t>—</w:t>
            </w:r>
          </w:p>
        </w:tc>
        <w:tc>
          <w:tcPr>
            <w:tcW w:w="587" w:type="dxa"/>
            <w:tcBorders/>
            <w:shd w:fill="CCEEFF" w:val="clear"/>
            <w:vAlign w:val="bottom"/>
          </w:tcPr>
          <w:p>
            <w:pPr>
              <w:pStyle w:val="TableContents"/>
              <w:spacing w:before="0" w:after="0"/>
              <w:ind w:left="0" w:right="0" w:firstLine="195"/>
              <w:jc w:val="left"/>
              <w:rPr>
                <w:color w:val="000000"/>
              </w:rPr>
            </w:pPr>
            <w:r>
              <w:rPr>
                <w:color w:val="000000"/>
              </w:rPr>
              <w:t> </w:t>
            </w:r>
          </w:p>
        </w:tc>
      </w:tr>
      <w:tr>
        <w:trPr/>
        <w:tc>
          <w:tcPr>
            <w:tcW w:w="6472" w:type="dxa"/>
            <w:tcBorders/>
            <w:shd w:fill="auto"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Promissory note – related party</w:t>
            </w:r>
          </w:p>
        </w:tc>
        <w:tc>
          <w:tcPr>
            <w:tcW w:w="304" w:type="dxa"/>
            <w:tcBorders/>
            <w:shd w:fill="auto" w:val="clear"/>
            <w:vAlign w:val="bottom"/>
          </w:tcPr>
          <w:p>
            <w:pPr>
              <w:pStyle w:val="TableContents"/>
              <w:spacing w:before="0" w:after="0"/>
              <w:ind w:left="0" w:right="0" w:hanging="0"/>
              <w:jc w:val="right"/>
              <w:rPr>
                <w:color w:val="000000"/>
                <w:bdr w:val="single" w:sz="8" w:space="1" w:color="000000"/>
              </w:rPr>
            </w:pPr>
            <w:r>
              <w:rPr>
                <w:color w:val="000000"/>
                <w:bdr w:val="single" w:sz="8" w:space="1" w:color="000000"/>
              </w:rPr>
              <w:t> </w:t>
            </w:r>
          </w:p>
        </w:tc>
        <w:tc>
          <w:tcPr>
            <w:tcW w:w="1202"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68,625</w:t>
            </w:r>
          </w:p>
        </w:tc>
        <w:tc>
          <w:tcPr>
            <w:tcW w:w="279" w:type="dxa"/>
            <w:tcBorders/>
            <w:shd w:fill="auto" w:val="clear"/>
            <w:vAlign w:val="bottom"/>
          </w:tcPr>
          <w:p>
            <w:pPr>
              <w:pStyle w:val="TableContents"/>
              <w:spacing w:before="0" w:after="0"/>
              <w:ind w:left="0" w:right="0" w:firstLine="75"/>
              <w:jc w:val="left"/>
              <w:rPr>
                <w:color w:val="000000"/>
              </w:rPr>
            </w:pPr>
            <w:r>
              <w:rPr>
                <w:color w:val="000000"/>
              </w:rPr>
              <w:t> </w:t>
            </w:r>
          </w:p>
        </w:tc>
        <w:tc>
          <w:tcPr>
            <w:tcW w:w="304" w:type="dxa"/>
            <w:tcBorders/>
            <w:shd w:fill="auto" w:val="clear"/>
            <w:vAlign w:val="bottom"/>
          </w:tcPr>
          <w:p>
            <w:pPr>
              <w:pStyle w:val="TableContents"/>
              <w:spacing w:before="0" w:after="0"/>
              <w:ind w:left="0" w:right="0" w:hanging="0"/>
              <w:jc w:val="right"/>
              <w:rPr>
                <w:color w:val="000000"/>
                <w:bdr w:val="single" w:sz="8" w:space="1" w:color="000000"/>
              </w:rPr>
            </w:pPr>
            <w:r>
              <w:rPr>
                <w:color w:val="000000"/>
                <w:bdr w:val="single" w:sz="8" w:space="1" w:color="000000"/>
              </w:rPr>
              <w:t> </w:t>
            </w:r>
          </w:p>
        </w:tc>
        <w:tc>
          <w:tcPr>
            <w:tcW w:w="1057"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12,500</w:t>
            </w:r>
          </w:p>
        </w:tc>
        <w:tc>
          <w:tcPr>
            <w:tcW w:w="587" w:type="dxa"/>
            <w:tcBorders/>
            <w:shd w:fill="auto" w:val="clear"/>
            <w:vAlign w:val="bottom"/>
          </w:tcPr>
          <w:p>
            <w:pPr>
              <w:pStyle w:val="TableContents"/>
              <w:spacing w:before="0" w:after="0"/>
              <w:ind w:left="0" w:right="0" w:hanging="0"/>
              <w:jc w:val="left"/>
              <w:rPr>
                <w:color w:val="000000"/>
              </w:rPr>
            </w:pPr>
            <w:r>
              <w:rPr>
                <w:color w:val="000000"/>
              </w:rPr>
              <w:t> </w:t>
            </w:r>
          </w:p>
        </w:tc>
      </w:tr>
      <w:tr>
        <w:trPr/>
        <w:tc>
          <w:tcPr>
            <w:tcW w:w="6472" w:type="dxa"/>
            <w:tcBorders/>
            <w:shd w:fill="CCEEFF" w:val="clear"/>
            <w:vAlign w:val="bottom"/>
          </w:tcPr>
          <w:p>
            <w:pPr>
              <w:pStyle w:val="TableContents"/>
              <w:spacing w:before="0" w:after="0"/>
              <w:ind w:left="0" w:right="0" w:firstLine="75"/>
              <w:jc w:val="left"/>
              <w:rPr>
                <w:rFonts w:ascii="Times New Roman;Times;Serif" w:hAnsi="Times New Roman;Times;Serif"/>
                <w:b/>
                <w:color w:val="000000"/>
                <w:sz w:val="17"/>
              </w:rPr>
            </w:pPr>
            <w:r>
              <w:rPr>
                <w:rFonts w:ascii="Times New Roman;Times;Serif" w:hAnsi="Times New Roman;Times;Serif"/>
                <w:b/>
                <w:color w:val="000000"/>
                <w:sz w:val="17"/>
              </w:rPr>
              <w:t>Total Current Liabilities</w:t>
            </w:r>
          </w:p>
        </w:tc>
        <w:tc>
          <w:tcPr>
            <w:tcW w:w="304" w:type="dxa"/>
            <w:tcBorders/>
            <w:shd w:fill="CCEEFF" w:val="clear"/>
            <w:vAlign w:val="bottom"/>
          </w:tcPr>
          <w:p>
            <w:pPr>
              <w:pStyle w:val="TableContents"/>
              <w:spacing w:before="0" w:after="0"/>
              <w:ind w:left="0" w:right="0" w:hanging="0"/>
              <w:jc w:val="right"/>
              <w:rPr>
                <w:color w:val="000000"/>
                <w:bdr w:val="single" w:sz="8" w:space="1" w:color="000000"/>
              </w:rPr>
            </w:pPr>
            <w:r>
              <w:rPr>
                <w:color w:val="000000"/>
                <w:bdr w:val="single" w:sz="8" w:space="1" w:color="000000"/>
              </w:rPr>
              <w:t> </w:t>
            </w:r>
          </w:p>
        </w:tc>
        <w:tc>
          <w:tcPr>
            <w:tcW w:w="1202"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295,281</w:t>
            </w:r>
          </w:p>
        </w:tc>
        <w:tc>
          <w:tcPr>
            <w:tcW w:w="279" w:type="dxa"/>
            <w:tcBorders/>
            <w:shd w:fill="CCEEFF" w:val="clear"/>
            <w:vAlign w:val="bottom"/>
          </w:tcPr>
          <w:p>
            <w:pPr>
              <w:pStyle w:val="TableContents"/>
              <w:spacing w:before="0" w:after="0"/>
              <w:ind w:left="0" w:right="0" w:firstLine="75"/>
              <w:jc w:val="left"/>
              <w:rPr>
                <w:color w:val="000000"/>
              </w:rPr>
            </w:pPr>
            <w:r>
              <w:rPr>
                <w:color w:val="000000"/>
              </w:rPr>
              <w:t> </w:t>
            </w:r>
          </w:p>
        </w:tc>
        <w:tc>
          <w:tcPr>
            <w:tcW w:w="304" w:type="dxa"/>
            <w:tcBorders/>
            <w:shd w:fill="CCEEFF" w:val="clear"/>
            <w:vAlign w:val="bottom"/>
          </w:tcPr>
          <w:p>
            <w:pPr>
              <w:pStyle w:val="TableContents"/>
              <w:spacing w:before="0" w:after="0"/>
              <w:ind w:left="0" w:right="0" w:hanging="0"/>
              <w:jc w:val="right"/>
              <w:rPr>
                <w:color w:val="000000"/>
                <w:bdr w:val="single" w:sz="8" w:space="1" w:color="000000"/>
              </w:rPr>
            </w:pPr>
            <w:r>
              <w:rPr>
                <w:color w:val="000000"/>
                <w:bdr w:val="single" w:sz="8" w:space="1" w:color="000000"/>
              </w:rPr>
              <w:t> </w:t>
            </w:r>
          </w:p>
        </w:tc>
        <w:tc>
          <w:tcPr>
            <w:tcW w:w="1057"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12,500</w:t>
            </w:r>
          </w:p>
        </w:tc>
        <w:tc>
          <w:tcPr>
            <w:tcW w:w="587" w:type="dxa"/>
            <w:tcBorders/>
            <w:shd w:fill="CCEEFF" w:val="clear"/>
            <w:vAlign w:val="bottom"/>
          </w:tcPr>
          <w:p>
            <w:pPr>
              <w:pStyle w:val="TableContents"/>
              <w:spacing w:before="0" w:after="0"/>
              <w:ind w:left="0" w:right="0" w:hanging="0"/>
              <w:jc w:val="left"/>
              <w:rPr>
                <w:color w:val="000000"/>
              </w:rPr>
            </w:pPr>
            <w:r>
              <w:rPr>
                <w:color w:val="000000"/>
              </w:rPr>
              <w:t> </w:t>
            </w:r>
          </w:p>
        </w:tc>
      </w:tr>
      <w:tr>
        <w:trPr/>
        <w:tc>
          <w:tcPr>
            <w:tcW w:w="6472" w:type="dxa"/>
            <w:tcBorders/>
            <w:shd w:fill="auto" w:val="clear"/>
            <w:vAlign w:val="bottom"/>
          </w:tcPr>
          <w:p>
            <w:pPr>
              <w:pStyle w:val="TableContents"/>
              <w:spacing w:before="0" w:after="0"/>
              <w:ind w:left="0" w:right="0" w:firstLine="75"/>
              <w:jc w:val="left"/>
              <w:rPr>
                <w:color w:val="000000"/>
              </w:rPr>
            </w:pPr>
            <w:r>
              <w:rPr>
                <w:color w:val="000000"/>
              </w:rPr>
              <w:t> </w:t>
            </w:r>
          </w:p>
        </w:tc>
        <w:tc>
          <w:tcPr>
            <w:tcW w:w="304" w:type="dxa"/>
            <w:tcBorders/>
            <w:shd w:fill="auto" w:val="clear"/>
            <w:vAlign w:val="bottom"/>
          </w:tcPr>
          <w:p>
            <w:pPr>
              <w:pStyle w:val="TableContents"/>
              <w:spacing w:before="0" w:after="0"/>
              <w:ind w:left="0" w:right="0" w:hanging="0"/>
              <w:jc w:val="right"/>
              <w:rPr>
                <w:color w:val="000000"/>
              </w:rPr>
            </w:pPr>
            <w:r>
              <w:rPr>
                <w:color w:val="000000"/>
              </w:rPr>
              <w:t> </w:t>
            </w:r>
          </w:p>
        </w:tc>
        <w:tc>
          <w:tcPr>
            <w:tcW w:w="1202" w:type="dxa"/>
            <w:tcBorders/>
            <w:shd w:fill="auto" w:val="clear"/>
            <w:vAlign w:val="bottom"/>
          </w:tcPr>
          <w:p>
            <w:pPr>
              <w:pStyle w:val="TableContents"/>
              <w:spacing w:before="0" w:after="0"/>
              <w:ind w:left="0" w:right="0" w:hanging="0"/>
              <w:jc w:val="right"/>
              <w:rPr>
                <w:color w:val="000000"/>
              </w:rPr>
            </w:pPr>
            <w:r>
              <w:rPr>
                <w:color w:val="000000"/>
              </w:rPr>
              <w:t> </w:t>
            </w:r>
          </w:p>
        </w:tc>
        <w:tc>
          <w:tcPr>
            <w:tcW w:w="279" w:type="dxa"/>
            <w:tcBorders/>
            <w:shd w:fill="auto" w:val="clear"/>
            <w:vAlign w:val="bottom"/>
          </w:tcPr>
          <w:p>
            <w:pPr>
              <w:pStyle w:val="TableContents"/>
              <w:spacing w:before="0" w:after="0"/>
              <w:ind w:left="0" w:right="0" w:firstLine="75"/>
              <w:jc w:val="left"/>
              <w:rPr>
                <w:color w:val="000000"/>
              </w:rPr>
            </w:pPr>
            <w:r>
              <w:rPr>
                <w:color w:val="000000"/>
              </w:rPr>
              <w:t> </w:t>
            </w:r>
          </w:p>
        </w:tc>
        <w:tc>
          <w:tcPr>
            <w:tcW w:w="304" w:type="dxa"/>
            <w:tcBorders/>
            <w:shd w:fill="auto" w:val="clear"/>
            <w:vAlign w:val="bottom"/>
          </w:tcPr>
          <w:p>
            <w:pPr>
              <w:pStyle w:val="TableContents"/>
              <w:spacing w:before="0" w:after="0"/>
              <w:ind w:left="0" w:right="0" w:hanging="0"/>
              <w:jc w:val="right"/>
              <w:rPr>
                <w:color w:val="000000"/>
              </w:rPr>
            </w:pPr>
            <w:r>
              <w:rPr>
                <w:color w:val="000000"/>
              </w:rPr>
              <w:t> </w:t>
            </w:r>
          </w:p>
        </w:tc>
        <w:tc>
          <w:tcPr>
            <w:tcW w:w="1057" w:type="dxa"/>
            <w:tcBorders/>
            <w:shd w:fill="auto" w:val="clear"/>
            <w:vAlign w:val="bottom"/>
          </w:tcPr>
          <w:p>
            <w:pPr>
              <w:pStyle w:val="TableContents"/>
              <w:spacing w:before="0" w:after="0"/>
              <w:ind w:left="0" w:right="0" w:hanging="0"/>
              <w:jc w:val="right"/>
              <w:rPr>
                <w:color w:val="000000"/>
              </w:rPr>
            </w:pPr>
            <w:r>
              <w:rPr>
                <w:color w:val="000000"/>
              </w:rPr>
              <w:t> </w:t>
            </w:r>
          </w:p>
        </w:tc>
        <w:tc>
          <w:tcPr>
            <w:tcW w:w="587" w:type="dxa"/>
            <w:tcBorders/>
            <w:shd w:fill="auto" w:val="clear"/>
            <w:vAlign w:val="bottom"/>
          </w:tcPr>
          <w:p>
            <w:pPr>
              <w:pStyle w:val="TableContents"/>
              <w:spacing w:before="0" w:after="0"/>
              <w:ind w:left="0" w:right="0" w:hanging="0"/>
              <w:jc w:val="left"/>
              <w:rPr>
                <w:color w:val="000000"/>
              </w:rPr>
            </w:pPr>
            <w:r>
              <w:rPr>
                <w:color w:val="000000"/>
              </w:rPr>
              <w:t> </w:t>
            </w:r>
          </w:p>
        </w:tc>
      </w:tr>
      <w:tr>
        <w:trPr/>
        <w:tc>
          <w:tcPr>
            <w:tcW w:w="6472" w:type="dxa"/>
            <w:tcBorders/>
            <w:shd w:fill="CCEEFF" w:val="clear"/>
            <w:vAlign w:val="bottom"/>
          </w:tcPr>
          <w:p>
            <w:pPr>
              <w:pStyle w:val="TableContents"/>
              <w:spacing w:before="0" w:after="0"/>
              <w:ind w:left="0" w:right="0" w:firstLine="75"/>
              <w:jc w:val="left"/>
              <w:rPr>
                <w:rFonts w:ascii="Times New Roman;Times;Serif" w:hAnsi="Times New Roman;Times;Serif"/>
                <w:b/>
                <w:color w:val="000000"/>
                <w:sz w:val="17"/>
              </w:rPr>
            </w:pPr>
            <w:r>
              <w:rPr>
                <w:rFonts w:ascii="Times New Roman;Times;Serif" w:hAnsi="Times New Roman;Times;Serif"/>
                <w:b/>
                <w:color w:val="000000"/>
                <w:sz w:val="17"/>
              </w:rPr>
              <w:t>Commitments</w:t>
            </w:r>
          </w:p>
        </w:tc>
        <w:tc>
          <w:tcPr>
            <w:tcW w:w="304" w:type="dxa"/>
            <w:tcBorders/>
            <w:shd w:fill="CCEEFF" w:val="clear"/>
            <w:vAlign w:val="bottom"/>
          </w:tcPr>
          <w:p>
            <w:pPr>
              <w:pStyle w:val="TableContents"/>
              <w:spacing w:before="0" w:after="0"/>
              <w:ind w:left="0" w:right="0" w:hanging="0"/>
              <w:jc w:val="right"/>
              <w:rPr>
                <w:color w:val="000000"/>
              </w:rPr>
            </w:pPr>
            <w:r>
              <w:rPr>
                <w:color w:val="000000"/>
              </w:rPr>
              <w:t> </w:t>
            </w:r>
          </w:p>
        </w:tc>
        <w:tc>
          <w:tcPr>
            <w:tcW w:w="1202" w:type="dxa"/>
            <w:tcBorders/>
            <w:shd w:fill="CCEEFF" w:val="clear"/>
            <w:vAlign w:val="bottom"/>
          </w:tcPr>
          <w:p>
            <w:pPr>
              <w:pStyle w:val="TableContents"/>
              <w:spacing w:before="0" w:after="0"/>
              <w:ind w:left="0" w:right="0" w:hanging="0"/>
              <w:jc w:val="right"/>
              <w:rPr>
                <w:color w:val="000000"/>
              </w:rPr>
            </w:pPr>
            <w:r>
              <w:rPr>
                <w:color w:val="000000"/>
              </w:rPr>
              <w:t> </w:t>
            </w:r>
          </w:p>
        </w:tc>
        <w:tc>
          <w:tcPr>
            <w:tcW w:w="279" w:type="dxa"/>
            <w:tcBorders/>
            <w:shd w:fill="CCEEFF" w:val="clear"/>
            <w:vAlign w:val="bottom"/>
          </w:tcPr>
          <w:p>
            <w:pPr>
              <w:pStyle w:val="TableContents"/>
              <w:spacing w:before="0" w:after="0"/>
              <w:ind w:left="0" w:right="0" w:firstLine="75"/>
              <w:jc w:val="left"/>
              <w:rPr>
                <w:color w:val="000000"/>
              </w:rPr>
            </w:pPr>
            <w:r>
              <w:rPr>
                <w:color w:val="000000"/>
              </w:rPr>
              <w:t> </w:t>
            </w:r>
          </w:p>
        </w:tc>
        <w:tc>
          <w:tcPr>
            <w:tcW w:w="304" w:type="dxa"/>
            <w:tcBorders/>
            <w:shd w:fill="CCEEFF" w:val="clear"/>
            <w:vAlign w:val="bottom"/>
          </w:tcPr>
          <w:p>
            <w:pPr>
              <w:pStyle w:val="TableContents"/>
              <w:spacing w:before="0" w:after="0"/>
              <w:ind w:left="0" w:right="0" w:hanging="0"/>
              <w:jc w:val="right"/>
              <w:rPr>
                <w:color w:val="000000"/>
              </w:rPr>
            </w:pPr>
            <w:r>
              <w:rPr>
                <w:color w:val="000000"/>
              </w:rPr>
              <w:t> </w:t>
            </w:r>
          </w:p>
        </w:tc>
        <w:tc>
          <w:tcPr>
            <w:tcW w:w="1057" w:type="dxa"/>
            <w:tcBorders/>
            <w:shd w:fill="CCEEFF" w:val="clear"/>
            <w:vAlign w:val="bottom"/>
          </w:tcPr>
          <w:p>
            <w:pPr>
              <w:pStyle w:val="TableContents"/>
              <w:spacing w:before="0" w:after="0"/>
              <w:ind w:left="0" w:right="0" w:hanging="0"/>
              <w:jc w:val="right"/>
              <w:rPr>
                <w:color w:val="000000"/>
              </w:rPr>
            </w:pPr>
            <w:r>
              <w:rPr>
                <w:color w:val="000000"/>
              </w:rPr>
              <w:t> </w:t>
            </w:r>
          </w:p>
        </w:tc>
        <w:tc>
          <w:tcPr>
            <w:tcW w:w="587" w:type="dxa"/>
            <w:tcBorders/>
            <w:shd w:fill="CCEEFF" w:val="clear"/>
            <w:vAlign w:val="bottom"/>
          </w:tcPr>
          <w:p>
            <w:pPr>
              <w:pStyle w:val="TableContents"/>
              <w:spacing w:before="0" w:after="0"/>
              <w:ind w:left="0" w:right="0" w:hanging="0"/>
              <w:jc w:val="left"/>
              <w:rPr>
                <w:color w:val="000000"/>
              </w:rPr>
            </w:pPr>
            <w:r>
              <w:rPr>
                <w:color w:val="000000"/>
              </w:rPr>
              <w:t> </w:t>
            </w:r>
          </w:p>
        </w:tc>
      </w:tr>
      <w:tr>
        <w:trPr/>
        <w:tc>
          <w:tcPr>
            <w:tcW w:w="6472" w:type="dxa"/>
            <w:tcBorders/>
            <w:shd w:fill="auto" w:val="clear"/>
            <w:vAlign w:val="bottom"/>
          </w:tcPr>
          <w:p>
            <w:pPr>
              <w:pStyle w:val="TableContents"/>
              <w:spacing w:before="0" w:after="0"/>
              <w:ind w:left="0" w:right="0" w:firstLine="75"/>
              <w:jc w:val="left"/>
              <w:rPr>
                <w:color w:val="000000"/>
              </w:rPr>
            </w:pPr>
            <w:r>
              <w:rPr>
                <w:color w:val="000000"/>
              </w:rPr>
              <w:t> </w:t>
            </w:r>
          </w:p>
        </w:tc>
        <w:tc>
          <w:tcPr>
            <w:tcW w:w="304" w:type="dxa"/>
            <w:tcBorders/>
            <w:shd w:fill="auto" w:val="clear"/>
            <w:vAlign w:val="bottom"/>
          </w:tcPr>
          <w:p>
            <w:pPr>
              <w:pStyle w:val="TableContents"/>
              <w:spacing w:before="0" w:after="0"/>
              <w:ind w:left="0" w:right="0" w:hanging="0"/>
              <w:jc w:val="right"/>
              <w:rPr>
                <w:color w:val="000000"/>
              </w:rPr>
            </w:pPr>
            <w:r>
              <w:rPr>
                <w:color w:val="000000"/>
              </w:rPr>
              <w:t> </w:t>
            </w:r>
          </w:p>
        </w:tc>
        <w:tc>
          <w:tcPr>
            <w:tcW w:w="1202" w:type="dxa"/>
            <w:tcBorders/>
            <w:shd w:fill="auto" w:val="clear"/>
            <w:vAlign w:val="bottom"/>
          </w:tcPr>
          <w:p>
            <w:pPr>
              <w:pStyle w:val="TableContents"/>
              <w:spacing w:before="0" w:after="0"/>
              <w:ind w:left="0" w:right="0" w:hanging="0"/>
              <w:jc w:val="right"/>
              <w:rPr>
                <w:color w:val="000000"/>
              </w:rPr>
            </w:pPr>
            <w:r>
              <w:rPr>
                <w:color w:val="000000"/>
              </w:rPr>
              <w:t> </w:t>
            </w:r>
          </w:p>
        </w:tc>
        <w:tc>
          <w:tcPr>
            <w:tcW w:w="279" w:type="dxa"/>
            <w:tcBorders/>
            <w:shd w:fill="auto" w:val="clear"/>
            <w:vAlign w:val="bottom"/>
          </w:tcPr>
          <w:p>
            <w:pPr>
              <w:pStyle w:val="TableContents"/>
              <w:spacing w:before="0" w:after="0"/>
              <w:ind w:left="0" w:right="0" w:firstLine="75"/>
              <w:jc w:val="left"/>
              <w:rPr>
                <w:color w:val="000000"/>
              </w:rPr>
            </w:pPr>
            <w:r>
              <w:rPr>
                <w:color w:val="000000"/>
              </w:rPr>
              <w:t> </w:t>
            </w:r>
          </w:p>
        </w:tc>
        <w:tc>
          <w:tcPr>
            <w:tcW w:w="304" w:type="dxa"/>
            <w:tcBorders/>
            <w:shd w:fill="auto" w:val="clear"/>
            <w:vAlign w:val="bottom"/>
          </w:tcPr>
          <w:p>
            <w:pPr>
              <w:pStyle w:val="TableContents"/>
              <w:spacing w:before="0" w:after="0"/>
              <w:ind w:left="0" w:right="0" w:hanging="0"/>
              <w:jc w:val="right"/>
              <w:rPr>
                <w:color w:val="000000"/>
              </w:rPr>
            </w:pPr>
            <w:r>
              <w:rPr>
                <w:color w:val="000000"/>
              </w:rPr>
              <w:t> </w:t>
            </w:r>
          </w:p>
        </w:tc>
        <w:tc>
          <w:tcPr>
            <w:tcW w:w="1057" w:type="dxa"/>
            <w:tcBorders/>
            <w:shd w:fill="auto" w:val="clear"/>
            <w:vAlign w:val="bottom"/>
          </w:tcPr>
          <w:p>
            <w:pPr>
              <w:pStyle w:val="TableContents"/>
              <w:spacing w:before="0" w:after="0"/>
              <w:ind w:left="0" w:right="0" w:hanging="0"/>
              <w:jc w:val="right"/>
              <w:rPr>
                <w:color w:val="000000"/>
              </w:rPr>
            </w:pPr>
            <w:r>
              <w:rPr>
                <w:color w:val="000000"/>
              </w:rPr>
              <w:t> </w:t>
            </w:r>
          </w:p>
        </w:tc>
        <w:tc>
          <w:tcPr>
            <w:tcW w:w="587" w:type="dxa"/>
            <w:tcBorders/>
            <w:shd w:fill="auto" w:val="clear"/>
            <w:vAlign w:val="bottom"/>
          </w:tcPr>
          <w:p>
            <w:pPr>
              <w:pStyle w:val="TableContents"/>
              <w:spacing w:before="0" w:after="0"/>
              <w:ind w:left="0" w:right="0" w:hanging="0"/>
              <w:jc w:val="left"/>
              <w:rPr>
                <w:color w:val="000000"/>
              </w:rPr>
            </w:pPr>
            <w:r>
              <w:rPr>
                <w:color w:val="000000"/>
              </w:rPr>
              <w:t> </w:t>
            </w:r>
          </w:p>
        </w:tc>
      </w:tr>
      <w:tr>
        <w:trPr/>
        <w:tc>
          <w:tcPr>
            <w:tcW w:w="6472" w:type="dxa"/>
            <w:tcBorders/>
            <w:shd w:fill="CCEEFF" w:val="clear"/>
            <w:vAlign w:val="bottom"/>
          </w:tcPr>
          <w:p>
            <w:pPr>
              <w:pStyle w:val="TableContents"/>
              <w:spacing w:before="0" w:after="0"/>
              <w:ind w:left="0" w:right="0" w:firstLine="75"/>
              <w:jc w:val="left"/>
              <w:rPr>
                <w:rFonts w:ascii="Times New Roman;Times;Serif" w:hAnsi="Times New Roman;Times;Serif"/>
                <w:b/>
                <w:color w:val="000000"/>
                <w:sz w:val="17"/>
              </w:rPr>
            </w:pPr>
            <w:r>
              <w:rPr>
                <w:rFonts w:ascii="Times New Roman;Times;Serif" w:hAnsi="Times New Roman;Times;Serif"/>
                <w:b/>
                <w:color w:val="000000"/>
                <w:sz w:val="17"/>
              </w:rPr>
              <w:t>Shareholder's Equity</w:t>
            </w:r>
          </w:p>
        </w:tc>
        <w:tc>
          <w:tcPr>
            <w:tcW w:w="304" w:type="dxa"/>
            <w:tcBorders/>
            <w:shd w:fill="CCEEFF" w:val="clear"/>
            <w:vAlign w:val="bottom"/>
          </w:tcPr>
          <w:p>
            <w:pPr>
              <w:pStyle w:val="TableContents"/>
              <w:spacing w:before="0" w:after="0"/>
              <w:ind w:left="0" w:right="0" w:hanging="0"/>
              <w:jc w:val="right"/>
              <w:rPr>
                <w:color w:val="000000"/>
              </w:rPr>
            </w:pPr>
            <w:r>
              <w:rPr>
                <w:color w:val="000000"/>
              </w:rPr>
              <w:t> </w:t>
            </w:r>
          </w:p>
        </w:tc>
        <w:tc>
          <w:tcPr>
            <w:tcW w:w="1202" w:type="dxa"/>
            <w:tcBorders/>
            <w:shd w:fill="CCEEFF" w:val="clear"/>
            <w:vAlign w:val="bottom"/>
          </w:tcPr>
          <w:p>
            <w:pPr>
              <w:pStyle w:val="TableContents"/>
              <w:spacing w:before="0" w:after="0"/>
              <w:ind w:left="0" w:right="0" w:hanging="0"/>
              <w:jc w:val="right"/>
              <w:rPr>
                <w:color w:val="000000"/>
              </w:rPr>
            </w:pPr>
            <w:r>
              <w:rPr>
                <w:color w:val="000000"/>
              </w:rPr>
              <w:t> </w:t>
            </w:r>
          </w:p>
        </w:tc>
        <w:tc>
          <w:tcPr>
            <w:tcW w:w="279" w:type="dxa"/>
            <w:tcBorders/>
            <w:shd w:fill="CCEEFF" w:val="clear"/>
            <w:vAlign w:val="bottom"/>
          </w:tcPr>
          <w:p>
            <w:pPr>
              <w:pStyle w:val="TableContents"/>
              <w:spacing w:before="0" w:after="0"/>
              <w:ind w:left="0" w:right="0" w:firstLine="75"/>
              <w:jc w:val="left"/>
              <w:rPr>
                <w:color w:val="000000"/>
              </w:rPr>
            </w:pPr>
            <w:r>
              <w:rPr>
                <w:color w:val="000000"/>
              </w:rPr>
              <w:t> </w:t>
            </w:r>
          </w:p>
        </w:tc>
        <w:tc>
          <w:tcPr>
            <w:tcW w:w="304" w:type="dxa"/>
            <w:tcBorders/>
            <w:shd w:fill="CCEEFF" w:val="clear"/>
            <w:vAlign w:val="bottom"/>
          </w:tcPr>
          <w:p>
            <w:pPr>
              <w:pStyle w:val="TableContents"/>
              <w:spacing w:before="0" w:after="0"/>
              <w:ind w:left="0" w:right="0" w:hanging="0"/>
              <w:jc w:val="right"/>
              <w:rPr>
                <w:color w:val="000000"/>
              </w:rPr>
            </w:pPr>
            <w:r>
              <w:rPr>
                <w:color w:val="000000"/>
              </w:rPr>
              <w:t> </w:t>
            </w:r>
          </w:p>
        </w:tc>
        <w:tc>
          <w:tcPr>
            <w:tcW w:w="1057" w:type="dxa"/>
            <w:tcBorders/>
            <w:shd w:fill="CCEEFF" w:val="clear"/>
            <w:vAlign w:val="bottom"/>
          </w:tcPr>
          <w:p>
            <w:pPr>
              <w:pStyle w:val="TableContents"/>
              <w:spacing w:before="0" w:after="0"/>
              <w:ind w:left="0" w:right="0" w:hanging="0"/>
              <w:jc w:val="right"/>
              <w:rPr>
                <w:color w:val="000000"/>
              </w:rPr>
            </w:pPr>
            <w:r>
              <w:rPr>
                <w:color w:val="000000"/>
              </w:rPr>
              <w:t> </w:t>
            </w:r>
          </w:p>
        </w:tc>
        <w:tc>
          <w:tcPr>
            <w:tcW w:w="587" w:type="dxa"/>
            <w:tcBorders/>
            <w:shd w:fill="CCEEFF" w:val="clear"/>
            <w:vAlign w:val="bottom"/>
          </w:tcPr>
          <w:p>
            <w:pPr>
              <w:pStyle w:val="TableContents"/>
              <w:spacing w:before="0" w:after="0"/>
              <w:ind w:left="0" w:right="0" w:firstLine="390"/>
              <w:jc w:val="left"/>
              <w:rPr>
                <w:color w:val="000000"/>
              </w:rPr>
            </w:pPr>
            <w:r>
              <w:rPr>
                <w:color w:val="000000"/>
              </w:rPr>
              <w:t> </w:t>
            </w:r>
          </w:p>
        </w:tc>
      </w:tr>
      <w:tr>
        <w:trPr/>
        <w:tc>
          <w:tcPr>
            <w:tcW w:w="6472" w:type="dxa"/>
            <w:tcBorders/>
            <w:shd w:fill="auto"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Preference shares, $0.0001 par value; 1,000,000 shares authorized; none issued and outstanding</w:t>
            </w:r>
          </w:p>
        </w:tc>
        <w:tc>
          <w:tcPr>
            <w:tcW w:w="304" w:type="dxa"/>
            <w:tcBorders/>
            <w:shd w:fill="auto" w:val="clear"/>
            <w:vAlign w:val="bottom"/>
          </w:tcPr>
          <w:p>
            <w:pPr>
              <w:pStyle w:val="TableContents"/>
              <w:spacing w:before="0" w:after="0"/>
              <w:ind w:left="0" w:right="0" w:hanging="0"/>
              <w:jc w:val="right"/>
              <w:rPr>
                <w:color w:val="000000"/>
              </w:rPr>
            </w:pPr>
            <w:r>
              <w:rPr>
                <w:color w:val="000000"/>
              </w:rPr>
              <w:t> </w:t>
            </w:r>
          </w:p>
        </w:tc>
        <w:tc>
          <w:tcPr>
            <w:tcW w:w="1202" w:type="dxa"/>
            <w:tcBorders/>
            <w:shd w:fill="auto" w:val="clear"/>
            <w:vAlign w:val="bottom"/>
          </w:tcPr>
          <w:p>
            <w:pPr>
              <w:pStyle w:val="TableContents"/>
              <w:spacing w:before="0" w:after="0"/>
              <w:ind w:left="0" w:right="0" w:hanging="0"/>
              <w:jc w:val="right"/>
              <w:rPr>
                <w:color w:val="000000"/>
              </w:rPr>
            </w:pPr>
            <w:r>
              <w:rPr>
                <w:color w:val="000000"/>
              </w:rPr>
              <w:t>—</w:t>
            </w:r>
          </w:p>
        </w:tc>
        <w:tc>
          <w:tcPr>
            <w:tcW w:w="279" w:type="dxa"/>
            <w:tcBorders/>
            <w:shd w:fill="auto" w:val="clear"/>
            <w:vAlign w:val="bottom"/>
          </w:tcPr>
          <w:p>
            <w:pPr>
              <w:pStyle w:val="TableContents"/>
              <w:spacing w:before="0" w:after="0"/>
              <w:ind w:left="0" w:right="0" w:firstLine="75"/>
              <w:jc w:val="left"/>
              <w:rPr>
                <w:color w:val="000000"/>
              </w:rPr>
            </w:pPr>
            <w:r>
              <w:rPr>
                <w:color w:val="000000"/>
              </w:rPr>
              <w:t> </w:t>
            </w:r>
          </w:p>
        </w:tc>
        <w:tc>
          <w:tcPr>
            <w:tcW w:w="304" w:type="dxa"/>
            <w:tcBorders/>
            <w:shd w:fill="auto" w:val="clear"/>
            <w:vAlign w:val="bottom"/>
          </w:tcPr>
          <w:p>
            <w:pPr>
              <w:pStyle w:val="TableContents"/>
              <w:spacing w:before="0" w:after="0"/>
              <w:ind w:left="0" w:right="0" w:hanging="0"/>
              <w:jc w:val="right"/>
              <w:rPr>
                <w:color w:val="000000"/>
              </w:rPr>
            </w:pPr>
            <w:r>
              <w:rPr>
                <w:color w:val="000000"/>
              </w:rPr>
              <w:t> </w:t>
            </w:r>
          </w:p>
        </w:tc>
        <w:tc>
          <w:tcPr>
            <w:tcW w:w="1057" w:type="dxa"/>
            <w:tcBorders/>
            <w:shd w:fill="auto" w:val="clear"/>
            <w:vAlign w:val="bottom"/>
          </w:tcPr>
          <w:p>
            <w:pPr>
              <w:pStyle w:val="TableContents"/>
              <w:spacing w:before="0" w:after="0"/>
              <w:ind w:left="0" w:right="0" w:hanging="0"/>
              <w:jc w:val="right"/>
              <w:rPr>
                <w:color w:val="000000"/>
              </w:rPr>
            </w:pPr>
            <w:r>
              <w:rPr>
                <w:color w:val="000000"/>
              </w:rPr>
              <w:t>—</w:t>
            </w:r>
          </w:p>
        </w:tc>
        <w:tc>
          <w:tcPr>
            <w:tcW w:w="587" w:type="dxa"/>
            <w:tcBorders/>
            <w:shd w:fill="auto" w:val="clear"/>
            <w:vAlign w:val="bottom"/>
          </w:tcPr>
          <w:p>
            <w:pPr>
              <w:pStyle w:val="TableContents"/>
              <w:spacing w:before="0" w:after="0"/>
              <w:ind w:left="0" w:right="0" w:firstLine="390"/>
              <w:jc w:val="left"/>
              <w:rPr>
                <w:color w:val="000000"/>
              </w:rPr>
            </w:pPr>
            <w:r>
              <w:rPr>
                <w:color w:val="000000"/>
              </w:rPr>
              <w:t> </w:t>
            </w:r>
          </w:p>
        </w:tc>
      </w:tr>
      <w:tr>
        <w:trPr/>
        <w:tc>
          <w:tcPr>
            <w:tcW w:w="6472" w:type="dxa"/>
            <w:tcBorders/>
            <w:shd w:fill="CCEEFF"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Class A ordinary shares, $0.0001 par value; 200,000,000 shares authorized; none issued and outstanding</w:t>
            </w:r>
          </w:p>
        </w:tc>
        <w:tc>
          <w:tcPr>
            <w:tcW w:w="304" w:type="dxa"/>
            <w:tcBorders/>
            <w:shd w:fill="CCEEFF" w:val="clear"/>
            <w:vAlign w:val="bottom"/>
          </w:tcPr>
          <w:p>
            <w:pPr>
              <w:pStyle w:val="TableContents"/>
              <w:spacing w:before="0" w:after="0"/>
              <w:ind w:left="0" w:right="0" w:hanging="0"/>
              <w:jc w:val="right"/>
              <w:rPr>
                <w:color w:val="000000"/>
              </w:rPr>
            </w:pPr>
            <w:r>
              <w:rPr>
                <w:color w:val="000000"/>
              </w:rPr>
              <w:t> </w:t>
            </w:r>
          </w:p>
        </w:tc>
        <w:tc>
          <w:tcPr>
            <w:tcW w:w="1202" w:type="dxa"/>
            <w:tcBorders/>
            <w:shd w:fill="CCEEFF" w:val="clear"/>
            <w:vAlign w:val="bottom"/>
          </w:tcPr>
          <w:p>
            <w:pPr>
              <w:pStyle w:val="TableContents"/>
              <w:spacing w:before="0" w:after="0"/>
              <w:ind w:left="0" w:right="0" w:hanging="0"/>
              <w:jc w:val="right"/>
              <w:rPr>
                <w:color w:val="000000"/>
              </w:rPr>
            </w:pPr>
            <w:r>
              <w:rPr>
                <w:color w:val="000000"/>
              </w:rPr>
              <w:t>—</w:t>
            </w:r>
          </w:p>
        </w:tc>
        <w:tc>
          <w:tcPr>
            <w:tcW w:w="279" w:type="dxa"/>
            <w:tcBorders/>
            <w:shd w:fill="CCEEFF" w:val="clear"/>
            <w:vAlign w:val="bottom"/>
          </w:tcPr>
          <w:p>
            <w:pPr>
              <w:pStyle w:val="TableContents"/>
              <w:spacing w:before="0" w:after="0"/>
              <w:ind w:left="0" w:right="0" w:firstLine="75"/>
              <w:jc w:val="left"/>
              <w:rPr>
                <w:color w:val="000000"/>
              </w:rPr>
            </w:pPr>
            <w:r>
              <w:rPr>
                <w:color w:val="000000"/>
              </w:rPr>
              <w:t> </w:t>
            </w:r>
          </w:p>
        </w:tc>
        <w:tc>
          <w:tcPr>
            <w:tcW w:w="304" w:type="dxa"/>
            <w:tcBorders/>
            <w:shd w:fill="CCEEFF" w:val="clear"/>
            <w:vAlign w:val="bottom"/>
          </w:tcPr>
          <w:p>
            <w:pPr>
              <w:pStyle w:val="TableContents"/>
              <w:spacing w:before="0" w:after="0"/>
              <w:ind w:left="0" w:right="0" w:hanging="0"/>
              <w:jc w:val="right"/>
              <w:rPr>
                <w:color w:val="000000"/>
              </w:rPr>
            </w:pPr>
            <w:r>
              <w:rPr>
                <w:color w:val="000000"/>
              </w:rPr>
              <w:t> </w:t>
            </w:r>
          </w:p>
        </w:tc>
        <w:tc>
          <w:tcPr>
            <w:tcW w:w="1057" w:type="dxa"/>
            <w:tcBorders/>
            <w:shd w:fill="CCEEFF" w:val="clear"/>
            <w:vAlign w:val="bottom"/>
          </w:tcPr>
          <w:p>
            <w:pPr>
              <w:pStyle w:val="TableContents"/>
              <w:spacing w:before="0" w:after="0"/>
              <w:ind w:left="0" w:right="0" w:hanging="0"/>
              <w:jc w:val="right"/>
              <w:rPr>
                <w:color w:val="000000"/>
              </w:rPr>
            </w:pPr>
            <w:r>
              <w:rPr>
                <w:color w:val="000000"/>
              </w:rPr>
              <w:t>—</w:t>
            </w:r>
          </w:p>
        </w:tc>
        <w:tc>
          <w:tcPr>
            <w:tcW w:w="587" w:type="dxa"/>
            <w:tcBorders/>
            <w:shd w:fill="CCEEFF" w:val="clear"/>
            <w:vAlign w:val="bottom"/>
          </w:tcPr>
          <w:p>
            <w:pPr>
              <w:pStyle w:val="TableContents"/>
              <w:spacing w:before="0" w:after="0"/>
              <w:ind w:left="0" w:right="0" w:firstLine="390"/>
              <w:jc w:val="left"/>
              <w:rPr>
                <w:color w:val="000000"/>
              </w:rPr>
            </w:pPr>
            <w:r>
              <w:rPr>
                <w:color w:val="000000"/>
              </w:rPr>
              <w:t> </w:t>
            </w:r>
          </w:p>
        </w:tc>
      </w:tr>
      <w:tr>
        <w:trPr/>
        <w:tc>
          <w:tcPr>
            <w:tcW w:w="6472" w:type="dxa"/>
            <w:tcBorders/>
            <w:shd w:fill="auto" w:val="clear"/>
            <w:vAlign w:val="bottom"/>
          </w:tcPr>
          <w:p>
            <w:pPr>
              <w:pStyle w:val="TableContents"/>
              <w:spacing w:lineRule="auto" w:line="240"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Class B ordinary shares, $0.0001 par value; 20,000,000 shares authorized; 7,187,500 shares issued and outstanding(1)</w:t>
            </w:r>
          </w:p>
        </w:tc>
        <w:tc>
          <w:tcPr>
            <w:tcW w:w="304" w:type="dxa"/>
            <w:tcBorders/>
            <w:shd w:fill="auto" w:val="clear"/>
            <w:vAlign w:val="bottom"/>
          </w:tcPr>
          <w:p>
            <w:pPr>
              <w:pStyle w:val="TableContents"/>
              <w:spacing w:before="0" w:after="0"/>
              <w:ind w:left="0" w:right="0" w:hanging="0"/>
              <w:jc w:val="right"/>
              <w:rPr>
                <w:color w:val="000000"/>
              </w:rPr>
            </w:pPr>
            <w:r>
              <w:rPr>
                <w:color w:val="000000"/>
              </w:rPr>
              <w:t> </w:t>
            </w:r>
          </w:p>
        </w:tc>
        <w:tc>
          <w:tcPr>
            <w:tcW w:w="1202"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719</w:t>
            </w:r>
          </w:p>
        </w:tc>
        <w:tc>
          <w:tcPr>
            <w:tcW w:w="279" w:type="dxa"/>
            <w:tcBorders/>
            <w:shd w:fill="auto" w:val="clear"/>
            <w:vAlign w:val="bottom"/>
          </w:tcPr>
          <w:p>
            <w:pPr>
              <w:pStyle w:val="TableContents"/>
              <w:spacing w:before="0" w:after="0"/>
              <w:ind w:left="0" w:right="0" w:firstLine="75"/>
              <w:jc w:val="left"/>
              <w:rPr>
                <w:color w:val="000000"/>
              </w:rPr>
            </w:pPr>
            <w:r>
              <w:rPr>
                <w:color w:val="000000"/>
              </w:rPr>
              <w:t> </w:t>
            </w:r>
          </w:p>
        </w:tc>
        <w:tc>
          <w:tcPr>
            <w:tcW w:w="304" w:type="dxa"/>
            <w:tcBorders/>
            <w:shd w:fill="auto" w:val="clear"/>
            <w:vAlign w:val="bottom"/>
          </w:tcPr>
          <w:p>
            <w:pPr>
              <w:pStyle w:val="TableContents"/>
              <w:spacing w:before="0" w:after="0"/>
              <w:ind w:left="0" w:right="0" w:hanging="0"/>
              <w:jc w:val="right"/>
              <w:rPr>
                <w:color w:val="000000"/>
              </w:rPr>
            </w:pPr>
            <w:r>
              <w:rPr>
                <w:color w:val="000000"/>
              </w:rPr>
              <w:t> </w:t>
            </w:r>
          </w:p>
        </w:tc>
        <w:tc>
          <w:tcPr>
            <w:tcW w:w="1057"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719</w:t>
            </w:r>
          </w:p>
        </w:tc>
        <w:tc>
          <w:tcPr>
            <w:tcW w:w="587" w:type="dxa"/>
            <w:tcBorders/>
            <w:shd w:fill="auto" w:val="clear"/>
            <w:vAlign w:val="bottom"/>
          </w:tcPr>
          <w:p>
            <w:pPr>
              <w:pStyle w:val="TableContents"/>
              <w:spacing w:before="0" w:after="0"/>
              <w:ind w:left="0" w:right="0" w:firstLine="195"/>
              <w:jc w:val="left"/>
              <w:rPr>
                <w:color w:val="000000"/>
              </w:rPr>
            </w:pPr>
            <w:r>
              <w:rPr>
                <w:color w:val="000000"/>
              </w:rPr>
              <w:t> </w:t>
            </w:r>
          </w:p>
        </w:tc>
      </w:tr>
      <w:tr>
        <w:trPr/>
        <w:tc>
          <w:tcPr>
            <w:tcW w:w="6472" w:type="dxa"/>
            <w:tcBorders/>
            <w:shd w:fill="CCEEFF"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Additional paid in capital</w:t>
            </w:r>
          </w:p>
        </w:tc>
        <w:tc>
          <w:tcPr>
            <w:tcW w:w="304" w:type="dxa"/>
            <w:tcBorders/>
            <w:shd w:fill="CCEEFF" w:val="clear"/>
            <w:vAlign w:val="bottom"/>
          </w:tcPr>
          <w:p>
            <w:pPr>
              <w:pStyle w:val="TableContents"/>
              <w:spacing w:before="0" w:after="0"/>
              <w:ind w:left="0" w:right="0" w:hanging="0"/>
              <w:jc w:val="right"/>
              <w:rPr>
                <w:color w:val="000000"/>
              </w:rPr>
            </w:pPr>
            <w:r>
              <w:rPr>
                <w:color w:val="000000"/>
              </w:rPr>
              <w:t> </w:t>
            </w:r>
          </w:p>
        </w:tc>
        <w:tc>
          <w:tcPr>
            <w:tcW w:w="1202"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24,281</w:t>
            </w:r>
          </w:p>
        </w:tc>
        <w:tc>
          <w:tcPr>
            <w:tcW w:w="279" w:type="dxa"/>
            <w:tcBorders/>
            <w:shd w:fill="CCEEFF" w:val="clear"/>
            <w:vAlign w:val="bottom"/>
          </w:tcPr>
          <w:p>
            <w:pPr>
              <w:pStyle w:val="TableContents"/>
              <w:spacing w:before="0" w:after="0"/>
              <w:ind w:left="0" w:right="0" w:firstLine="75"/>
              <w:jc w:val="left"/>
              <w:rPr>
                <w:color w:val="000000"/>
              </w:rPr>
            </w:pPr>
            <w:r>
              <w:rPr>
                <w:color w:val="000000"/>
              </w:rPr>
              <w:t> </w:t>
            </w:r>
          </w:p>
        </w:tc>
        <w:tc>
          <w:tcPr>
            <w:tcW w:w="304" w:type="dxa"/>
            <w:tcBorders/>
            <w:shd w:fill="CCEEFF" w:val="clear"/>
            <w:vAlign w:val="bottom"/>
          </w:tcPr>
          <w:p>
            <w:pPr>
              <w:pStyle w:val="TableContents"/>
              <w:spacing w:before="0" w:after="0"/>
              <w:ind w:left="0" w:right="0" w:hanging="0"/>
              <w:jc w:val="right"/>
              <w:rPr>
                <w:color w:val="000000"/>
              </w:rPr>
            </w:pPr>
            <w:r>
              <w:rPr>
                <w:color w:val="000000"/>
              </w:rPr>
              <w:t> </w:t>
            </w:r>
          </w:p>
        </w:tc>
        <w:tc>
          <w:tcPr>
            <w:tcW w:w="1057"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24,281</w:t>
            </w:r>
          </w:p>
        </w:tc>
        <w:tc>
          <w:tcPr>
            <w:tcW w:w="587" w:type="dxa"/>
            <w:tcBorders/>
            <w:shd w:fill="CCEEFF" w:val="clear"/>
            <w:vAlign w:val="bottom"/>
          </w:tcPr>
          <w:p>
            <w:pPr>
              <w:pStyle w:val="TableContents"/>
              <w:spacing w:before="0" w:after="0"/>
              <w:ind w:left="0" w:right="0" w:firstLine="195"/>
              <w:jc w:val="left"/>
              <w:rPr>
                <w:color w:val="000000"/>
              </w:rPr>
            </w:pPr>
            <w:r>
              <w:rPr>
                <w:color w:val="000000"/>
              </w:rPr>
              <w:t> </w:t>
            </w:r>
          </w:p>
        </w:tc>
      </w:tr>
      <w:tr>
        <w:trPr/>
        <w:tc>
          <w:tcPr>
            <w:tcW w:w="6472" w:type="dxa"/>
            <w:tcBorders/>
            <w:shd w:fill="auto"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Accumulated deficit</w:t>
            </w:r>
          </w:p>
        </w:tc>
        <w:tc>
          <w:tcPr>
            <w:tcW w:w="304" w:type="dxa"/>
            <w:tcBorders/>
            <w:shd w:fill="auto" w:val="clear"/>
            <w:vAlign w:val="bottom"/>
          </w:tcPr>
          <w:p>
            <w:pPr>
              <w:pStyle w:val="TableContents"/>
              <w:spacing w:before="0" w:after="0"/>
              <w:ind w:left="0" w:right="0" w:hanging="0"/>
              <w:jc w:val="right"/>
              <w:rPr>
                <w:color w:val="000000"/>
                <w:bdr w:val="single" w:sz="8" w:space="1" w:color="000000"/>
              </w:rPr>
            </w:pPr>
            <w:r>
              <w:rPr>
                <w:color w:val="000000"/>
                <w:bdr w:val="single" w:sz="8" w:space="1" w:color="000000"/>
              </w:rPr>
              <w:t> </w:t>
            </w:r>
          </w:p>
        </w:tc>
        <w:tc>
          <w:tcPr>
            <w:tcW w:w="1202"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(5,000</w:t>
            </w:r>
          </w:p>
        </w:tc>
        <w:tc>
          <w:tcPr>
            <w:tcW w:w="279" w:type="dxa"/>
            <w:tcBorders/>
            <w:shd w:fill="auto"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w:t>
            </w:r>
          </w:p>
        </w:tc>
        <w:tc>
          <w:tcPr>
            <w:tcW w:w="304" w:type="dxa"/>
            <w:tcBorders/>
            <w:shd w:fill="auto" w:val="clear"/>
            <w:vAlign w:val="bottom"/>
          </w:tcPr>
          <w:p>
            <w:pPr>
              <w:pStyle w:val="TableContents"/>
              <w:spacing w:before="0" w:after="0"/>
              <w:ind w:left="0" w:right="0" w:hanging="0"/>
              <w:jc w:val="right"/>
              <w:rPr>
                <w:color w:val="000000"/>
                <w:bdr w:val="single" w:sz="8" w:space="1" w:color="000000"/>
              </w:rPr>
            </w:pPr>
            <w:r>
              <w:rPr>
                <w:color w:val="000000"/>
                <w:bdr w:val="single" w:sz="8" w:space="1" w:color="000000"/>
              </w:rPr>
              <w:t> </w:t>
            </w:r>
          </w:p>
        </w:tc>
        <w:tc>
          <w:tcPr>
            <w:tcW w:w="1057"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(5,000</w:t>
            </w:r>
          </w:p>
        </w:tc>
        <w:tc>
          <w:tcPr>
            <w:tcW w:w="587" w:type="dxa"/>
            <w:tcBorders/>
            <w:shd w:fill="auto" w:val="clear"/>
            <w:vAlign w:val="bottom"/>
          </w:tcPr>
          <w:p>
            <w:pPr>
              <w:pStyle w:val="TableContents"/>
              <w:spacing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p>
        </w:tc>
      </w:tr>
      <w:tr>
        <w:trPr/>
        <w:tc>
          <w:tcPr>
            <w:tcW w:w="6472" w:type="dxa"/>
            <w:tcBorders/>
            <w:shd w:fill="CCEEFF" w:val="clear"/>
            <w:vAlign w:val="bottom"/>
          </w:tcPr>
          <w:p>
            <w:pPr>
              <w:pStyle w:val="TableContents"/>
              <w:spacing w:before="0" w:after="0"/>
              <w:ind w:left="0" w:right="0" w:firstLine="75"/>
              <w:jc w:val="left"/>
              <w:rPr>
                <w:rFonts w:ascii="Times New Roman;Times;Serif" w:hAnsi="Times New Roman;Times;Serif"/>
                <w:b/>
                <w:color w:val="000000"/>
                <w:sz w:val="17"/>
              </w:rPr>
            </w:pPr>
            <w:r>
              <w:rPr>
                <w:rFonts w:ascii="Times New Roman;Times;Serif" w:hAnsi="Times New Roman;Times;Serif"/>
                <w:b/>
                <w:color w:val="000000"/>
                <w:sz w:val="17"/>
              </w:rPr>
              <w:t>Total Shareholder's Equity</w:t>
            </w:r>
          </w:p>
        </w:tc>
        <w:tc>
          <w:tcPr>
            <w:tcW w:w="304" w:type="dxa"/>
            <w:tcBorders/>
            <w:shd w:fill="CCEEFF" w:val="clear"/>
            <w:vAlign w:val="bottom"/>
          </w:tcPr>
          <w:p>
            <w:pPr>
              <w:pStyle w:val="TableContents"/>
              <w:spacing w:before="0" w:after="0"/>
              <w:ind w:left="0" w:right="0" w:hanging="0"/>
              <w:jc w:val="right"/>
              <w:rPr>
                <w:color w:val="000000"/>
                <w:bdr w:val="single" w:sz="8" w:space="1" w:color="000000"/>
              </w:rPr>
            </w:pPr>
            <w:r>
              <w:rPr>
                <w:color w:val="000000"/>
                <w:bdr w:val="single" w:sz="8" w:space="1" w:color="000000"/>
              </w:rPr>
              <w:t> </w:t>
            </w:r>
          </w:p>
        </w:tc>
        <w:tc>
          <w:tcPr>
            <w:tcW w:w="1202"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20,000</w:t>
            </w:r>
          </w:p>
        </w:tc>
        <w:tc>
          <w:tcPr>
            <w:tcW w:w="279" w:type="dxa"/>
            <w:tcBorders/>
            <w:shd w:fill="CCEEFF" w:val="clear"/>
            <w:vAlign w:val="bottom"/>
          </w:tcPr>
          <w:p>
            <w:pPr>
              <w:pStyle w:val="TableContents"/>
              <w:spacing w:before="0" w:after="0"/>
              <w:ind w:left="0" w:right="0" w:firstLine="75"/>
              <w:jc w:val="left"/>
              <w:rPr>
                <w:color w:val="000000"/>
              </w:rPr>
            </w:pPr>
            <w:r>
              <w:rPr>
                <w:color w:val="000000"/>
              </w:rPr>
              <w:t> </w:t>
            </w:r>
          </w:p>
        </w:tc>
        <w:tc>
          <w:tcPr>
            <w:tcW w:w="304" w:type="dxa"/>
            <w:tcBorders/>
            <w:shd w:fill="CCEEFF" w:val="clear"/>
            <w:vAlign w:val="bottom"/>
          </w:tcPr>
          <w:p>
            <w:pPr>
              <w:pStyle w:val="TableContents"/>
              <w:spacing w:before="0" w:after="0"/>
              <w:ind w:left="0" w:right="0" w:hanging="0"/>
              <w:jc w:val="right"/>
              <w:rPr>
                <w:color w:val="000000"/>
                <w:bdr w:val="single" w:sz="8" w:space="1" w:color="000000"/>
              </w:rPr>
            </w:pPr>
            <w:r>
              <w:rPr>
                <w:color w:val="000000"/>
                <w:bdr w:val="single" w:sz="8" w:space="1" w:color="000000"/>
              </w:rPr>
              <w:t> </w:t>
            </w:r>
          </w:p>
        </w:tc>
        <w:tc>
          <w:tcPr>
            <w:tcW w:w="1057"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20,000</w:t>
            </w:r>
          </w:p>
        </w:tc>
        <w:tc>
          <w:tcPr>
            <w:tcW w:w="587" w:type="dxa"/>
            <w:tcBorders/>
            <w:shd w:fill="CCEEFF" w:val="clear"/>
            <w:vAlign w:val="bottom"/>
          </w:tcPr>
          <w:p>
            <w:pPr>
              <w:pStyle w:val="TableContents"/>
              <w:spacing w:before="0" w:after="0"/>
              <w:ind w:left="0" w:right="0" w:hanging="0"/>
              <w:jc w:val="left"/>
              <w:rPr>
                <w:color w:val="000000"/>
              </w:rPr>
            </w:pPr>
            <w:r>
              <w:rPr>
                <w:color w:val="000000"/>
              </w:rPr>
              <w:t> </w:t>
            </w:r>
          </w:p>
        </w:tc>
      </w:tr>
      <w:tr>
        <w:trPr/>
        <w:tc>
          <w:tcPr>
            <w:tcW w:w="6472" w:type="dxa"/>
            <w:tcBorders/>
            <w:shd w:fill="auto" w:val="clear"/>
            <w:vAlign w:val="bottom"/>
          </w:tcPr>
          <w:p>
            <w:pPr>
              <w:pStyle w:val="TableContents"/>
              <w:spacing w:before="0" w:after="0"/>
              <w:ind w:left="0" w:right="0" w:firstLine="75"/>
              <w:jc w:val="left"/>
              <w:rPr>
                <w:rFonts w:ascii="Times New Roman;Times;Serif" w:hAnsi="Times New Roman;Times;Serif"/>
                <w:b/>
                <w:color w:val="000000"/>
                <w:sz w:val="17"/>
              </w:rPr>
            </w:pPr>
            <w:r>
              <w:rPr>
                <w:rFonts w:ascii="Times New Roman;Times;Serif" w:hAnsi="Times New Roman;Times;Serif"/>
                <w:b/>
                <w:color w:val="000000"/>
                <w:sz w:val="17"/>
              </w:rPr>
              <w:t>Total Liabilities and Shareholder's Equity</w:t>
            </w:r>
          </w:p>
        </w:tc>
        <w:tc>
          <w:tcPr>
            <w:tcW w:w="304"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w:t>
            </w:r>
          </w:p>
        </w:tc>
        <w:tc>
          <w:tcPr>
            <w:tcW w:w="1202"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315,281</w:t>
            </w:r>
          </w:p>
        </w:tc>
        <w:tc>
          <w:tcPr>
            <w:tcW w:w="279" w:type="dxa"/>
            <w:tcBorders/>
            <w:shd w:fill="auto" w:val="clear"/>
            <w:vAlign w:val="bottom"/>
          </w:tcPr>
          <w:p>
            <w:pPr>
              <w:pStyle w:val="TableContents"/>
              <w:spacing w:before="0" w:after="0"/>
              <w:ind w:left="0" w:right="0" w:firstLine="75"/>
              <w:jc w:val="left"/>
              <w:rPr>
                <w:color w:val="000000"/>
              </w:rPr>
            </w:pPr>
            <w:r>
              <w:rPr>
                <w:color w:val="000000"/>
              </w:rPr>
              <w:t> </w:t>
            </w:r>
          </w:p>
        </w:tc>
        <w:tc>
          <w:tcPr>
            <w:tcW w:w="304"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w:t>
            </w:r>
          </w:p>
        </w:tc>
        <w:tc>
          <w:tcPr>
            <w:tcW w:w="1057"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32,500</w:t>
            </w:r>
          </w:p>
        </w:tc>
        <w:tc>
          <w:tcPr>
            <w:tcW w:w="587" w:type="dxa"/>
            <w:tcBorders/>
            <w:shd w:fill="auto" w:val="clear"/>
            <w:vAlign w:val="bottom"/>
          </w:tcPr>
          <w:p>
            <w:pPr>
              <w:pStyle w:val="TableContents"/>
              <w:spacing w:before="0" w:after="0"/>
              <w:jc w:val="left"/>
              <w:rPr>
                <w:color w:val="000000"/>
              </w:rPr>
            </w:pPr>
            <w:r>
              <w:rPr>
                <w:color w:val="000000"/>
              </w:rPr>
              <w:t> </w:t>
            </w:r>
          </w:p>
        </w:tc>
      </w:tr>
    </w:tbl>
    <w:tbl>
      <w:tblPr>
        <w:tblW w:w="5000" w:type="pct"/>
        <w:jc w:val="left"/>
        <w:tblInd w:w="0" w:type="dxa"/>
        <w:tblCellMar>
          <w:top w:w="0" w:type="dxa"/>
          <w:left w:w="0" w:type="dxa"/>
          <w:bottom w:w="0" w:type="dxa"/>
          <w:right w:w="0" w:type="dxa"/>
        </w:tblCellMar>
      </w:tblPr>
      <w:tblGrid>
        <w:gridCol w:w="46"/>
        <w:gridCol w:w="474"/>
        <w:gridCol w:w="9685"/>
      </w:tblGrid>
      <w:tr>
        <w:trPr/>
        <w:tc>
          <w:tcPr>
            <w:tcW w:w="46"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jc w:val="left"/>
              <w:rPr>
                <w:rFonts w:ascii="Times New Roman;Times;Serif" w:hAnsi="Times New Roman;Times;Serif"/>
                <w:color w:val="000000"/>
                <w:sz w:val="12"/>
              </w:rPr>
            </w:pPr>
            <w:r>
              <w:rPr>
                <w:rFonts w:ascii="Times New Roman;Times;Serif" w:hAnsi="Times New Roman;Times;Serif"/>
                <w:color w:val="000000"/>
                <w:sz w:val="12"/>
              </w:rPr>
              <w:t>(1)</w:t>
            </w:r>
          </w:p>
        </w:tc>
        <w:tc>
          <w:tcPr>
            <w:tcW w:w="9685" w:type="dxa"/>
            <w:tcBorders/>
            <w:shd w:fill="auto" w:val="clear"/>
            <w:vAlign w:val="center"/>
          </w:tcPr>
          <w:p>
            <w:pPr>
              <w:pStyle w:val="TableContents"/>
              <w:spacing w:before="0" w:after="283"/>
              <w:jc w:val="left"/>
              <w:rPr>
                <w:rFonts w:ascii="Times New Roman;Times;Serif" w:hAnsi="Times New Roman;Times;Serif"/>
                <w:color w:val="000000"/>
                <w:sz w:val="12"/>
              </w:rPr>
            </w:pPr>
            <w:r>
              <w:rPr>
                <w:rFonts w:ascii="Times New Roman;Times;Serif" w:hAnsi="Times New Roman;Times;Serif"/>
                <w:color w:val="000000"/>
                <w:sz w:val="12"/>
              </w:rPr>
              <w:t xml:space="preserve">Includes an aggregate of up to 937,500 shares subject to forfeiture if the over-allotment option is not exercised in full or in part by the underwriters (see Note 6). </w:t>
            </w:r>
          </w:p>
        </w:tc>
      </w:tr>
    </w:tbl>
    <w:p>
      <w:pPr>
        <w:pStyle w:val="TextBody"/>
        <w:spacing w:before="0" w:after="0"/>
        <w:ind w:left="0" w:right="0" w:hanging="0"/>
        <w:jc w:val="center"/>
        <w:rPr>
          <w:rFonts w:ascii="Times New Roman;Times;Serif" w:hAnsi="Times New Roman;Times;Serif"/>
          <w:i/>
          <w:color w:val="000000"/>
          <w:sz w:val="17"/>
        </w:rPr>
      </w:pPr>
      <w:r>
        <w:rPr>
          <w:rFonts w:ascii="Times New Roman;Times;Serif" w:hAnsi="Times New Roman;Times;Serif"/>
          <w:i/>
          <w:color w:val="000000"/>
          <w:sz w:val="17"/>
        </w:rPr>
        <w:t>The accompanying notes are an integral part of these financial statements.</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F-3</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10" w:before="240" w:after="0"/>
        <w:ind w:left="0" w:right="0" w:hanging="0"/>
        <w:jc w:val="center"/>
        <w:rPr>
          <w:rFonts w:ascii="Times New Roman;Times;Serif" w:hAnsi="Times New Roman;Times;Serif"/>
          <w:b/>
          <w:color w:val="000000"/>
          <w:sz w:val="17"/>
        </w:rPr>
      </w:pPr>
      <w:bookmarkStart w:id="28" w:name="tSOP"/>
      <w:bookmarkEnd w:id="28"/>
      <w:r>
        <w:rPr>
          <w:rFonts w:ascii="Times New Roman;Times;Serif" w:hAnsi="Times New Roman;Times;Serif"/>
          <w:b/>
          <w:color w:val="000000"/>
          <w:sz w:val="17"/>
        </w:rPr>
        <w:t>SILVER SPIKE ACQUISITION CORP.</w:t>
        <w:br/>
        <w:t xml:space="preserve">STATEMENTS OF OPERATIONS </w:t>
      </w:r>
    </w:p>
    <w:tbl>
      <w:tblPr>
        <w:tblW w:w="5000" w:type="pct"/>
        <w:jc w:val="center"/>
        <w:tblInd w:w="0" w:type="dxa"/>
        <w:tblCellMar>
          <w:top w:w="0" w:type="dxa"/>
          <w:left w:w="0" w:type="dxa"/>
          <w:bottom w:w="0" w:type="dxa"/>
          <w:right w:w="0" w:type="dxa"/>
        </w:tblCellMar>
      </w:tblPr>
      <w:tblGrid>
        <w:gridCol w:w="5998"/>
        <w:gridCol w:w="304"/>
        <w:gridCol w:w="1467"/>
        <w:gridCol w:w="270"/>
        <w:gridCol w:w="304"/>
        <w:gridCol w:w="1467"/>
        <w:gridCol w:w="395"/>
      </w:tblGrid>
      <w:tr>
        <w:trPr/>
        <w:tc>
          <w:tcPr>
            <w:tcW w:w="5998" w:type="dxa"/>
            <w:tcBorders/>
            <w:shd w:fill="auto" w:val="clear"/>
            <w:vAlign w:val="bottom"/>
          </w:tcPr>
          <w:p>
            <w:pPr>
              <w:pStyle w:val="TableContents"/>
              <w:spacing w:before="0" w:after="0"/>
              <w:ind w:left="0" w:right="0" w:firstLine="90"/>
              <w:jc w:val="left"/>
              <w:rPr>
                <w:color w:val="000000"/>
              </w:rPr>
            </w:pPr>
            <w:r>
              <w:rPr>
                <w:color w:val="000000"/>
              </w:rPr>
              <w:t> </w:t>
            </w:r>
          </w:p>
        </w:tc>
        <w:tc>
          <w:tcPr>
            <w:tcW w:w="4207" w:type="dxa"/>
            <w:gridSpan w:val="6"/>
            <w:tcBorders/>
            <w:shd w:fill="auto" w:val="clear"/>
            <w:vAlign w:val="bottom"/>
          </w:tcPr>
          <w:p>
            <w:pPr>
              <w:pStyle w:val="TableContents"/>
              <w:spacing w:before="0" w:after="0"/>
              <w:ind w:left="0" w:right="0" w:hanging="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For the Period from</w:t>
              <w:br/>
              <w:t>June 7, 2019</w:t>
              <w:br/>
              <w:t xml:space="preserve">(Inception) through </w:t>
            </w:r>
          </w:p>
        </w:tc>
      </w:tr>
      <w:tr>
        <w:trPr/>
        <w:tc>
          <w:tcPr>
            <w:tcW w:w="5998" w:type="dxa"/>
            <w:tcBorders/>
            <w:shd w:fill="auto" w:val="clear"/>
            <w:vAlign w:val="bottom"/>
          </w:tcPr>
          <w:p>
            <w:pPr>
              <w:pStyle w:val="TableContents"/>
              <w:spacing w:before="0" w:after="0"/>
              <w:ind w:left="0" w:right="0" w:firstLine="90"/>
              <w:jc w:val="left"/>
              <w:rPr>
                <w:color w:val="000000"/>
              </w:rPr>
            </w:pPr>
            <w:r>
              <w:rPr>
                <w:color w:val="000000"/>
              </w:rPr>
              <w:t> </w:t>
            </w:r>
          </w:p>
        </w:tc>
        <w:tc>
          <w:tcPr>
            <w:tcW w:w="2041" w:type="dxa"/>
            <w:gridSpan w:val="3"/>
            <w:tcBorders/>
            <w:shd w:fill="auto" w:val="clear"/>
            <w:vAlign w:val="bottom"/>
          </w:tcPr>
          <w:p>
            <w:pPr>
              <w:pStyle w:val="TableContents"/>
              <w:spacing w:before="0" w:after="0"/>
              <w:ind w:left="0" w:right="0" w:firstLine="9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June 30,</w:t>
              <w:br/>
              <w:t xml:space="preserve">2019 </w:t>
            </w:r>
          </w:p>
        </w:tc>
        <w:tc>
          <w:tcPr>
            <w:tcW w:w="2166" w:type="dxa"/>
            <w:gridSpan w:val="3"/>
            <w:tcBorders/>
            <w:shd w:fill="auto" w:val="clear"/>
            <w:vAlign w:val="bottom"/>
          </w:tcPr>
          <w:p>
            <w:pPr>
              <w:pStyle w:val="TableContents"/>
              <w:spacing w:before="0" w:after="0"/>
              <w:ind w:left="0" w:right="0" w:hanging="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June 11,</w:t>
              <w:br/>
              <w:t xml:space="preserve">2019 </w:t>
            </w:r>
          </w:p>
        </w:tc>
      </w:tr>
      <w:tr>
        <w:trPr/>
        <w:tc>
          <w:tcPr>
            <w:tcW w:w="5998" w:type="dxa"/>
            <w:tcBorders/>
            <w:shd w:fill="auto" w:val="clear"/>
            <w:vAlign w:val="bottom"/>
          </w:tcPr>
          <w:p>
            <w:pPr>
              <w:pStyle w:val="TableContents"/>
              <w:spacing w:before="0" w:after="0"/>
              <w:ind w:left="0" w:right="0" w:hanging="0"/>
              <w:jc w:val="left"/>
              <w:rPr>
                <w:color w:val="000000"/>
              </w:rPr>
            </w:pPr>
            <w:r>
              <w:rPr>
                <w:color w:val="000000"/>
              </w:rPr>
              <w:t> </w:t>
            </w:r>
          </w:p>
        </w:tc>
        <w:tc>
          <w:tcPr>
            <w:tcW w:w="2041" w:type="dxa"/>
            <w:gridSpan w:val="3"/>
            <w:tcBorders/>
            <w:shd w:fill="auto" w:val="clear"/>
            <w:vAlign w:val="bottom"/>
          </w:tcPr>
          <w:p>
            <w:pPr>
              <w:pStyle w:val="TableContents"/>
              <w:spacing w:before="0" w:after="0"/>
              <w:ind w:left="0" w:right="0" w:hanging="0"/>
              <w:jc w:val="center"/>
              <w:rPr>
                <w:rFonts w:ascii="Times New Roman;Times;Serif" w:hAnsi="Times New Roman;Times;Serif"/>
                <w:color w:val="000000"/>
                <w:sz w:val="12"/>
              </w:rPr>
            </w:pPr>
            <w:r>
              <w:rPr>
                <w:rFonts w:ascii="Times New Roman;Times;Serif" w:hAnsi="Times New Roman;Times;Serif"/>
                <w:i/>
                <w:color w:val="000000"/>
                <w:sz w:val="12"/>
              </w:rPr>
              <w:t>(Unaudited)</w:t>
            </w:r>
            <w:r>
              <w:rPr>
                <w:rFonts w:ascii="Times New Roman;Times;Serif" w:hAnsi="Times New Roman;Times;Serif"/>
                <w:color w:val="000000"/>
                <w:sz w:val="12"/>
              </w:rPr>
              <w:t xml:space="preserve"> </w:t>
            </w:r>
          </w:p>
        </w:tc>
        <w:tc>
          <w:tcPr>
            <w:tcW w:w="2166" w:type="dxa"/>
            <w:gridSpan w:val="3"/>
            <w:tcBorders/>
            <w:shd w:fill="auto" w:val="clear"/>
            <w:vAlign w:val="bottom"/>
          </w:tcPr>
          <w:p>
            <w:pPr>
              <w:pStyle w:val="TableContents"/>
              <w:spacing w:before="0" w:after="0"/>
              <w:ind w:left="0" w:right="0" w:hanging="0"/>
              <w:jc w:val="center"/>
              <w:rPr>
                <w:rFonts w:ascii="Times New Roman;Times;Serif" w:hAnsi="Times New Roman;Times;Serif"/>
                <w:i/>
                <w:color w:val="000000"/>
                <w:sz w:val="12"/>
              </w:rPr>
            </w:pPr>
            <w:r>
              <w:rPr>
                <w:rFonts w:ascii="Times New Roman;Times;Serif" w:hAnsi="Times New Roman;Times;Serif"/>
                <w:i/>
                <w:color w:val="000000"/>
                <w:sz w:val="12"/>
              </w:rPr>
              <w:t>(Audited)</w:t>
            </w:r>
          </w:p>
        </w:tc>
      </w:tr>
      <w:tr>
        <w:trPr/>
        <w:tc>
          <w:tcPr>
            <w:tcW w:w="5998" w:type="dxa"/>
            <w:tcBorders/>
            <w:shd w:fill="CCEEFF"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Formation costs</w:t>
            </w:r>
          </w:p>
        </w:tc>
        <w:tc>
          <w:tcPr>
            <w:tcW w:w="304"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w:t>
            </w:r>
          </w:p>
        </w:tc>
        <w:tc>
          <w:tcPr>
            <w:tcW w:w="1467"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5,000</w:t>
            </w:r>
          </w:p>
        </w:tc>
        <w:tc>
          <w:tcPr>
            <w:tcW w:w="270" w:type="dxa"/>
            <w:tcBorders/>
            <w:shd w:fill="CCEEFF" w:val="clear"/>
            <w:vAlign w:val="bottom"/>
          </w:tcPr>
          <w:p>
            <w:pPr>
              <w:pStyle w:val="TableContents"/>
              <w:spacing w:before="0" w:after="0"/>
              <w:ind w:left="0" w:right="0" w:firstLine="75"/>
              <w:jc w:val="left"/>
              <w:rPr>
                <w:color w:val="000000"/>
              </w:rPr>
            </w:pPr>
            <w:r>
              <w:rPr>
                <w:color w:val="000000"/>
              </w:rPr>
              <w:t> </w:t>
            </w:r>
          </w:p>
        </w:tc>
        <w:tc>
          <w:tcPr>
            <w:tcW w:w="304"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w:t>
            </w:r>
          </w:p>
        </w:tc>
        <w:tc>
          <w:tcPr>
            <w:tcW w:w="1467"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5,000</w:t>
            </w:r>
          </w:p>
        </w:tc>
        <w:tc>
          <w:tcPr>
            <w:tcW w:w="395" w:type="dxa"/>
            <w:tcBorders/>
            <w:shd w:fill="CCEEFF" w:val="clear"/>
            <w:vAlign w:val="bottom"/>
          </w:tcPr>
          <w:p>
            <w:pPr>
              <w:pStyle w:val="TableContents"/>
              <w:spacing w:before="0" w:after="0"/>
              <w:ind w:left="0" w:right="0" w:firstLine="195"/>
              <w:jc w:val="left"/>
              <w:rPr>
                <w:color w:val="000000"/>
              </w:rPr>
            </w:pPr>
            <w:r>
              <w:rPr>
                <w:color w:val="000000"/>
              </w:rPr>
              <w:t> </w:t>
            </w:r>
          </w:p>
        </w:tc>
      </w:tr>
      <w:tr>
        <w:trPr/>
        <w:tc>
          <w:tcPr>
            <w:tcW w:w="5998" w:type="dxa"/>
            <w:tcBorders/>
            <w:shd w:fill="auto" w:val="clear"/>
            <w:vAlign w:val="bottom"/>
          </w:tcPr>
          <w:p>
            <w:pPr>
              <w:pStyle w:val="TableContents"/>
              <w:spacing w:before="0" w:after="0"/>
              <w:ind w:left="0" w:right="0" w:firstLine="75"/>
              <w:jc w:val="left"/>
              <w:rPr>
                <w:rFonts w:ascii="Times New Roman;Times;Serif" w:hAnsi="Times New Roman;Times;Serif"/>
                <w:b/>
                <w:color w:val="000000"/>
                <w:sz w:val="17"/>
              </w:rPr>
            </w:pPr>
            <w:r>
              <w:rPr>
                <w:rFonts w:ascii="Times New Roman;Times;Serif" w:hAnsi="Times New Roman;Times;Serif"/>
                <w:b/>
                <w:color w:val="000000"/>
                <w:sz w:val="17"/>
              </w:rPr>
              <w:t>Net loss</w:t>
            </w:r>
          </w:p>
        </w:tc>
        <w:tc>
          <w:tcPr>
            <w:tcW w:w="304"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w:t>
            </w:r>
          </w:p>
        </w:tc>
        <w:tc>
          <w:tcPr>
            <w:tcW w:w="1467"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 xml:space="preserve">(5,000 </w:t>
            </w:r>
          </w:p>
        </w:tc>
        <w:tc>
          <w:tcPr>
            <w:tcW w:w="270" w:type="dxa"/>
            <w:tcBorders/>
            <w:shd w:fill="auto"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w:t>
            </w:r>
          </w:p>
        </w:tc>
        <w:tc>
          <w:tcPr>
            <w:tcW w:w="304"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w:t>
            </w:r>
          </w:p>
        </w:tc>
        <w:tc>
          <w:tcPr>
            <w:tcW w:w="1467"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(5,000</w:t>
            </w:r>
          </w:p>
        </w:tc>
        <w:tc>
          <w:tcPr>
            <w:tcW w:w="395" w:type="dxa"/>
            <w:tcBorders/>
            <w:shd w:fill="auto" w:val="clear"/>
            <w:vAlign w:val="bottom"/>
          </w:tcPr>
          <w:p>
            <w:pPr>
              <w:pStyle w:val="TableContents"/>
              <w:spacing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p>
        </w:tc>
      </w:tr>
      <w:tr>
        <w:trPr/>
        <w:tc>
          <w:tcPr>
            <w:tcW w:w="5998" w:type="dxa"/>
            <w:tcBorders/>
            <w:shd w:fill="CCEEFF" w:val="clear"/>
            <w:vAlign w:val="bottom"/>
          </w:tcPr>
          <w:p>
            <w:pPr>
              <w:pStyle w:val="TableContents"/>
              <w:spacing w:before="0" w:after="0"/>
              <w:ind w:left="0" w:right="0" w:firstLine="75"/>
              <w:jc w:val="left"/>
              <w:rPr>
                <w:color w:val="000000"/>
              </w:rPr>
            </w:pPr>
            <w:r>
              <w:rPr>
                <w:color w:val="000000"/>
              </w:rPr>
              <w:t> </w:t>
            </w:r>
          </w:p>
        </w:tc>
        <w:tc>
          <w:tcPr>
            <w:tcW w:w="304" w:type="dxa"/>
            <w:tcBorders/>
            <w:shd w:fill="CCEEFF" w:val="clear"/>
            <w:vAlign w:val="bottom"/>
          </w:tcPr>
          <w:p>
            <w:pPr>
              <w:pStyle w:val="TableContents"/>
              <w:spacing w:before="0" w:after="0"/>
              <w:ind w:left="0" w:right="0" w:hanging="0"/>
              <w:jc w:val="right"/>
              <w:rPr>
                <w:color w:val="000000"/>
              </w:rPr>
            </w:pPr>
            <w:r>
              <w:rPr>
                <w:color w:val="000000"/>
              </w:rPr>
              <w:t> </w:t>
            </w:r>
          </w:p>
        </w:tc>
        <w:tc>
          <w:tcPr>
            <w:tcW w:w="1467" w:type="dxa"/>
            <w:tcBorders/>
            <w:shd w:fill="CCEEFF" w:val="clear"/>
            <w:vAlign w:val="bottom"/>
          </w:tcPr>
          <w:p>
            <w:pPr>
              <w:pStyle w:val="TableContents"/>
              <w:spacing w:before="0" w:after="0"/>
              <w:ind w:left="0" w:right="0" w:hanging="0"/>
              <w:jc w:val="right"/>
              <w:rPr>
                <w:color w:val="000000"/>
              </w:rPr>
            </w:pPr>
            <w:r>
              <w:rPr>
                <w:color w:val="000000"/>
              </w:rPr>
              <w:t> </w:t>
            </w:r>
          </w:p>
        </w:tc>
        <w:tc>
          <w:tcPr>
            <w:tcW w:w="270" w:type="dxa"/>
            <w:tcBorders/>
            <w:shd w:fill="CCEEFF" w:val="clear"/>
            <w:vAlign w:val="bottom"/>
          </w:tcPr>
          <w:p>
            <w:pPr>
              <w:pStyle w:val="TableContents"/>
              <w:spacing w:before="0" w:after="0"/>
              <w:ind w:left="0" w:right="0" w:firstLine="75"/>
              <w:jc w:val="left"/>
              <w:rPr>
                <w:color w:val="000000"/>
              </w:rPr>
            </w:pPr>
            <w:r>
              <w:rPr>
                <w:color w:val="000000"/>
              </w:rPr>
              <w:t> </w:t>
            </w:r>
          </w:p>
        </w:tc>
        <w:tc>
          <w:tcPr>
            <w:tcW w:w="304" w:type="dxa"/>
            <w:tcBorders/>
            <w:shd w:fill="CCEEFF" w:val="clear"/>
            <w:vAlign w:val="bottom"/>
          </w:tcPr>
          <w:p>
            <w:pPr>
              <w:pStyle w:val="TableContents"/>
              <w:spacing w:before="0" w:after="0"/>
              <w:ind w:left="0" w:right="0" w:hanging="0"/>
              <w:jc w:val="right"/>
              <w:rPr>
                <w:color w:val="000000"/>
              </w:rPr>
            </w:pPr>
            <w:r>
              <w:rPr>
                <w:color w:val="000000"/>
              </w:rPr>
              <w:t> </w:t>
            </w:r>
          </w:p>
        </w:tc>
        <w:tc>
          <w:tcPr>
            <w:tcW w:w="1467" w:type="dxa"/>
            <w:tcBorders/>
            <w:shd w:fill="CCEEFF" w:val="clear"/>
            <w:vAlign w:val="bottom"/>
          </w:tcPr>
          <w:p>
            <w:pPr>
              <w:pStyle w:val="TableContents"/>
              <w:spacing w:before="0" w:after="0"/>
              <w:ind w:left="0" w:right="0" w:hanging="0"/>
              <w:jc w:val="right"/>
              <w:rPr>
                <w:color w:val="000000"/>
              </w:rPr>
            </w:pPr>
            <w:r>
              <w:rPr>
                <w:color w:val="000000"/>
              </w:rPr>
              <w:t> </w:t>
            </w:r>
          </w:p>
        </w:tc>
        <w:tc>
          <w:tcPr>
            <w:tcW w:w="395" w:type="dxa"/>
            <w:tcBorders/>
            <w:shd w:fill="CCEEFF" w:val="clear"/>
            <w:vAlign w:val="bottom"/>
          </w:tcPr>
          <w:p>
            <w:pPr>
              <w:pStyle w:val="TableContents"/>
              <w:spacing w:before="0" w:after="0"/>
              <w:ind w:left="0" w:right="0" w:hanging="0"/>
              <w:jc w:val="left"/>
              <w:rPr>
                <w:color w:val="000000"/>
              </w:rPr>
            </w:pPr>
            <w:r>
              <w:rPr>
                <w:color w:val="000000"/>
              </w:rPr>
              <w:t> </w:t>
            </w:r>
          </w:p>
        </w:tc>
      </w:tr>
      <w:tr>
        <w:trPr/>
        <w:tc>
          <w:tcPr>
            <w:tcW w:w="5998" w:type="dxa"/>
            <w:tcBorders/>
            <w:shd w:fill="auto" w:val="clear"/>
            <w:vAlign w:val="bottom"/>
          </w:tcPr>
          <w:p>
            <w:pPr>
              <w:pStyle w:val="TableContents"/>
              <w:spacing w:lineRule="auto" w:line="240"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Weighted average shares outstanding, basic and diluted(1)</w:t>
            </w:r>
          </w:p>
        </w:tc>
        <w:tc>
          <w:tcPr>
            <w:tcW w:w="304" w:type="dxa"/>
            <w:tcBorders/>
            <w:shd w:fill="auto" w:val="clear"/>
            <w:vAlign w:val="bottom"/>
          </w:tcPr>
          <w:p>
            <w:pPr>
              <w:pStyle w:val="TableContents"/>
              <w:spacing w:before="0" w:after="0"/>
              <w:ind w:left="0" w:right="0" w:hanging="0"/>
              <w:jc w:val="right"/>
              <w:rPr>
                <w:color w:val="000000"/>
                <w:bdr w:val="double" w:sz="8" w:space="1" w:color="000000"/>
              </w:rPr>
            </w:pPr>
            <w:r>
              <w:rPr>
                <w:color w:val="000000"/>
                <w:bdr w:val="double" w:sz="8" w:space="1" w:color="000000"/>
              </w:rPr>
              <w:t> </w:t>
            </w:r>
          </w:p>
        </w:tc>
        <w:tc>
          <w:tcPr>
            <w:tcW w:w="1467"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6,250,000</w:t>
            </w:r>
          </w:p>
        </w:tc>
        <w:tc>
          <w:tcPr>
            <w:tcW w:w="270" w:type="dxa"/>
            <w:tcBorders/>
            <w:shd w:fill="auto" w:val="clear"/>
            <w:vAlign w:val="bottom"/>
          </w:tcPr>
          <w:p>
            <w:pPr>
              <w:pStyle w:val="TableContents"/>
              <w:spacing w:before="0" w:after="0"/>
              <w:ind w:left="0" w:right="0" w:firstLine="75"/>
              <w:jc w:val="left"/>
              <w:rPr>
                <w:color w:val="000000"/>
              </w:rPr>
            </w:pPr>
            <w:r>
              <w:rPr>
                <w:color w:val="000000"/>
              </w:rPr>
              <w:t> </w:t>
            </w:r>
          </w:p>
        </w:tc>
        <w:tc>
          <w:tcPr>
            <w:tcW w:w="304" w:type="dxa"/>
            <w:tcBorders/>
            <w:shd w:fill="auto" w:val="clear"/>
            <w:vAlign w:val="bottom"/>
          </w:tcPr>
          <w:p>
            <w:pPr>
              <w:pStyle w:val="TableContents"/>
              <w:spacing w:before="0" w:after="0"/>
              <w:ind w:left="0" w:right="0" w:hanging="0"/>
              <w:jc w:val="right"/>
              <w:rPr>
                <w:color w:val="000000"/>
                <w:bdr w:val="double" w:sz="8" w:space="1" w:color="000000"/>
              </w:rPr>
            </w:pPr>
            <w:r>
              <w:rPr>
                <w:color w:val="000000"/>
                <w:bdr w:val="double" w:sz="8" w:space="1" w:color="000000"/>
              </w:rPr>
              <w:t> </w:t>
            </w:r>
          </w:p>
        </w:tc>
        <w:tc>
          <w:tcPr>
            <w:tcW w:w="1467"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6,250,000</w:t>
            </w:r>
          </w:p>
        </w:tc>
        <w:tc>
          <w:tcPr>
            <w:tcW w:w="395" w:type="dxa"/>
            <w:tcBorders/>
            <w:shd w:fill="auto" w:val="clear"/>
            <w:vAlign w:val="bottom"/>
          </w:tcPr>
          <w:p>
            <w:pPr>
              <w:pStyle w:val="TableContents"/>
              <w:spacing w:before="0" w:after="0"/>
              <w:ind w:left="0" w:right="0" w:hanging="0"/>
              <w:jc w:val="left"/>
              <w:rPr>
                <w:color w:val="000000"/>
              </w:rPr>
            </w:pPr>
            <w:r>
              <w:rPr>
                <w:color w:val="000000"/>
              </w:rPr>
              <w:t> </w:t>
            </w:r>
          </w:p>
        </w:tc>
      </w:tr>
      <w:tr>
        <w:trPr/>
        <w:tc>
          <w:tcPr>
            <w:tcW w:w="5998" w:type="dxa"/>
            <w:tcBorders/>
            <w:shd w:fill="CCEEFF" w:val="clear"/>
            <w:vAlign w:val="bottom"/>
          </w:tcPr>
          <w:p>
            <w:pPr>
              <w:pStyle w:val="TableContents"/>
              <w:spacing w:before="0" w:after="0"/>
              <w:ind w:left="0" w:right="0" w:firstLine="75"/>
              <w:jc w:val="left"/>
              <w:rPr>
                <w:color w:val="000000"/>
              </w:rPr>
            </w:pPr>
            <w:r>
              <w:rPr>
                <w:color w:val="000000"/>
              </w:rPr>
              <w:t> </w:t>
            </w:r>
          </w:p>
        </w:tc>
        <w:tc>
          <w:tcPr>
            <w:tcW w:w="304" w:type="dxa"/>
            <w:tcBorders/>
            <w:shd w:fill="CCEEFF" w:val="clear"/>
            <w:vAlign w:val="bottom"/>
          </w:tcPr>
          <w:p>
            <w:pPr>
              <w:pStyle w:val="TableContents"/>
              <w:spacing w:before="0" w:after="0"/>
              <w:ind w:left="0" w:right="0" w:hanging="0"/>
              <w:jc w:val="right"/>
              <w:rPr>
                <w:color w:val="000000"/>
              </w:rPr>
            </w:pPr>
            <w:r>
              <w:rPr>
                <w:color w:val="000000"/>
              </w:rPr>
              <w:t> </w:t>
            </w:r>
          </w:p>
        </w:tc>
        <w:tc>
          <w:tcPr>
            <w:tcW w:w="1467" w:type="dxa"/>
            <w:tcBorders/>
            <w:shd w:fill="CCEEFF" w:val="clear"/>
            <w:vAlign w:val="bottom"/>
          </w:tcPr>
          <w:p>
            <w:pPr>
              <w:pStyle w:val="TableContents"/>
              <w:spacing w:before="0" w:after="0"/>
              <w:ind w:left="0" w:right="0" w:hanging="0"/>
              <w:jc w:val="right"/>
              <w:rPr>
                <w:color w:val="000000"/>
              </w:rPr>
            </w:pPr>
            <w:r>
              <w:rPr>
                <w:color w:val="000000"/>
              </w:rPr>
              <w:t> </w:t>
            </w:r>
          </w:p>
        </w:tc>
        <w:tc>
          <w:tcPr>
            <w:tcW w:w="270" w:type="dxa"/>
            <w:tcBorders/>
            <w:shd w:fill="CCEEFF" w:val="clear"/>
            <w:vAlign w:val="bottom"/>
          </w:tcPr>
          <w:p>
            <w:pPr>
              <w:pStyle w:val="TableContents"/>
              <w:spacing w:before="0" w:after="0"/>
              <w:ind w:left="0" w:right="0" w:firstLine="75"/>
              <w:jc w:val="left"/>
              <w:rPr>
                <w:color w:val="000000"/>
              </w:rPr>
            </w:pPr>
            <w:r>
              <w:rPr>
                <w:color w:val="000000"/>
              </w:rPr>
              <w:t> </w:t>
            </w:r>
          </w:p>
        </w:tc>
        <w:tc>
          <w:tcPr>
            <w:tcW w:w="304" w:type="dxa"/>
            <w:tcBorders/>
            <w:shd w:fill="CCEEFF" w:val="clear"/>
            <w:vAlign w:val="bottom"/>
          </w:tcPr>
          <w:p>
            <w:pPr>
              <w:pStyle w:val="TableContents"/>
              <w:spacing w:before="0" w:after="0"/>
              <w:ind w:left="0" w:right="0" w:hanging="0"/>
              <w:jc w:val="right"/>
              <w:rPr>
                <w:color w:val="000000"/>
              </w:rPr>
            </w:pPr>
            <w:r>
              <w:rPr>
                <w:color w:val="000000"/>
              </w:rPr>
              <w:t> </w:t>
            </w:r>
          </w:p>
        </w:tc>
        <w:tc>
          <w:tcPr>
            <w:tcW w:w="1467" w:type="dxa"/>
            <w:tcBorders/>
            <w:shd w:fill="CCEEFF" w:val="clear"/>
            <w:vAlign w:val="bottom"/>
          </w:tcPr>
          <w:p>
            <w:pPr>
              <w:pStyle w:val="TableContents"/>
              <w:spacing w:before="0" w:after="0"/>
              <w:ind w:left="0" w:right="0" w:hanging="0"/>
              <w:jc w:val="right"/>
              <w:rPr>
                <w:color w:val="000000"/>
              </w:rPr>
            </w:pPr>
            <w:r>
              <w:rPr>
                <w:color w:val="000000"/>
              </w:rPr>
              <w:t> </w:t>
            </w:r>
          </w:p>
        </w:tc>
        <w:tc>
          <w:tcPr>
            <w:tcW w:w="395" w:type="dxa"/>
            <w:tcBorders/>
            <w:shd w:fill="CCEEFF" w:val="clear"/>
            <w:vAlign w:val="bottom"/>
          </w:tcPr>
          <w:p>
            <w:pPr>
              <w:pStyle w:val="TableContents"/>
              <w:spacing w:before="0" w:after="0"/>
              <w:ind w:left="0" w:right="0" w:hanging="0"/>
              <w:jc w:val="left"/>
              <w:rPr>
                <w:color w:val="000000"/>
              </w:rPr>
            </w:pPr>
            <w:r>
              <w:rPr>
                <w:color w:val="000000"/>
              </w:rPr>
              <w:t> </w:t>
            </w:r>
          </w:p>
        </w:tc>
      </w:tr>
      <w:tr>
        <w:trPr/>
        <w:tc>
          <w:tcPr>
            <w:tcW w:w="5998" w:type="dxa"/>
            <w:tcBorders/>
            <w:shd w:fill="auto" w:val="clear"/>
            <w:vAlign w:val="bottom"/>
          </w:tcPr>
          <w:p>
            <w:pPr>
              <w:pStyle w:val="TableContents"/>
              <w:spacing w:before="0" w:after="0"/>
              <w:ind w:left="0" w:right="0" w:firstLine="75"/>
              <w:jc w:val="left"/>
              <w:rPr>
                <w:rFonts w:ascii="Times New Roman;Times;Serif" w:hAnsi="Times New Roman;Times;Serif"/>
                <w:b/>
                <w:color w:val="000000"/>
                <w:sz w:val="17"/>
              </w:rPr>
            </w:pPr>
            <w:r>
              <w:rPr>
                <w:rFonts w:ascii="Times New Roman;Times;Serif" w:hAnsi="Times New Roman;Times;Serif"/>
                <w:b/>
                <w:color w:val="000000"/>
                <w:sz w:val="17"/>
              </w:rPr>
              <w:t>Basic and diluted net loss per ordinary share</w:t>
            </w:r>
          </w:p>
        </w:tc>
        <w:tc>
          <w:tcPr>
            <w:tcW w:w="304"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w:t>
            </w:r>
          </w:p>
        </w:tc>
        <w:tc>
          <w:tcPr>
            <w:tcW w:w="1467"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(0.00</w:t>
            </w:r>
          </w:p>
        </w:tc>
        <w:tc>
          <w:tcPr>
            <w:tcW w:w="270" w:type="dxa"/>
            <w:tcBorders/>
            <w:shd w:fill="auto"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w:t>
            </w:r>
          </w:p>
        </w:tc>
        <w:tc>
          <w:tcPr>
            <w:tcW w:w="304"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w:t>
            </w:r>
          </w:p>
        </w:tc>
        <w:tc>
          <w:tcPr>
            <w:tcW w:w="1467"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(0.00</w:t>
            </w:r>
          </w:p>
        </w:tc>
        <w:tc>
          <w:tcPr>
            <w:tcW w:w="395" w:type="dxa"/>
            <w:tcBorders/>
            <w:shd w:fill="auto" w:val="clear"/>
            <w:vAlign w:val="bottom"/>
          </w:tcPr>
          <w:p>
            <w:pPr>
              <w:pStyle w:val="TableContents"/>
              <w:spacing w:before="0" w:after="0"/>
              <w:jc w:val="left"/>
              <w:rPr>
                <w:rFonts w:ascii="Times New Roman;Times;Serif" w:hAnsi="Times New Roman;Times;Serif"/>
                <w:color w:val="000000"/>
                <w:sz w:val="17"/>
              </w:rPr>
            </w:pPr>
            <w:r>
              <w:rPr>
                <w:rFonts w:ascii="Times New Roman;Times;Serif" w:hAnsi="Times New Roman;Times;Serif"/>
                <w:color w:val="000000"/>
                <w:sz w:val="17"/>
              </w:rPr>
              <w:t>)</w:t>
            </w:r>
          </w:p>
        </w:tc>
      </w:tr>
    </w:tbl>
    <w:tbl>
      <w:tblPr>
        <w:tblW w:w="5000" w:type="pct"/>
        <w:jc w:val="left"/>
        <w:tblInd w:w="0" w:type="dxa"/>
        <w:tblCellMar>
          <w:top w:w="0" w:type="dxa"/>
          <w:left w:w="0" w:type="dxa"/>
          <w:bottom w:w="0" w:type="dxa"/>
          <w:right w:w="0" w:type="dxa"/>
        </w:tblCellMar>
      </w:tblPr>
      <w:tblGrid>
        <w:gridCol w:w="46"/>
        <w:gridCol w:w="473"/>
        <w:gridCol w:w="9686"/>
      </w:tblGrid>
      <w:tr>
        <w:trPr/>
        <w:tc>
          <w:tcPr>
            <w:tcW w:w="46"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jc w:val="left"/>
              <w:rPr>
                <w:rFonts w:ascii="Times New Roman;Times;Serif" w:hAnsi="Times New Roman;Times;Serif"/>
                <w:color w:val="000000"/>
                <w:sz w:val="12"/>
              </w:rPr>
            </w:pPr>
            <w:r>
              <w:rPr>
                <w:rFonts w:ascii="Times New Roman;Times;Serif" w:hAnsi="Times New Roman;Times;Serif"/>
                <w:color w:val="000000"/>
                <w:sz w:val="12"/>
              </w:rPr>
              <w:t>(1)</w:t>
            </w:r>
          </w:p>
        </w:tc>
        <w:tc>
          <w:tcPr>
            <w:tcW w:w="9686" w:type="dxa"/>
            <w:tcBorders/>
            <w:shd w:fill="auto" w:val="clear"/>
            <w:vAlign w:val="center"/>
          </w:tcPr>
          <w:p>
            <w:pPr>
              <w:pStyle w:val="TableContents"/>
              <w:spacing w:before="0" w:after="283"/>
              <w:jc w:val="left"/>
              <w:rPr>
                <w:rFonts w:ascii="Times New Roman;Times;Serif" w:hAnsi="Times New Roman;Times;Serif"/>
                <w:color w:val="000000"/>
                <w:sz w:val="12"/>
              </w:rPr>
            </w:pPr>
            <w:r>
              <w:rPr>
                <w:rFonts w:ascii="Times New Roman;Times;Serif" w:hAnsi="Times New Roman;Times;Serif"/>
                <w:color w:val="000000"/>
                <w:sz w:val="12"/>
              </w:rPr>
              <w:t xml:space="preserve">Excludes an aggregate of up to 937,500 shares subject to forfeiture if the over-allotment option is not exercised in full or in part by the underwriters (see Note 6). </w:t>
            </w:r>
          </w:p>
        </w:tc>
      </w:tr>
    </w:tbl>
    <w:p>
      <w:pPr>
        <w:pStyle w:val="TextBody"/>
        <w:spacing w:before="0" w:after="0"/>
        <w:ind w:left="0" w:right="0" w:hanging="0"/>
        <w:jc w:val="center"/>
        <w:rPr>
          <w:rFonts w:ascii="Times New Roman;Times;Serif" w:hAnsi="Times New Roman;Times;Serif"/>
          <w:i/>
          <w:color w:val="000000"/>
          <w:sz w:val="17"/>
        </w:rPr>
      </w:pPr>
      <w:r>
        <w:rPr>
          <w:rFonts w:ascii="Times New Roman;Times;Serif" w:hAnsi="Times New Roman;Times;Serif"/>
          <w:i/>
          <w:color w:val="000000"/>
          <w:sz w:val="17"/>
        </w:rPr>
        <w:t>The accompanying notes are an integral part of these financial statements.</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F-4</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10" w:before="240" w:after="0"/>
        <w:ind w:left="0" w:right="0" w:hanging="0"/>
        <w:jc w:val="center"/>
        <w:rPr>
          <w:rFonts w:ascii="Times New Roman;Times;Serif" w:hAnsi="Times New Roman;Times;Serif"/>
          <w:b/>
          <w:color w:val="000000"/>
          <w:sz w:val="17"/>
        </w:rPr>
      </w:pPr>
      <w:bookmarkStart w:id="29" w:name="tSCF"/>
      <w:bookmarkEnd w:id="29"/>
      <w:r>
        <w:rPr>
          <w:rFonts w:ascii="Times New Roman;Times;Serif" w:hAnsi="Times New Roman;Times;Serif"/>
          <w:b/>
          <w:color w:val="000000"/>
          <w:sz w:val="17"/>
        </w:rPr>
        <w:t>SILVER SPIKE ACQUISITION CORP.</w:t>
        <w:br/>
        <w:t xml:space="preserve">STATEMENTS OF CHANGES IN SHAREHOLDER’S EQUITY </w:t>
      </w:r>
    </w:p>
    <w:tbl>
      <w:tblPr>
        <w:tblW w:w="5000" w:type="pct"/>
        <w:jc w:val="center"/>
        <w:tblInd w:w="0" w:type="dxa"/>
        <w:tblCellMar>
          <w:top w:w="0" w:type="dxa"/>
          <w:left w:w="0" w:type="dxa"/>
          <w:bottom w:w="0" w:type="dxa"/>
          <w:right w:w="0" w:type="dxa"/>
        </w:tblCellMar>
      </w:tblPr>
      <w:tblGrid>
        <w:gridCol w:w="3307"/>
        <w:gridCol w:w="224"/>
        <w:gridCol w:w="1085"/>
        <w:gridCol w:w="227"/>
        <w:gridCol w:w="263"/>
        <w:gridCol w:w="569"/>
        <w:gridCol w:w="227"/>
        <w:gridCol w:w="263"/>
        <w:gridCol w:w="855"/>
        <w:gridCol w:w="226"/>
        <w:gridCol w:w="263"/>
        <w:gridCol w:w="942"/>
        <w:gridCol w:w="242"/>
        <w:gridCol w:w="263"/>
        <w:gridCol w:w="1021"/>
        <w:gridCol w:w="228"/>
      </w:tblGrid>
      <w:tr>
        <w:trPr/>
        <w:tc>
          <w:tcPr>
            <w:tcW w:w="3307" w:type="dxa"/>
            <w:tcBorders/>
            <w:shd w:fill="auto" w:val="clear"/>
            <w:vAlign w:val="bottom"/>
          </w:tcPr>
          <w:p>
            <w:pPr>
              <w:pStyle w:val="TableContents"/>
              <w:spacing w:before="0" w:after="0"/>
              <w:ind w:left="0" w:right="0" w:firstLine="90"/>
              <w:jc w:val="left"/>
              <w:rPr>
                <w:color w:val="000000"/>
              </w:rPr>
            </w:pPr>
            <w:r>
              <w:rPr>
                <w:color w:val="000000"/>
              </w:rPr>
              <w:t> </w:t>
            </w:r>
          </w:p>
        </w:tc>
        <w:tc>
          <w:tcPr>
            <w:tcW w:w="2595" w:type="dxa"/>
            <w:gridSpan w:val="6"/>
            <w:tcBorders/>
            <w:shd w:fill="auto" w:val="clear"/>
            <w:vAlign w:val="bottom"/>
          </w:tcPr>
          <w:p>
            <w:pPr>
              <w:pStyle w:val="TableContents"/>
              <w:spacing w:before="0" w:after="0"/>
              <w:ind w:left="0" w:right="0" w:firstLine="9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 xml:space="preserve">Ordinary Shares </w:t>
            </w:r>
          </w:p>
        </w:tc>
        <w:tc>
          <w:tcPr>
            <w:tcW w:w="1344" w:type="dxa"/>
            <w:gridSpan w:val="3"/>
            <w:vMerge w:val="restart"/>
            <w:tcBorders/>
            <w:shd w:fill="auto" w:val="clear"/>
            <w:vAlign w:val="bottom"/>
          </w:tcPr>
          <w:p>
            <w:pPr>
              <w:pStyle w:val="TableContents"/>
              <w:spacing w:before="0" w:after="0"/>
              <w:ind w:left="0" w:right="0" w:firstLine="9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Additional</w:t>
              <w:br/>
              <w:t>Paid in</w:t>
              <w:br/>
              <w:t xml:space="preserve">Capital </w:t>
            </w:r>
          </w:p>
        </w:tc>
        <w:tc>
          <w:tcPr>
            <w:tcW w:w="1447" w:type="dxa"/>
            <w:gridSpan w:val="3"/>
            <w:vMerge w:val="restart"/>
            <w:tcBorders/>
            <w:shd w:fill="auto" w:val="clear"/>
            <w:vAlign w:val="bottom"/>
          </w:tcPr>
          <w:p>
            <w:pPr>
              <w:pStyle w:val="TableContents"/>
              <w:spacing w:before="0" w:after="0"/>
              <w:ind w:left="0" w:right="0" w:firstLine="9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Accumulated</w:t>
              <w:br/>
              <w:t xml:space="preserve">Deficit </w:t>
            </w:r>
          </w:p>
        </w:tc>
        <w:tc>
          <w:tcPr>
            <w:tcW w:w="1512" w:type="dxa"/>
            <w:gridSpan w:val="3"/>
            <w:vMerge w:val="restart"/>
            <w:tcBorders/>
            <w:shd w:fill="auto" w:val="clear"/>
            <w:vAlign w:val="bottom"/>
          </w:tcPr>
          <w:p>
            <w:pPr>
              <w:pStyle w:val="TableContents"/>
              <w:spacing w:before="0" w:after="0"/>
              <w:ind w:left="0" w:right="0" w:hanging="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Total</w:t>
              <w:br/>
              <w:t>Shareholder's</w:t>
              <w:br/>
              <w:t>Equity</w:t>
            </w:r>
          </w:p>
        </w:tc>
      </w:tr>
      <w:tr>
        <w:trPr/>
        <w:tc>
          <w:tcPr>
            <w:tcW w:w="3307" w:type="dxa"/>
            <w:tcBorders/>
            <w:shd w:fill="auto" w:val="clear"/>
            <w:vAlign w:val="bottom"/>
          </w:tcPr>
          <w:p>
            <w:pPr>
              <w:pStyle w:val="TableContents"/>
              <w:spacing w:before="0" w:after="0"/>
              <w:ind w:left="0" w:right="0" w:firstLine="90"/>
              <w:jc w:val="left"/>
              <w:rPr>
                <w:color w:val="000000"/>
              </w:rPr>
            </w:pPr>
            <w:r>
              <w:rPr>
                <w:color w:val="000000"/>
              </w:rPr>
              <w:t> </w:t>
            </w:r>
          </w:p>
        </w:tc>
        <w:tc>
          <w:tcPr>
            <w:tcW w:w="1536" w:type="dxa"/>
            <w:gridSpan w:val="3"/>
            <w:tcBorders/>
            <w:shd w:fill="auto" w:val="clear"/>
            <w:vAlign w:val="bottom"/>
          </w:tcPr>
          <w:p>
            <w:pPr>
              <w:pStyle w:val="TableContents"/>
              <w:spacing w:before="0" w:after="0"/>
              <w:ind w:left="0" w:right="0" w:firstLine="9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 xml:space="preserve">Shares </w:t>
            </w:r>
          </w:p>
        </w:tc>
        <w:tc>
          <w:tcPr>
            <w:tcW w:w="1059" w:type="dxa"/>
            <w:gridSpan w:val="3"/>
            <w:tcBorders/>
            <w:shd w:fill="auto" w:val="clear"/>
            <w:vAlign w:val="bottom"/>
          </w:tcPr>
          <w:p>
            <w:pPr>
              <w:pStyle w:val="TableContents"/>
              <w:spacing w:before="0" w:after="0"/>
              <w:ind w:left="0" w:right="0" w:hanging="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 xml:space="preserve">Amount </w:t>
            </w:r>
          </w:p>
        </w:tc>
        <w:tc>
          <w:tcPr>
            <w:tcW w:w="1344" w:type="dxa"/>
            <w:gridSpan w:val="3"/>
            <w:vMerge w:val="continue"/>
            <w:tcBorders/>
            <w:shd w:fill="auto" w:val="clear"/>
            <w:vAlign w:val="bottom"/>
          </w:tcPr>
          <w:p>
            <w:pPr>
              <w:pStyle w:val="Normal"/>
              <w:rPr/>
            </w:pPr>
            <w:r>
              <w:rPr/>
            </w:r>
          </w:p>
        </w:tc>
        <w:tc>
          <w:tcPr>
            <w:tcW w:w="1447" w:type="dxa"/>
            <w:gridSpan w:val="3"/>
            <w:vMerge w:val="continue"/>
            <w:tcBorders/>
            <w:shd w:fill="auto" w:val="clear"/>
            <w:vAlign w:val="bottom"/>
          </w:tcPr>
          <w:p>
            <w:pPr>
              <w:pStyle w:val="Normal"/>
              <w:rPr/>
            </w:pPr>
            <w:r>
              <w:rPr/>
            </w:r>
          </w:p>
        </w:tc>
        <w:tc>
          <w:tcPr>
            <w:tcW w:w="1512" w:type="dxa"/>
            <w:gridSpan w:val="3"/>
            <w:vMerge w:val="continue"/>
            <w:tcBorders/>
            <w:shd w:fill="auto" w:val="clear"/>
            <w:vAlign w:val="bottom"/>
          </w:tcPr>
          <w:p>
            <w:pPr>
              <w:pStyle w:val="Normal"/>
              <w:rPr/>
            </w:pPr>
            <w:r>
              <w:rPr/>
            </w:r>
          </w:p>
        </w:tc>
      </w:tr>
      <w:tr>
        <w:trPr/>
        <w:tc>
          <w:tcPr>
            <w:tcW w:w="3307" w:type="dxa"/>
            <w:tcBorders/>
            <w:shd w:fill="CCEEFF"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Balance – June 7, 2019</w:t>
            </w:r>
          </w:p>
        </w:tc>
        <w:tc>
          <w:tcPr>
            <w:tcW w:w="224" w:type="dxa"/>
            <w:tcBorders/>
            <w:shd w:fill="CCEEFF" w:val="clear"/>
            <w:vAlign w:val="bottom"/>
          </w:tcPr>
          <w:p>
            <w:pPr>
              <w:pStyle w:val="TableContents"/>
              <w:spacing w:before="0" w:after="0"/>
              <w:ind w:left="0" w:right="0" w:hanging="0"/>
              <w:jc w:val="right"/>
              <w:rPr>
                <w:color w:val="000000"/>
              </w:rPr>
            </w:pPr>
            <w:r>
              <w:rPr>
                <w:color w:val="000000"/>
              </w:rPr>
              <w:t> </w:t>
            </w:r>
          </w:p>
        </w:tc>
        <w:tc>
          <w:tcPr>
            <w:tcW w:w="1085" w:type="dxa"/>
            <w:tcBorders/>
            <w:shd w:fill="CCEEFF" w:val="clear"/>
            <w:vAlign w:val="bottom"/>
          </w:tcPr>
          <w:p>
            <w:pPr>
              <w:pStyle w:val="TableContents"/>
              <w:spacing w:before="0" w:after="0"/>
              <w:ind w:left="0" w:right="0" w:hanging="0"/>
              <w:jc w:val="right"/>
              <w:rPr>
                <w:color w:val="000000"/>
              </w:rPr>
            </w:pPr>
            <w:r>
              <w:rPr>
                <w:color w:val="000000"/>
              </w:rPr>
              <w:t>—</w:t>
            </w:r>
          </w:p>
        </w:tc>
        <w:tc>
          <w:tcPr>
            <w:tcW w:w="227" w:type="dxa"/>
            <w:tcBorders/>
            <w:shd w:fill="CCEEFF" w:val="clear"/>
            <w:vAlign w:val="bottom"/>
          </w:tcPr>
          <w:p>
            <w:pPr>
              <w:pStyle w:val="TableContents"/>
              <w:spacing w:before="0" w:after="0"/>
              <w:ind w:left="0" w:right="0" w:firstLine="75"/>
              <w:jc w:val="left"/>
              <w:rPr>
                <w:color w:val="000000"/>
              </w:rPr>
            </w:pPr>
            <w:r>
              <w:rPr>
                <w:color w:val="000000"/>
              </w:rPr>
              <w:t> </w:t>
            </w:r>
          </w:p>
        </w:tc>
        <w:tc>
          <w:tcPr>
            <w:tcW w:w="263"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w:t>
            </w:r>
          </w:p>
        </w:tc>
        <w:tc>
          <w:tcPr>
            <w:tcW w:w="569" w:type="dxa"/>
            <w:tcBorders/>
            <w:shd w:fill="CCEEFF" w:val="clear"/>
            <w:vAlign w:val="bottom"/>
          </w:tcPr>
          <w:p>
            <w:pPr>
              <w:pStyle w:val="TableContents"/>
              <w:spacing w:before="0" w:after="0"/>
              <w:ind w:left="0" w:right="0" w:hanging="0"/>
              <w:jc w:val="right"/>
              <w:rPr>
                <w:color w:val="000000"/>
              </w:rPr>
            </w:pPr>
            <w:r>
              <w:rPr>
                <w:color w:val="000000"/>
              </w:rPr>
              <w:t>—</w:t>
            </w:r>
          </w:p>
        </w:tc>
        <w:tc>
          <w:tcPr>
            <w:tcW w:w="227" w:type="dxa"/>
            <w:tcBorders/>
            <w:shd w:fill="CCEEFF" w:val="clear"/>
            <w:vAlign w:val="bottom"/>
          </w:tcPr>
          <w:p>
            <w:pPr>
              <w:pStyle w:val="TableContents"/>
              <w:spacing w:before="0" w:after="0"/>
              <w:ind w:left="0" w:right="0" w:firstLine="75"/>
              <w:jc w:val="left"/>
              <w:rPr>
                <w:color w:val="000000"/>
              </w:rPr>
            </w:pPr>
            <w:r>
              <w:rPr>
                <w:color w:val="000000"/>
              </w:rPr>
              <w:t> </w:t>
            </w:r>
          </w:p>
        </w:tc>
        <w:tc>
          <w:tcPr>
            <w:tcW w:w="263"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w:t>
            </w:r>
          </w:p>
        </w:tc>
        <w:tc>
          <w:tcPr>
            <w:tcW w:w="855" w:type="dxa"/>
            <w:tcBorders/>
            <w:shd w:fill="CCEEFF" w:val="clear"/>
            <w:vAlign w:val="bottom"/>
          </w:tcPr>
          <w:p>
            <w:pPr>
              <w:pStyle w:val="TableContents"/>
              <w:spacing w:before="0" w:after="0"/>
              <w:ind w:left="0" w:right="0" w:hanging="0"/>
              <w:jc w:val="right"/>
              <w:rPr>
                <w:color w:val="000000"/>
              </w:rPr>
            </w:pPr>
            <w:r>
              <w:rPr>
                <w:color w:val="000000"/>
              </w:rPr>
              <w:t>—</w:t>
            </w:r>
          </w:p>
        </w:tc>
        <w:tc>
          <w:tcPr>
            <w:tcW w:w="226" w:type="dxa"/>
            <w:tcBorders/>
            <w:shd w:fill="CCEEFF" w:val="clear"/>
            <w:vAlign w:val="bottom"/>
          </w:tcPr>
          <w:p>
            <w:pPr>
              <w:pStyle w:val="TableContents"/>
              <w:spacing w:before="0" w:after="0"/>
              <w:ind w:left="0" w:right="0" w:firstLine="75"/>
              <w:jc w:val="left"/>
              <w:rPr>
                <w:color w:val="000000"/>
              </w:rPr>
            </w:pPr>
            <w:r>
              <w:rPr>
                <w:color w:val="000000"/>
              </w:rPr>
              <w:t> </w:t>
            </w:r>
          </w:p>
        </w:tc>
        <w:tc>
          <w:tcPr>
            <w:tcW w:w="263"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w:t>
            </w:r>
          </w:p>
        </w:tc>
        <w:tc>
          <w:tcPr>
            <w:tcW w:w="942" w:type="dxa"/>
            <w:tcBorders/>
            <w:shd w:fill="CCEEFF" w:val="clear"/>
            <w:vAlign w:val="bottom"/>
          </w:tcPr>
          <w:p>
            <w:pPr>
              <w:pStyle w:val="TableContents"/>
              <w:spacing w:before="0" w:after="0"/>
              <w:ind w:left="0" w:right="0" w:hanging="0"/>
              <w:jc w:val="right"/>
              <w:rPr>
                <w:color w:val="000000"/>
              </w:rPr>
            </w:pPr>
            <w:r>
              <w:rPr>
                <w:color w:val="000000"/>
              </w:rPr>
              <w:t>—</w:t>
            </w:r>
          </w:p>
        </w:tc>
        <w:tc>
          <w:tcPr>
            <w:tcW w:w="242" w:type="dxa"/>
            <w:tcBorders/>
            <w:shd w:fill="CCEEFF" w:val="clear"/>
            <w:vAlign w:val="bottom"/>
          </w:tcPr>
          <w:p>
            <w:pPr>
              <w:pStyle w:val="TableContents"/>
              <w:spacing w:before="0" w:after="0"/>
              <w:ind w:left="0" w:right="0" w:firstLine="75"/>
              <w:jc w:val="left"/>
              <w:rPr>
                <w:color w:val="000000"/>
              </w:rPr>
            </w:pPr>
            <w:r>
              <w:rPr>
                <w:color w:val="000000"/>
              </w:rPr>
              <w:t> </w:t>
            </w:r>
          </w:p>
        </w:tc>
        <w:tc>
          <w:tcPr>
            <w:tcW w:w="263"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w:t>
            </w:r>
          </w:p>
        </w:tc>
        <w:tc>
          <w:tcPr>
            <w:tcW w:w="1021" w:type="dxa"/>
            <w:tcBorders/>
            <w:shd w:fill="CCEEFF" w:val="clear"/>
            <w:vAlign w:val="bottom"/>
          </w:tcPr>
          <w:p>
            <w:pPr>
              <w:pStyle w:val="TableContents"/>
              <w:spacing w:before="0" w:after="0"/>
              <w:ind w:left="0" w:right="0" w:hanging="0"/>
              <w:jc w:val="right"/>
              <w:rPr>
                <w:color w:val="000000"/>
              </w:rPr>
            </w:pPr>
            <w:r>
              <w:rPr>
                <w:color w:val="000000"/>
              </w:rPr>
              <w:t>—</w:t>
            </w:r>
          </w:p>
        </w:tc>
        <w:tc>
          <w:tcPr>
            <w:tcW w:w="228" w:type="dxa"/>
            <w:tcBorders/>
            <w:shd w:fill="CCEEFF" w:val="clear"/>
            <w:vAlign w:val="bottom"/>
          </w:tcPr>
          <w:p>
            <w:pPr>
              <w:pStyle w:val="TableContents"/>
              <w:spacing w:before="0" w:after="0"/>
              <w:ind w:left="0" w:right="0" w:hanging="0"/>
              <w:jc w:val="left"/>
              <w:rPr>
                <w:color w:val="000000"/>
              </w:rPr>
            </w:pPr>
            <w:r>
              <w:rPr>
                <w:color w:val="000000"/>
              </w:rPr>
              <w:t> </w:t>
            </w:r>
          </w:p>
        </w:tc>
      </w:tr>
      <w:tr>
        <w:trPr/>
        <w:tc>
          <w:tcPr>
            <w:tcW w:w="3307" w:type="dxa"/>
            <w:tcBorders/>
            <w:shd w:fill="auto" w:val="clear"/>
            <w:vAlign w:val="bottom"/>
          </w:tcPr>
          <w:p>
            <w:pPr>
              <w:pStyle w:val="TableContents"/>
              <w:spacing w:lineRule="auto" w:line="240"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Issuance of Class B ordinary shares to Sponsor(1)</w:t>
            </w:r>
          </w:p>
        </w:tc>
        <w:tc>
          <w:tcPr>
            <w:tcW w:w="224" w:type="dxa"/>
            <w:tcBorders/>
            <w:shd w:fill="auto" w:val="clear"/>
            <w:vAlign w:val="bottom"/>
          </w:tcPr>
          <w:p>
            <w:pPr>
              <w:pStyle w:val="TableContents"/>
              <w:spacing w:before="0" w:after="0"/>
              <w:ind w:left="0" w:right="0" w:hanging="0"/>
              <w:jc w:val="right"/>
              <w:rPr>
                <w:color w:val="000000"/>
              </w:rPr>
            </w:pPr>
            <w:r>
              <w:rPr>
                <w:color w:val="000000"/>
              </w:rPr>
              <w:t> </w:t>
            </w:r>
          </w:p>
        </w:tc>
        <w:tc>
          <w:tcPr>
            <w:tcW w:w="1085"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7,187,500</w:t>
            </w:r>
          </w:p>
        </w:tc>
        <w:tc>
          <w:tcPr>
            <w:tcW w:w="227" w:type="dxa"/>
            <w:tcBorders/>
            <w:shd w:fill="auto" w:val="clear"/>
            <w:vAlign w:val="bottom"/>
          </w:tcPr>
          <w:p>
            <w:pPr>
              <w:pStyle w:val="TableContents"/>
              <w:spacing w:before="0" w:after="0"/>
              <w:ind w:left="0" w:right="0" w:firstLine="75"/>
              <w:jc w:val="left"/>
              <w:rPr>
                <w:color w:val="000000"/>
              </w:rPr>
            </w:pPr>
            <w:r>
              <w:rPr>
                <w:color w:val="000000"/>
              </w:rPr>
              <w:t> </w:t>
            </w:r>
          </w:p>
        </w:tc>
        <w:tc>
          <w:tcPr>
            <w:tcW w:w="263" w:type="dxa"/>
            <w:tcBorders/>
            <w:shd w:fill="auto" w:val="clear"/>
            <w:vAlign w:val="bottom"/>
          </w:tcPr>
          <w:p>
            <w:pPr>
              <w:pStyle w:val="TableContents"/>
              <w:spacing w:before="0" w:after="0"/>
              <w:ind w:left="0" w:right="0" w:hanging="0"/>
              <w:jc w:val="right"/>
              <w:rPr>
                <w:color w:val="000000"/>
              </w:rPr>
            </w:pPr>
            <w:r>
              <w:rPr>
                <w:color w:val="000000"/>
              </w:rPr>
              <w:t> </w:t>
            </w:r>
          </w:p>
        </w:tc>
        <w:tc>
          <w:tcPr>
            <w:tcW w:w="569"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719</w:t>
            </w:r>
          </w:p>
        </w:tc>
        <w:tc>
          <w:tcPr>
            <w:tcW w:w="227" w:type="dxa"/>
            <w:tcBorders/>
            <w:shd w:fill="auto" w:val="clear"/>
            <w:vAlign w:val="bottom"/>
          </w:tcPr>
          <w:p>
            <w:pPr>
              <w:pStyle w:val="TableContents"/>
              <w:spacing w:before="0" w:after="0"/>
              <w:ind w:left="0" w:right="0" w:firstLine="75"/>
              <w:jc w:val="left"/>
              <w:rPr>
                <w:color w:val="000000"/>
              </w:rPr>
            </w:pPr>
            <w:r>
              <w:rPr>
                <w:color w:val="000000"/>
              </w:rPr>
              <w:t> </w:t>
            </w:r>
          </w:p>
        </w:tc>
        <w:tc>
          <w:tcPr>
            <w:tcW w:w="263" w:type="dxa"/>
            <w:tcBorders/>
            <w:shd w:fill="auto" w:val="clear"/>
            <w:vAlign w:val="bottom"/>
          </w:tcPr>
          <w:p>
            <w:pPr>
              <w:pStyle w:val="TableContents"/>
              <w:spacing w:before="0" w:after="0"/>
              <w:ind w:left="0" w:right="0" w:hanging="0"/>
              <w:jc w:val="right"/>
              <w:rPr>
                <w:color w:val="000000"/>
              </w:rPr>
            </w:pPr>
            <w:r>
              <w:rPr>
                <w:color w:val="000000"/>
              </w:rPr>
              <w:t> </w:t>
            </w:r>
          </w:p>
        </w:tc>
        <w:tc>
          <w:tcPr>
            <w:tcW w:w="855"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24,281</w:t>
            </w:r>
          </w:p>
        </w:tc>
        <w:tc>
          <w:tcPr>
            <w:tcW w:w="226" w:type="dxa"/>
            <w:tcBorders/>
            <w:shd w:fill="auto" w:val="clear"/>
            <w:vAlign w:val="bottom"/>
          </w:tcPr>
          <w:p>
            <w:pPr>
              <w:pStyle w:val="TableContents"/>
              <w:spacing w:before="0" w:after="0"/>
              <w:ind w:left="0" w:right="0" w:firstLine="75"/>
              <w:jc w:val="left"/>
              <w:rPr>
                <w:color w:val="000000"/>
              </w:rPr>
            </w:pPr>
            <w:r>
              <w:rPr>
                <w:color w:val="000000"/>
              </w:rPr>
              <w:t> </w:t>
            </w:r>
          </w:p>
        </w:tc>
        <w:tc>
          <w:tcPr>
            <w:tcW w:w="263" w:type="dxa"/>
            <w:tcBorders/>
            <w:shd w:fill="auto" w:val="clear"/>
            <w:vAlign w:val="bottom"/>
          </w:tcPr>
          <w:p>
            <w:pPr>
              <w:pStyle w:val="TableContents"/>
              <w:spacing w:before="0" w:after="0"/>
              <w:ind w:left="0" w:right="0" w:hanging="0"/>
              <w:jc w:val="right"/>
              <w:rPr>
                <w:color w:val="000000"/>
              </w:rPr>
            </w:pPr>
            <w:r>
              <w:rPr>
                <w:color w:val="000000"/>
              </w:rPr>
              <w:t> </w:t>
            </w:r>
          </w:p>
        </w:tc>
        <w:tc>
          <w:tcPr>
            <w:tcW w:w="942" w:type="dxa"/>
            <w:tcBorders/>
            <w:shd w:fill="auto" w:val="clear"/>
            <w:vAlign w:val="bottom"/>
          </w:tcPr>
          <w:p>
            <w:pPr>
              <w:pStyle w:val="TableContents"/>
              <w:spacing w:before="0" w:after="0"/>
              <w:ind w:left="0" w:right="0" w:hanging="0"/>
              <w:jc w:val="right"/>
              <w:rPr>
                <w:color w:val="000000"/>
              </w:rPr>
            </w:pPr>
            <w:r>
              <w:rPr>
                <w:color w:val="000000"/>
              </w:rPr>
              <w:t>—</w:t>
            </w:r>
          </w:p>
        </w:tc>
        <w:tc>
          <w:tcPr>
            <w:tcW w:w="242" w:type="dxa"/>
            <w:tcBorders/>
            <w:shd w:fill="auto" w:val="clear"/>
            <w:vAlign w:val="bottom"/>
          </w:tcPr>
          <w:p>
            <w:pPr>
              <w:pStyle w:val="TableContents"/>
              <w:spacing w:before="0" w:after="0"/>
              <w:ind w:left="0" w:right="0" w:firstLine="75"/>
              <w:jc w:val="left"/>
              <w:rPr>
                <w:color w:val="000000"/>
              </w:rPr>
            </w:pPr>
            <w:r>
              <w:rPr>
                <w:color w:val="000000"/>
              </w:rPr>
              <w:t> </w:t>
            </w:r>
          </w:p>
        </w:tc>
        <w:tc>
          <w:tcPr>
            <w:tcW w:w="263" w:type="dxa"/>
            <w:tcBorders/>
            <w:shd w:fill="auto" w:val="clear"/>
            <w:vAlign w:val="bottom"/>
          </w:tcPr>
          <w:p>
            <w:pPr>
              <w:pStyle w:val="TableContents"/>
              <w:spacing w:before="0" w:after="0"/>
              <w:ind w:left="0" w:right="0" w:hanging="0"/>
              <w:jc w:val="right"/>
              <w:rPr>
                <w:color w:val="000000"/>
              </w:rPr>
            </w:pPr>
            <w:r>
              <w:rPr>
                <w:color w:val="000000"/>
              </w:rPr>
              <w:t> </w:t>
            </w:r>
          </w:p>
        </w:tc>
        <w:tc>
          <w:tcPr>
            <w:tcW w:w="1021"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25,000</w:t>
            </w:r>
          </w:p>
        </w:tc>
        <w:tc>
          <w:tcPr>
            <w:tcW w:w="228" w:type="dxa"/>
            <w:tcBorders/>
            <w:shd w:fill="auto" w:val="clear"/>
            <w:vAlign w:val="bottom"/>
          </w:tcPr>
          <w:p>
            <w:pPr>
              <w:pStyle w:val="TableContents"/>
              <w:spacing w:before="0" w:after="0"/>
              <w:ind w:left="0" w:right="0" w:hanging="0"/>
              <w:jc w:val="left"/>
              <w:rPr>
                <w:color w:val="000000"/>
              </w:rPr>
            </w:pPr>
            <w:r>
              <w:rPr>
                <w:color w:val="000000"/>
              </w:rPr>
              <w:t> </w:t>
            </w:r>
          </w:p>
        </w:tc>
      </w:tr>
      <w:tr>
        <w:trPr/>
        <w:tc>
          <w:tcPr>
            <w:tcW w:w="3307" w:type="dxa"/>
            <w:tcBorders/>
            <w:shd w:fill="CCEEFF"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Net loss</w:t>
            </w:r>
          </w:p>
        </w:tc>
        <w:tc>
          <w:tcPr>
            <w:tcW w:w="224" w:type="dxa"/>
            <w:tcBorders/>
            <w:shd w:fill="CCEEFF" w:val="clear"/>
            <w:vAlign w:val="bottom"/>
          </w:tcPr>
          <w:p>
            <w:pPr>
              <w:pStyle w:val="TableContents"/>
              <w:spacing w:before="0" w:after="0"/>
              <w:ind w:left="0" w:right="0" w:hanging="0"/>
              <w:jc w:val="right"/>
              <w:rPr>
                <w:color w:val="000000"/>
                <w:bdr w:val="single" w:sz="8" w:space="1" w:color="000000"/>
              </w:rPr>
            </w:pPr>
            <w:r>
              <w:rPr>
                <w:color w:val="000000"/>
                <w:bdr w:val="single" w:sz="8" w:space="1" w:color="000000"/>
              </w:rPr>
              <w:t> </w:t>
            </w:r>
          </w:p>
        </w:tc>
        <w:tc>
          <w:tcPr>
            <w:tcW w:w="1085" w:type="dxa"/>
            <w:tcBorders/>
            <w:shd w:fill="CCEEFF" w:val="clear"/>
            <w:vAlign w:val="bottom"/>
          </w:tcPr>
          <w:p>
            <w:pPr>
              <w:pStyle w:val="TableContents"/>
              <w:spacing w:before="0" w:after="0"/>
              <w:ind w:left="0" w:right="0" w:hanging="0"/>
              <w:jc w:val="right"/>
              <w:rPr>
                <w:color w:val="000000"/>
                <w:bdr w:val="single" w:sz="8" w:space="1" w:color="000000"/>
              </w:rPr>
            </w:pPr>
            <w:r>
              <w:rPr>
                <w:color w:val="000000"/>
                <w:bdr w:val="single" w:sz="8" w:space="1" w:color="000000"/>
              </w:rPr>
              <w:t>—</w:t>
            </w:r>
          </w:p>
        </w:tc>
        <w:tc>
          <w:tcPr>
            <w:tcW w:w="227" w:type="dxa"/>
            <w:tcBorders/>
            <w:shd w:fill="CCEEFF" w:val="clear"/>
            <w:vAlign w:val="bottom"/>
          </w:tcPr>
          <w:p>
            <w:pPr>
              <w:pStyle w:val="TableContents"/>
              <w:spacing w:before="0" w:after="0"/>
              <w:ind w:left="0" w:right="0" w:firstLine="75"/>
              <w:jc w:val="left"/>
              <w:rPr>
                <w:color w:val="000000"/>
              </w:rPr>
            </w:pPr>
            <w:r>
              <w:rPr>
                <w:color w:val="000000"/>
              </w:rPr>
              <w:t> </w:t>
            </w:r>
          </w:p>
        </w:tc>
        <w:tc>
          <w:tcPr>
            <w:tcW w:w="263" w:type="dxa"/>
            <w:tcBorders/>
            <w:shd w:fill="CCEEFF" w:val="clear"/>
            <w:vAlign w:val="bottom"/>
          </w:tcPr>
          <w:p>
            <w:pPr>
              <w:pStyle w:val="TableContents"/>
              <w:spacing w:before="0" w:after="0"/>
              <w:ind w:left="0" w:right="0" w:hanging="0"/>
              <w:jc w:val="right"/>
              <w:rPr>
                <w:color w:val="000000"/>
                <w:bdr w:val="single" w:sz="8" w:space="1" w:color="000000"/>
              </w:rPr>
            </w:pPr>
            <w:r>
              <w:rPr>
                <w:color w:val="000000"/>
                <w:bdr w:val="single" w:sz="8" w:space="1" w:color="000000"/>
              </w:rPr>
              <w:t> </w:t>
            </w:r>
          </w:p>
        </w:tc>
        <w:tc>
          <w:tcPr>
            <w:tcW w:w="569" w:type="dxa"/>
            <w:tcBorders/>
            <w:shd w:fill="CCEEFF" w:val="clear"/>
            <w:vAlign w:val="bottom"/>
          </w:tcPr>
          <w:p>
            <w:pPr>
              <w:pStyle w:val="TableContents"/>
              <w:spacing w:before="0" w:after="0"/>
              <w:ind w:left="0" w:right="0" w:hanging="0"/>
              <w:jc w:val="right"/>
              <w:rPr>
                <w:color w:val="000000"/>
                <w:bdr w:val="single" w:sz="8" w:space="1" w:color="000000"/>
              </w:rPr>
            </w:pPr>
            <w:r>
              <w:rPr>
                <w:color w:val="000000"/>
                <w:bdr w:val="single" w:sz="8" w:space="1" w:color="000000"/>
              </w:rPr>
              <w:t>—</w:t>
            </w:r>
          </w:p>
        </w:tc>
        <w:tc>
          <w:tcPr>
            <w:tcW w:w="227" w:type="dxa"/>
            <w:tcBorders/>
            <w:shd w:fill="CCEEFF" w:val="clear"/>
            <w:vAlign w:val="bottom"/>
          </w:tcPr>
          <w:p>
            <w:pPr>
              <w:pStyle w:val="TableContents"/>
              <w:spacing w:before="0" w:after="0"/>
              <w:ind w:left="0" w:right="0" w:firstLine="75"/>
              <w:jc w:val="left"/>
              <w:rPr>
                <w:color w:val="000000"/>
              </w:rPr>
            </w:pPr>
            <w:r>
              <w:rPr>
                <w:color w:val="000000"/>
              </w:rPr>
              <w:t> </w:t>
            </w:r>
          </w:p>
        </w:tc>
        <w:tc>
          <w:tcPr>
            <w:tcW w:w="263" w:type="dxa"/>
            <w:tcBorders/>
            <w:shd w:fill="CCEEFF" w:val="clear"/>
            <w:vAlign w:val="bottom"/>
          </w:tcPr>
          <w:p>
            <w:pPr>
              <w:pStyle w:val="TableContents"/>
              <w:spacing w:before="0" w:after="0"/>
              <w:ind w:left="0" w:right="0" w:hanging="0"/>
              <w:jc w:val="right"/>
              <w:rPr>
                <w:color w:val="000000"/>
                <w:bdr w:val="single" w:sz="8" w:space="1" w:color="000000"/>
              </w:rPr>
            </w:pPr>
            <w:r>
              <w:rPr>
                <w:color w:val="000000"/>
                <w:bdr w:val="single" w:sz="8" w:space="1" w:color="000000"/>
              </w:rPr>
              <w:t> </w:t>
            </w:r>
          </w:p>
        </w:tc>
        <w:tc>
          <w:tcPr>
            <w:tcW w:w="855" w:type="dxa"/>
            <w:tcBorders/>
            <w:shd w:fill="CCEEFF" w:val="clear"/>
            <w:vAlign w:val="bottom"/>
          </w:tcPr>
          <w:p>
            <w:pPr>
              <w:pStyle w:val="TableContents"/>
              <w:spacing w:before="0" w:after="0"/>
              <w:ind w:left="0" w:right="0" w:hanging="0"/>
              <w:jc w:val="right"/>
              <w:rPr>
                <w:color w:val="000000"/>
                <w:bdr w:val="single" w:sz="8" w:space="1" w:color="000000"/>
              </w:rPr>
            </w:pPr>
            <w:r>
              <w:rPr>
                <w:color w:val="000000"/>
                <w:bdr w:val="single" w:sz="8" w:space="1" w:color="000000"/>
              </w:rPr>
              <w:t>—</w:t>
            </w:r>
          </w:p>
        </w:tc>
        <w:tc>
          <w:tcPr>
            <w:tcW w:w="226" w:type="dxa"/>
            <w:tcBorders/>
            <w:shd w:fill="CCEEFF" w:val="clear"/>
            <w:vAlign w:val="bottom"/>
          </w:tcPr>
          <w:p>
            <w:pPr>
              <w:pStyle w:val="TableContents"/>
              <w:spacing w:before="0" w:after="0"/>
              <w:ind w:left="0" w:right="0" w:firstLine="75"/>
              <w:jc w:val="left"/>
              <w:rPr>
                <w:color w:val="000000"/>
              </w:rPr>
            </w:pPr>
            <w:r>
              <w:rPr>
                <w:color w:val="000000"/>
              </w:rPr>
              <w:t> </w:t>
            </w:r>
          </w:p>
        </w:tc>
        <w:tc>
          <w:tcPr>
            <w:tcW w:w="263" w:type="dxa"/>
            <w:tcBorders/>
            <w:shd w:fill="CCEEFF" w:val="clear"/>
            <w:vAlign w:val="bottom"/>
          </w:tcPr>
          <w:p>
            <w:pPr>
              <w:pStyle w:val="TableContents"/>
              <w:spacing w:before="0" w:after="0"/>
              <w:ind w:left="0" w:right="0" w:hanging="0"/>
              <w:jc w:val="right"/>
              <w:rPr>
                <w:color w:val="000000"/>
                <w:bdr w:val="single" w:sz="8" w:space="1" w:color="000000"/>
              </w:rPr>
            </w:pPr>
            <w:r>
              <w:rPr>
                <w:color w:val="000000"/>
                <w:bdr w:val="single" w:sz="8" w:space="1" w:color="000000"/>
              </w:rPr>
              <w:t> </w:t>
            </w:r>
          </w:p>
        </w:tc>
        <w:tc>
          <w:tcPr>
            <w:tcW w:w="942"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 xml:space="preserve">(5,000 </w:t>
            </w:r>
          </w:p>
        </w:tc>
        <w:tc>
          <w:tcPr>
            <w:tcW w:w="242" w:type="dxa"/>
            <w:tcBorders/>
            <w:shd w:fill="CCEEFF"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w:t>
            </w:r>
          </w:p>
        </w:tc>
        <w:tc>
          <w:tcPr>
            <w:tcW w:w="263" w:type="dxa"/>
            <w:tcBorders/>
            <w:shd w:fill="CCEEFF" w:val="clear"/>
            <w:vAlign w:val="bottom"/>
          </w:tcPr>
          <w:p>
            <w:pPr>
              <w:pStyle w:val="TableContents"/>
              <w:spacing w:before="0" w:after="0"/>
              <w:ind w:left="0" w:right="0" w:hanging="0"/>
              <w:jc w:val="right"/>
              <w:rPr>
                <w:color w:val="000000"/>
                <w:bdr w:val="single" w:sz="8" w:space="1" w:color="000000"/>
              </w:rPr>
            </w:pPr>
            <w:r>
              <w:rPr>
                <w:color w:val="000000"/>
                <w:bdr w:val="single" w:sz="8" w:space="1" w:color="000000"/>
              </w:rPr>
              <w:t> </w:t>
            </w:r>
          </w:p>
        </w:tc>
        <w:tc>
          <w:tcPr>
            <w:tcW w:w="1021"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 xml:space="preserve">(5,000 </w:t>
            </w:r>
          </w:p>
        </w:tc>
        <w:tc>
          <w:tcPr>
            <w:tcW w:w="228" w:type="dxa"/>
            <w:tcBorders/>
            <w:shd w:fill="CCEEFF" w:val="clear"/>
            <w:vAlign w:val="bottom"/>
          </w:tcPr>
          <w:p>
            <w:pPr>
              <w:pStyle w:val="TableContents"/>
              <w:spacing w:before="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p>
        </w:tc>
      </w:tr>
      <w:tr>
        <w:trPr/>
        <w:tc>
          <w:tcPr>
            <w:tcW w:w="3307" w:type="dxa"/>
            <w:tcBorders/>
            <w:shd w:fill="auto" w:val="clear"/>
            <w:vAlign w:val="bottom"/>
          </w:tcPr>
          <w:p>
            <w:pPr>
              <w:pStyle w:val="TableContents"/>
              <w:spacing w:before="0" w:after="0"/>
              <w:ind w:left="0" w:right="0" w:firstLine="75"/>
              <w:jc w:val="left"/>
              <w:rPr>
                <w:rFonts w:ascii="Times New Roman;Times;Serif" w:hAnsi="Times New Roman;Times;Serif"/>
                <w:b/>
                <w:color w:val="000000"/>
                <w:sz w:val="17"/>
              </w:rPr>
            </w:pPr>
            <w:r>
              <w:rPr>
                <w:rFonts w:ascii="Times New Roman;Times;Serif" w:hAnsi="Times New Roman;Times;Serif"/>
                <w:b/>
                <w:color w:val="000000"/>
                <w:sz w:val="17"/>
              </w:rPr>
              <w:t>Balance – June 11, 2019 (audited)</w:t>
            </w:r>
          </w:p>
        </w:tc>
        <w:tc>
          <w:tcPr>
            <w:tcW w:w="224" w:type="dxa"/>
            <w:tcBorders/>
            <w:shd w:fill="auto" w:val="clear"/>
            <w:vAlign w:val="bottom"/>
          </w:tcPr>
          <w:p>
            <w:pPr>
              <w:pStyle w:val="TableContents"/>
              <w:spacing w:before="0" w:after="0"/>
              <w:ind w:left="0" w:right="0" w:hanging="0"/>
              <w:jc w:val="right"/>
              <w:rPr>
                <w:color w:val="000000"/>
              </w:rPr>
            </w:pPr>
            <w:r>
              <w:rPr>
                <w:color w:val="000000"/>
              </w:rPr>
              <w:t> </w:t>
            </w:r>
          </w:p>
        </w:tc>
        <w:tc>
          <w:tcPr>
            <w:tcW w:w="1085"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7,187,500</w:t>
            </w:r>
          </w:p>
        </w:tc>
        <w:tc>
          <w:tcPr>
            <w:tcW w:w="227" w:type="dxa"/>
            <w:tcBorders/>
            <w:shd w:fill="auto" w:val="clear"/>
            <w:vAlign w:val="bottom"/>
          </w:tcPr>
          <w:p>
            <w:pPr>
              <w:pStyle w:val="TableContents"/>
              <w:spacing w:before="0" w:after="0"/>
              <w:ind w:left="0" w:right="0" w:firstLine="75"/>
              <w:jc w:val="left"/>
              <w:rPr>
                <w:color w:val="000000"/>
              </w:rPr>
            </w:pPr>
            <w:r>
              <w:rPr>
                <w:color w:val="000000"/>
              </w:rPr>
              <w:t> </w:t>
            </w:r>
          </w:p>
        </w:tc>
        <w:tc>
          <w:tcPr>
            <w:tcW w:w="263"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w:t>
            </w:r>
          </w:p>
        </w:tc>
        <w:tc>
          <w:tcPr>
            <w:tcW w:w="569"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719</w:t>
            </w:r>
          </w:p>
        </w:tc>
        <w:tc>
          <w:tcPr>
            <w:tcW w:w="227" w:type="dxa"/>
            <w:tcBorders/>
            <w:shd w:fill="auto" w:val="clear"/>
            <w:vAlign w:val="bottom"/>
          </w:tcPr>
          <w:p>
            <w:pPr>
              <w:pStyle w:val="TableContents"/>
              <w:spacing w:before="0" w:after="0"/>
              <w:ind w:left="0" w:right="0" w:firstLine="75"/>
              <w:jc w:val="left"/>
              <w:rPr>
                <w:color w:val="000000"/>
              </w:rPr>
            </w:pPr>
            <w:r>
              <w:rPr>
                <w:color w:val="000000"/>
              </w:rPr>
              <w:t> </w:t>
            </w:r>
          </w:p>
        </w:tc>
        <w:tc>
          <w:tcPr>
            <w:tcW w:w="263"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w:t>
            </w:r>
          </w:p>
        </w:tc>
        <w:tc>
          <w:tcPr>
            <w:tcW w:w="855"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24,281</w:t>
            </w:r>
          </w:p>
        </w:tc>
        <w:tc>
          <w:tcPr>
            <w:tcW w:w="226" w:type="dxa"/>
            <w:tcBorders/>
            <w:shd w:fill="auto" w:val="clear"/>
            <w:vAlign w:val="bottom"/>
          </w:tcPr>
          <w:p>
            <w:pPr>
              <w:pStyle w:val="TableContents"/>
              <w:spacing w:before="0" w:after="0"/>
              <w:ind w:left="0" w:right="0" w:firstLine="75"/>
              <w:jc w:val="left"/>
              <w:rPr>
                <w:color w:val="000000"/>
              </w:rPr>
            </w:pPr>
            <w:r>
              <w:rPr>
                <w:color w:val="000000"/>
              </w:rPr>
              <w:t> </w:t>
            </w:r>
          </w:p>
        </w:tc>
        <w:tc>
          <w:tcPr>
            <w:tcW w:w="263"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w:t>
            </w:r>
          </w:p>
        </w:tc>
        <w:tc>
          <w:tcPr>
            <w:tcW w:w="942"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 xml:space="preserve">(5,000 </w:t>
            </w:r>
          </w:p>
        </w:tc>
        <w:tc>
          <w:tcPr>
            <w:tcW w:w="242" w:type="dxa"/>
            <w:tcBorders/>
            <w:shd w:fill="auto"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w:t>
            </w:r>
          </w:p>
        </w:tc>
        <w:tc>
          <w:tcPr>
            <w:tcW w:w="263"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w:t>
            </w:r>
          </w:p>
        </w:tc>
        <w:tc>
          <w:tcPr>
            <w:tcW w:w="1021"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20,000</w:t>
            </w:r>
          </w:p>
        </w:tc>
        <w:tc>
          <w:tcPr>
            <w:tcW w:w="228" w:type="dxa"/>
            <w:tcBorders/>
            <w:shd w:fill="auto" w:val="clear"/>
            <w:vAlign w:val="bottom"/>
          </w:tcPr>
          <w:p>
            <w:pPr>
              <w:pStyle w:val="TableContents"/>
              <w:spacing w:before="0" w:after="0"/>
              <w:ind w:left="0" w:right="0" w:hanging="0"/>
              <w:jc w:val="left"/>
              <w:rPr>
                <w:color w:val="000000"/>
              </w:rPr>
            </w:pPr>
            <w:r>
              <w:rPr>
                <w:color w:val="000000"/>
              </w:rPr>
              <w:t> </w:t>
            </w:r>
          </w:p>
        </w:tc>
      </w:tr>
      <w:tr>
        <w:trPr/>
        <w:tc>
          <w:tcPr>
            <w:tcW w:w="3307" w:type="dxa"/>
            <w:tcBorders/>
            <w:shd w:fill="CCEEFF"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Net loss</w:t>
            </w:r>
          </w:p>
        </w:tc>
        <w:tc>
          <w:tcPr>
            <w:tcW w:w="224" w:type="dxa"/>
            <w:tcBorders/>
            <w:shd w:fill="CCEEFF" w:val="clear"/>
            <w:vAlign w:val="bottom"/>
          </w:tcPr>
          <w:p>
            <w:pPr>
              <w:pStyle w:val="TableContents"/>
              <w:spacing w:before="0" w:after="0"/>
              <w:ind w:left="0" w:right="0" w:hanging="0"/>
              <w:jc w:val="right"/>
              <w:rPr>
                <w:color w:val="000000"/>
                <w:bdr w:val="single" w:sz="8" w:space="1" w:color="000000"/>
              </w:rPr>
            </w:pPr>
            <w:r>
              <w:rPr>
                <w:color w:val="000000"/>
                <w:bdr w:val="single" w:sz="8" w:space="1" w:color="000000"/>
              </w:rPr>
              <w:t> </w:t>
            </w:r>
          </w:p>
        </w:tc>
        <w:tc>
          <w:tcPr>
            <w:tcW w:w="1085" w:type="dxa"/>
            <w:tcBorders/>
            <w:shd w:fill="CCEEFF" w:val="clear"/>
            <w:vAlign w:val="bottom"/>
          </w:tcPr>
          <w:p>
            <w:pPr>
              <w:pStyle w:val="TableContents"/>
              <w:spacing w:before="0" w:after="0"/>
              <w:ind w:left="0" w:right="0" w:hanging="0"/>
              <w:jc w:val="right"/>
              <w:rPr>
                <w:color w:val="000000"/>
                <w:bdr w:val="single" w:sz="8" w:space="1" w:color="000000"/>
              </w:rPr>
            </w:pPr>
            <w:r>
              <w:rPr>
                <w:color w:val="000000"/>
                <w:bdr w:val="single" w:sz="8" w:space="1" w:color="000000"/>
              </w:rPr>
              <w:t>—</w:t>
            </w:r>
          </w:p>
        </w:tc>
        <w:tc>
          <w:tcPr>
            <w:tcW w:w="227" w:type="dxa"/>
            <w:tcBorders/>
            <w:shd w:fill="CCEEFF" w:val="clear"/>
            <w:vAlign w:val="bottom"/>
          </w:tcPr>
          <w:p>
            <w:pPr>
              <w:pStyle w:val="TableContents"/>
              <w:spacing w:before="0" w:after="0"/>
              <w:ind w:left="0" w:right="0" w:firstLine="75"/>
              <w:jc w:val="left"/>
              <w:rPr>
                <w:color w:val="000000"/>
              </w:rPr>
            </w:pPr>
            <w:r>
              <w:rPr>
                <w:color w:val="000000"/>
              </w:rPr>
              <w:t> </w:t>
            </w:r>
          </w:p>
        </w:tc>
        <w:tc>
          <w:tcPr>
            <w:tcW w:w="263" w:type="dxa"/>
            <w:tcBorders/>
            <w:shd w:fill="CCEEFF" w:val="clear"/>
            <w:vAlign w:val="bottom"/>
          </w:tcPr>
          <w:p>
            <w:pPr>
              <w:pStyle w:val="TableContents"/>
              <w:spacing w:before="0" w:after="0"/>
              <w:ind w:left="0" w:right="0" w:hanging="0"/>
              <w:jc w:val="right"/>
              <w:rPr>
                <w:color w:val="000000"/>
                <w:bdr w:val="single" w:sz="8" w:space="1" w:color="000000"/>
              </w:rPr>
            </w:pPr>
            <w:r>
              <w:rPr>
                <w:color w:val="000000"/>
                <w:bdr w:val="single" w:sz="8" w:space="1" w:color="000000"/>
              </w:rPr>
              <w:t> </w:t>
            </w:r>
          </w:p>
        </w:tc>
        <w:tc>
          <w:tcPr>
            <w:tcW w:w="569" w:type="dxa"/>
            <w:tcBorders/>
            <w:shd w:fill="CCEEFF" w:val="clear"/>
            <w:vAlign w:val="bottom"/>
          </w:tcPr>
          <w:p>
            <w:pPr>
              <w:pStyle w:val="TableContents"/>
              <w:spacing w:before="0" w:after="0"/>
              <w:ind w:left="0" w:right="0" w:hanging="0"/>
              <w:jc w:val="right"/>
              <w:rPr>
                <w:color w:val="000000"/>
                <w:bdr w:val="single" w:sz="8" w:space="1" w:color="000000"/>
              </w:rPr>
            </w:pPr>
            <w:r>
              <w:rPr>
                <w:color w:val="000000"/>
                <w:bdr w:val="single" w:sz="8" w:space="1" w:color="000000"/>
              </w:rPr>
              <w:t>—</w:t>
            </w:r>
          </w:p>
        </w:tc>
        <w:tc>
          <w:tcPr>
            <w:tcW w:w="227" w:type="dxa"/>
            <w:tcBorders/>
            <w:shd w:fill="CCEEFF" w:val="clear"/>
            <w:vAlign w:val="bottom"/>
          </w:tcPr>
          <w:p>
            <w:pPr>
              <w:pStyle w:val="TableContents"/>
              <w:spacing w:before="0" w:after="0"/>
              <w:ind w:left="0" w:right="0" w:firstLine="75"/>
              <w:jc w:val="left"/>
              <w:rPr>
                <w:color w:val="000000"/>
              </w:rPr>
            </w:pPr>
            <w:r>
              <w:rPr>
                <w:color w:val="000000"/>
              </w:rPr>
              <w:t> </w:t>
            </w:r>
          </w:p>
        </w:tc>
        <w:tc>
          <w:tcPr>
            <w:tcW w:w="263" w:type="dxa"/>
            <w:tcBorders/>
            <w:shd w:fill="CCEEFF" w:val="clear"/>
            <w:vAlign w:val="bottom"/>
          </w:tcPr>
          <w:p>
            <w:pPr>
              <w:pStyle w:val="TableContents"/>
              <w:spacing w:before="0" w:after="0"/>
              <w:ind w:left="0" w:right="0" w:hanging="0"/>
              <w:jc w:val="right"/>
              <w:rPr>
                <w:color w:val="000000"/>
                <w:bdr w:val="single" w:sz="8" w:space="1" w:color="000000"/>
              </w:rPr>
            </w:pPr>
            <w:r>
              <w:rPr>
                <w:color w:val="000000"/>
                <w:bdr w:val="single" w:sz="8" w:space="1" w:color="000000"/>
              </w:rPr>
              <w:t> </w:t>
            </w:r>
          </w:p>
        </w:tc>
        <w:tc>
          <w:tcPr>
            <w:tcW w:w="855" w:type="dxa"/>
            <w:tcBorders/>
            <w:shd w:fill="CCEEFF" w:val="clear"/>
            <w:vAlign w:val="bottom"/>
          </w:tcPr>
          <w:p>
            <w:pPr>
              <w:pStyle w:val="TableContents"/>
              <w:spacing w:before="0" w:after="0"/>
              <w:ind w:left="0" w:right="0" w:hanging="0"/>
              <w:jc w:val="right"/>
              <w:rPr>
                <w:color w:val="000000"/>
                <w:bdr w:val="single" w:sz="8" w:space="1" w:color="000000"/>
              </w:rPr>
            </w:pPr>
            <w:r>
              <w:rPr>
                <w:color w:val="000000"/>
                <w:bdr w:val="single" w:sz="8" w:space="1" w:color="000000"/>
              </w:rPr>
              <w:t>—</w:t>
            </w:r>
          </w:p>
        </w:tc>
        <w:tc>
          <w:tcPr>
            <w:tcW w:w="226" w:type="dxa"/>
            <w:tcBorders/>
            <w:shd w:fill="CCEEFF" w:val="clear"/>
            <w:vAlign w:val="bottom"/>
          </w:tcPr>
          <w:p>
            <w:pPr>
              <w:pStyle w:val="TableContents"/>
              <w:spacing w:before="0" w:after="0"/>
              <w:ind w:left="0" w:right="0" w:firstLine="75"/>
              <w:jc w:val="left"/>
              <w:rPr>
                <w:color w:val="000000"/>
              </w:rPr>
            </w:pPr>
            <w:r>
              <w:rPr>
                <w:color w:val="000000"/>
              </w:rPr>
              <w:t> </w:t>
            </w:r>
          </w:p>
        </w:tc>
        <w:tc>
          <w:tcPr>
            <w:tcW w:w="263" w:type="dxa"/>
            <w:tcBorders/>
            <w:shd w:fill="CCEEFF" w:val="clear"/>
            <w:vAlign w:val="bottom"/>
          </w:tcPr>
          <w:p>
            <w:pPr>
              <w:pStyle w:val="TableContents"/>
              <w:spacing w:before="0" w:after="0"/>
              <w:ind w:left="0" w:right="0" w:hanging="0"/>
              <w:jc w:val="right"/>
              <w:rPr>
                <w:color w:val="000000"/>
                <w:bdr w:val="single" w:sz="8" w:space="1" w:color="000000"/>
              </w:rPr>
            </w:pPr>
            <w:r>
              <w:rPr>
                <w:color w:val="000000"/>
                <w:bdr w:val="single" w:sz="8" w:space="1" w:color="000000"/>
              </w:rPr>
              <w:t> </w:t>
            </w:r>
          </w:p>
        </w:tc>
        <w:tc>
          <w:tcPr>
            <w:tcW w:w="942" w:type="dxa"/>
            <w:tcBorders/>
            <w:shd w:fill="CCEEFF" w:val="clear"/>
            <w:vAlign w:val="bottom"/>
          </w:tcPr>
          <w:p>
            <w:pPr>
              <w:pStyle w:val="TableContents"/>
              <w:spacing w:before="0" w:after="0"/>
              <w:ind w:left="0" w:right="0" w:hanging="0"/>
              <w:jc w:val="right"/>
              <w:rPr>
                <w:color w:val="000000"/>
                <w:bdr w:val="single" w:sz="8" w:space="1" w:color="000000"/>
              </w:rPr>
            </w:pPr>
            <w:r>
              <w:rPr>
                <w:color w:val="000000"/>
                <w:bdr w:val="single" w:sz="8" w:space="1" w:color="000000"/>
              </w:rPr>
              <w:t>—</w:t>
            </w:r>
          </w:p>
        </w:tc>
        <w:tc>
          <w:tcPr>
            <w:tcW w:w="242" w:type="dxa"/>
            <w:tcBorders/>
            <w:shd w:fill="CCEEFF" w:val="clear"/>
            <w:vAlign w:val="bottom"/>
          </w:tcPr>
          <w:p>
            <w:pPr>
              <w:pStyle w:val="TableContents"/>
              <w:spacing w:before="0" w:after="0"/>
              <w:ind w:left="0" w:right="0" w:firstLine="75"/>
              <w:jc w:val="left"/>
              <w:rPr>
                <w:color w:val="000000"/>
              </w:rPr>
            </w:pPr>
            <w:r>
              <w:rPr>
                <w:color w:val="000000"/>
              </w:rPr>
              <w:t> </w:t>
            </w:r>
          </w:p>
        </w:tc>
        <w:tc>
          <w:tcPr>
            <w:tcW w:w="263" w:type="dxa"/>
            <w:tcBorders/>
            <w:shd w:fill="CCEEFF" w:val="clear"/>
            <w:vAlign w:val="bottom"/>
          </w:tcPr>
          <w:p>
            <w:pPr>
              <w:pStyle w:val="TableContents"/>
              <w:spacing w:before="0" w:after="0"/>
              <w:ind w:left="0" w:right="0" w:hanging="0"/>
              <w:jc w:val="right"/>
              <w:rPr>
                <w:color w:val="000000"/>
                <w:bdr w:val="single" w:sz="8" w:space="1" w:color="000000"/>
              </w:rPr>
            </w:pPr>
            <w:r>
              <w:rPr>
                <w:color w:val="000000"/>
                <w:bdr w:val="single" w:sz="8" w:space="1" w:color="000000"/>
              </w:rPr>
              <w:t> </w:t>
            </w:r>
          </w:p>
        </w:tc>
        <w:tc>
          <w:tcPr>
            <w:tcW w:w="1021" w:type="dxa"/>
            <w:tcBorders/>
            <w:shd w:fill="CCEEFF" w:val="clear"/>
            <w:vAlign w:val="bottom"/>
          </w:tcPr>
          <w:p>
            <w:pPr>
              <w:pStyle w:val="TableContents"/>
              <w:spacing w:before="0" w:after="0"/>
              <w:ind w:left="0" w:right="0" w:hanging="0"/>
              <w:jc w:val="right"/>
              <w:rPr>
                <w:color w:val="000000"/>
                <w:bdr w:val="single" w:sz="8" w:space="1" w:color="000000"/>
              </w:rPr>
            </w:pPr>
            <w:r>
              <w:rPr>
                <w:color w:val="000000"/>
                <w:bdr w:val="single" w:sz="8" w:space="1" w:color="000000"/>
              </w:rPr>
              <w:t>—</w:t>
            </w:r>
          </w:p>
        </w:tc>
        <w:tc>
          <w:tcPr>
            <w:tcW w:w="228" w:type="dxa"/>
            <w:tcBorders/>
            <w:shd w:fill="CCEEFF" w:val="clear"/>
            <w:vAlign w:val="bottom"/>
          </w:tcPr>
          <w:p>
            <w:pPr>
              <w:pStyle w:val="TableContents"/>
              <w:spacing w:before="0" w:after="0"/>
              <w:ind w:left="0" w:right="0" w:hanging="0"/>
              <w:jc w:val="left"/>
              <w:rPr>
                <w:color w:val="000000"/>
              </w:rPr>
            </w:pPr>
            <w:r>
              <w:rPr>
                <w:color w:val="000000"/>
              </w:rPr>
              <w:t> </w:t>
            </w:r>
          </w:p>
        </w:tc>
      </w:tr>
      <w:tr>
        <w:trPr/>
        <w:tc>
          <w:tcPr>
            <w:tcW w:w="3307" w:type="dxa"/>
            <w:tcBorders/>
            <w:shd w:fill="auto" w:val="clear"/>
            <w:vAlign w:val="bottom"/>
          </w:tcPr>
          <w:p>
            <w:pPr>
              <w:pStyle w:val="TableContents"/>
              <w:spacing w:before="0" w:after="0"/>
              <w:ind w:left="0" w:right="0" w:firstLine="75"/>
              <w:jc w:val="left"/>
              <w:rPr>
                <w:rFonts w:ascii="Times New Roman;Times;Serif" w:hAnsi="Times New Roman;Times;Serif"/>
                <w:b/>
                <w:color w:val="000000"/>
                <w:sz w:val="17"/>
              </w:rPr>
            </w:pPr>
            <w:r>
              <w:rPr>
                <w:rFonts w:ascii="Times New Roman;Times;Serif" w:hAnsi="Times New Roman;Times;Serif"/>
                <w:b/>
                <w:color w:val="000000"/>
                <w:sz w:val="17"/>
              </w:rPr>
              <w:t>Balance – June 30, 2019 (unaudited)</w:t>
            </w:r>
          </w:p>
        </w:tc>
        <w:tc>
          <w:tcPr>
            <w:tcW w:w="224" w:type="dxa"/>
            <w:tcBorders/>
            <w:shd w:fill="auto" w:val="clear"/>
            <w:vAlign w:val="bottom"/>
          </w:tcPr>
          <w:p>
            <w:pPr>
              <w:pStyle w:val="TableContents"/>
              <w:spacing w:before="0" w:after="0"/>
              <w:ind w:left="0" w:right="0" w:hanging="0"/>
              <w:jc w:val="right"/>
              <w:rPr>
                <w:color w:val="000000"/>
                <w:bdr w:val="double" w:sz="8" w:space="1" w:color="000000"/>
              </w:rPr>
            </w:pPr>
            <w:r>
              <w:rPr>
                <w:color w:val="000000"/>
                <w:bdr w:val="double" w:sz="8" w:space="1" w:color="000000"/>
              </w:rPr>
              <w:t> </w:t>
            </w:r>
          </w:p>
        </w:tc>
        <w:tc>
          <w:tcPr>
            <w:tcW w:w="1085"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7,187,500</w:t>
            </w:r>
          </w:p>
        </w:tc>
        <w:tc>
          <w:tcPr>
            <w:tcW w:w="227" w:type="dxa"/>
            <w:tcBorders/>
            <w:shd w:fill="auto" w:val="clear"/>
            <w:vAlign w:val="bottom"/>
          </w:tcPr>
          <w:p>
            <w:pPr>
              <w:pStyle w:val="TableContents"/>
              <w:spacing w:before="0" w:after="0"/>
              <w:ind w:left="0" w:right="0" w:firstLine="75"/>
              <w:jc w:val="left"/>
              <w:rPr>
                <w:color w:val="000000"/>
              </w:rPr>
            </w:pPr>
            <w:r>
              <w:rPr>
                <w:color w:val="000000"/>
              </w:rPr>
              <w:t> </w:t>
            </w:r>
          </w:p>
        </w:tc>
        <w:tc>
          <w:tcPr>
            <w:tcW w:w="263"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w:t>
            </w:r>
          </w:p>
        </w:tc>
        <w:tc>
          <w:tcPr>
            <w:tcW w:w="569"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719</w:t>
            </w:r>
          </w:p>
        </w:tc>
        <w:tc>
          <w:tcPr>
            <w:tcW w:w="227" w:type="dxa"/>
            <w:tcBorders/>
            <w:shd w:fill="auto" w:val="clear"/>
            <w:vAlign w:val="bottom"/>
          </w:tcPr>
          <w:p>
            <w:pPr>
              <w:pStyle w:val="TableContents"/>
              <w:spacing w:before="0" w:after="0"/>
              <w:ind w:left="0" w:right="0" w:firstLine="75"/>
              <w:jc w:val="left"/>
              <w:rPr>
                <w:color w:val="000000"/>
              </w:rPr>
            </w:pPr>
            <w:r>
              <w:rPr>
                <w:color w:val="000000"/>
              </w:rPr>
              <w:t> </w:t>
            </w:r>
          </w:p>
        </w:tc>
        <w:tc>
          <w:tcPr>
            <w:tcW w:w="263"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w:t>
            </w:r>
          </w:p>
        </w:tc>
        <w:tc>
          <w:tcPr>
            <w:tcW w:w="855"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24,281</w:t>
            </w:r>
          </w:p>
        </w:tc>
        <w:tc>
          <w:tcPr>
            <w:tcW w:w="226" w:type="dxa"/>
            <w:tcBorders/>
            <w:shd w:fill="auto" w:val="clear"/>
            <w:vAlign w:val="bottom"/>
          </w:tcPr>
          <w:p>
            <w:pPr>
              <w:pStyle w:val="TableContents"/>
              <w:spacing w:before="0" w:after="0"/>
              <w:ind w:left="0" w:right="0" w:firstLine="75"/>
              <w:jc w:val="left"/>
              <w:rPr>
                <w:color w:val="000000"/>
              </w:rPr>
            </w:pPr>
            <w:r>
              <w:rPr>
                <w:color w:val="000000"/>
              </w:rPr>
              <w:t> </w:t>
            </w:r>
          </w:p>
        </w:tc>
        <w:tc>
          <w:tcPr>
            <w:tcW w:w="263"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w:t>
            </w:r>
          </w:p>
        </w:tc>
        <w:tc>
          <w:tcPr>
            <w:tcW w:w="942"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 xml:space="preserve">(5,000 </w:t>
            </w:r>
          </w:p>
        </w:tc>
        <w:tc>
          <w:tcPr>
            <w:tcW w:w="242" w:type="dxa"/>
            <w:tcBorders/>
            <w:shd w:fill="auto"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w:t>
            </w:r>
          </w:p>
        </w:tc>
        <w:tc>
          <w:tcPr>
            <w:tcW w:w="263"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w:t>
            </w:r>
          </w:p>
        </w:tc>
        <w:tc>
          <w:tcPr>
            <w:tcW w:w="1021"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20,000</w:t>
            </w:r>
          </w:p>
        </w:tc>
        <w:tc>
          <w:tcPr>
            <w:tcW w:w="228" w:type="dxa"/>
            <w:tcBorders/>
            <w:shd w:fill="auto" w:val="clear"/>
            <w:vAlign w:val="bottom"/>
          </w:tcPr>
          <w:p>
            <w:pPr>
              <w:pStyle w:val="TableContents"/>
              <w:spacing w:before="0" w:after="0"/>
              <w:jc w:val="left"/>
              <w:rPr>
                <w:color w:val="000000"/>
              </w:rPr>
            </w:pPr>
            <w:r>
              <w:rPr>
                <w:color w:val="000000"/>
              </w:rPr>
              <w:t> </w:t>
            </w:r>
          </w:p>
        </w:tc>
      </w:tr>
    </w:tbl>
    <w:tbl>
      <w:tblPr>
        <w:tblW w:w="5000" w:type="pct"/>
        <w:jc w:val="left"/>
        <w:tblInd w:w="0" w:type="dxa"/>
        <w:tblCellMar>
          <w:top w:w="0" w:type="dxa"/>
          <w:left w:w="0" w:type="dxa"/>
          <w:bottom w:w="0" w:type="dxa"/>
          <w:right w:w="0" w:type="dxa"/>
        </w:tblCellMar>
      </w:tblPr>
      <w:tblGrid>
        <w:gridCol w:w="46"/>
        <w:gridCol w:w="474"/>
        <w:gridCol w:w="9685"/>
      </w:tblGrid>
      <w:tr>
        <w:trPr/>
        <w:tc>
          <w:tcPr>
            <w:tcW w:w="46"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jc w:val="left"/>
              <w:rPr>
                <w:rFonts w:ascii="Times New Roman;Times;Serif" w:hAnsi="Times New Roman;Times;Serif"/>
                <w:color w:val="000000"/>
                <w:sz w:val="12"/>
              </w:rPr>
            </w:pPr>
            <w:r>
              <w:rPr>
                <w:rFonts w:ascii="Times New Roman;Times;Serif" w:hAnsi="Times New Roman;Times;Serif"/>
                <w:color w:val="000000"/>
                <w:sz w:val="12"/>
              </w:rPr>
              <w:t>(1)</w:t>
            </w:r>
          </w:p>
        </w:tc>
        <w:tc>
          <w:tcPr>
            <w:tcW w:w="9685" w:type="dxa"/>
            <w:tcBorders/>
            <w:shd w:fill="auto" w:val="clear"/>
            <w:vAlign w:val="center"/>
          </w:tcPr>
          <w:p>
            <w:pPr>
              <w:pStyle w:val="TableContents"/>
              <w:spacing w:before="0" w:after="283"/>
              <w:jc w:val="left"/>
              <w:rPr>
                <w:rFonts w:ascii="Times New Roman;Times;Serif" w:hAnsi="Times New Roman;Times;Serif"/>
                <w:color w:val="000000"/>
                <w:sz w:val="12"/>
              </w:rPr>
            </w:pPr>
            <w:r>
              <w:rPr>
                <w:rFonts w:ascii="Times New Roman;Times;Serif" w:hAnsi="Times New Roman;Times;Serif"/>
                <w:color w:val="000000"/>
                <w:sz w:val="12"/>
              </w:rPr>
              <w:t xml:space="preserve">Includes an aggregate of up to 937,500 shares subject to forfeiture if the over-allotment option is not exercised in full or in part by the underwriters (see Note 6). </w:t>
            </w:r>
          </w:p>
        </w:tc>
      </w:tr>
    </w:tbl>
    <w:p>
      <w:pPr>
        <w:pStyle w:val="TextBody"/>
        <w:spacing w:before="0" w:after="0"/>
        <w:ind w:left="0" w:right="0" w:hanging="0"/>
        <w:jc w:val="center"/>
        <w:rPr>
          <w:rFonts w:ascii="Times New Roman;Times;Serif" w:hAnsi="Times New Roman;Times;Serif"/>
          <w:i/>
          <w:color w:val="000000"/>
          <w:sz w:val="17"/>
        </w:rPr>
      </w:pPr>
      <w:r>
        <w:rPr>
          <w:rFonts w:ascii="Times New Roman;Times;Serif" w:hAnsi="Times New Roman;Times;Serif"/>
          <w:i/>
          <w:color w:val="000000"/>
          <w:sz w:val="17"/>
        </w:rPr>
        <w:t>The accompanying notes are an integral part of these financial statements.</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F-5</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25" w:before="240" w:after="0"/>
        <w:ind w:left="0" w:right="0" w:hanging="0"/>
        <w:jc w:val="center"/>
        <w:rPr>
          <w:rFonts w:ascii="Times New Roman;Times;Serif" w:hAnsi="Times New Roman;Times;Serif"/>
          <w:b/>
          <w:color w:val="000000"/>
          <w:sz w:val="17"/>
        </w:rPr>
      </w:pPr>
      <w:bookmarkStart w:id="30" w:name="tSCFP"/>
      <w:bookmarkEnd w:id="30"/>
      <w:r>
        <w:rPr>
          <w:rFonts w:ascii="Times New Roman;Times;Serif" w:hAnsi="Times New Roman;Times;Serif"/>
          <w:b/>
          <w:color w:val="000000"/>
          <w:sz w:val="17"/>
        </w:rPr>
        <w:t>SILVER SPIKE ACQUISITION CORP.</w:t>
        <w:br/>
        <w:t xml:space="preserve">STATEMENTS OF CASH FLOWS </w:t>
      </w:r>
    </w:p>
    <w:tbl>
      <w:tblPr>
        <w:tblW w:w="5000" w:type="pct"/>
        <w:jc w:val="center"/>
        <w:tblInd w:w="0" w:type="dxa"/>
        <w:tblCellMar>
          <w:top w:w="0" w:type="dxa"/>
          <w:left w:w="0" w:type="dxa"/>
          <w:bottom w:w="0" w:type="dxa"/>
          <w:right w:w="0" w:type="dxa"/>
        </w:tblCellMar>
      </w:tblPr>
      <w:tblGrid>
        <w:gridCol w:w="6196"/>
        <w:gridCol w:w="310"/>
        <w:gridCol w:w="1465"/>
        <w:gridCol w:w="272"/>
        <w:gridCol w:w="310"/>
        <w:gridCol w:w="1241"/>
        <w:gridCol w:w="411"/>
      </w:tblGrid>
      <w:tr>
        <w:trPr/>
        <w:tc>
          <w:tcPr>
            <w:tcW w:w="6196" w:type="dxa"/>
            <w:tcBorders/>
            <w:shd w:fill="auto" w:val="clear"/>
            <w:vAlign w:val="bottom"/>
          </w:tcPr>
          <w:p>
            <w:pPr>
              <w:pStyle w:val="TableContents"/>
              <w:spacing w:before="0" w:after="0"/>
              <w:ind w:left="0" w:right="0" w:firstLine="90"/>
              <w:jc w:val="left"/>
              <w:rPr>
                <w:color w:val="000000"/>
              </w:rPr>
            </w:pPr>
            <w:r>
              <w:rPr>
                <w:color w:val="000000"/>
              </w:rPr>
              <w:t> </w:t>
            </w:r>
          </w:p>
        </w:tc>
        <w:tc>
          <w:tcPr>
            <w:tcW w:w="4009" w:type="dxa"/>
            <w:gridSpan w:val="6"/>
            <w:tcBorders/>
            <w:shd w:fill="auto" w:val="clear"/>
            <w:vAlign w:val="bottom"/>
          </w:tcPr>
          <w:p>
            <w:pPr>
              <w:pStyle w:val="TableContents"/>
              <w:spacing w:before="0" w:after="0"/>
              <w:ind w:left="0" w:right="0" w:hanging="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For the Period from</w:t>
              <w:br/>
              <w:t>June 7, 2019</w:t>
              <w:br/>
              <w:t xml:space="preserve">(Inception) through </w:t>
            </w:r>
          </w:p>
        </w:tc>
      </w:tr>
      <w:tr>
        <w:trPr/>
        <w:tc>
          <w:tcPr>
            <w:tcW w:w="6196" w:type="dxa"/>
            <w:tcBorders/>
            <w:shd w:fill="auto" w:val="clear"/>
            <w:vAlign w:val="bottom"/>
          </w:tcPr>
          <w:p>
            <w:pPr>
              <w:pStyle w:val="TableContents"/>
              <w:spacing w:before="0" w:after="0"/>
              <w:ind w:left="0" w:right="0" w:firstLine="90"/>
              <w:jc w:val="left"/>
              <w:rPr>
                <w:color w:val="000000"/>
              </w:rPr>
            </w:pPr>
            <w:r>
              <w:rPr>
                <w:color w:val="000000"/>
              </w:rPr>
              <w:t> </w:t>
            </w:r>
          </w:p>
        </w:tc>
        <w:tc>
          <w:tcPr>
            <w:tcW w:w="2047" w:type="dxa"/>
            <w:gridSpan w:val="3"/>
            <w:tcBorders/>
            <w:shd w:fill="auto" w:val="clear"/>
            <w:vAlign w:val="bottom"/>
          </w:tcPr>
          <w:p>
            <w:pPr>
              <w:pStyle w:val="TableContents"/>
              <w:spacing w:before="0" w:after="0"/>
              <w:ind w:left="0" w:right="0" w:firstLine="9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June 30,</w:t>
              <w:br/>
              <w:t xml:space="preserve">2019 </w:t>
            </w:r>
          </w:p>
        </w:tc>
        <w:tc>
          <w:tcPr>
            <w:tcW w:w="1962" w:type="dxa"/>
            <w:gridSpan w:val="3"/>
            <w:tcBorders/>
            <w:shd w:fill="auto" w:val="clear"/>
            <w:vAlign w:val="bottom"/>
          </w:tcPr>
          <w:p>
            <w:pPr>
              <w:pStyle w:val="TableContents"/>
              <w:spacing w:before="0" w:after="0"/>
              <w:ind w:left="0" w:right="0" w:hanging="0"/>
              <w:jc w:val="center"/>
              <w:rPr>
                <w:rFonts w:ascii="Times New Roman;Times;Serif" w:hAnsi="Times New Roman;Times;Serif"/>
                <w:b/>
                <w:color w:val="000000"/>
                <w:sz w:val="12"/>
                <w:bdr w:val="single" w:sz="8" w:space="1" w:color="000000"/>
              </w:rPr>
            </w:pPr>
            <w:r>
              <w:rPr>
                <w:rFonts w:ascii="Times New Roman;Times;Serif" w:hAnsi="Times New Roman;Times;Serif"/>
                <w:b/>
                <w:color w:val="000000"/>
                <w:sz w:val="12"/>
                <w:bdr w:val="single" w:sz="8" w:space="1" w:color="000000"/>
              </w:rPr>
              <w:t>June 11,</w:t>
              <w:br/>
              <w:t xml:space="preserve">2019 </w:t>
            </w:r>
          </w:p>
        </w:tc>
      </w:tr>
      <w:tr>
        <w:trPr/>
        <w:tc>
          <w:tcPr>
            <w:tcW w:w="6196" w:type="dxa"/>
            <w:tcBorders/>
            <w:shd w:fill="auto" w:val="clear"/>
            <w:vAlign w:val="bottom"/>
          </w:tcPr>
          <w:p>
            <w:pPr>
              <w:pStyle w:val="TableContents"/>
              <w:spacing w:before="0" w:after="0"/>
              <w:ind w:left="0" w:right="0" w:firstLine="90"/>
              <w:jc w:val="left"/>
              <w:rPr>
                <w:color w:val="000000"/>
              </w:rPr>
            </w:pPr>
            <w:r>
              <w:rPr>
                <w:color w:val="000000"/>
              </w:rPr>
              <w:t> </w:t>
            </w:r>
          </w:p>
        </w:tc>
        <w:tc>
          <w:tcPr>
            <w:tcW w:w="2047" w:type="dxa"/>
            <w:gridSpan w:val="3"/>
            <w:tcBorders/>
            <w:shd w:fill="auto" w:val="clear"/>
            <w:vAlign w:val="bottom"/>
          </w:tcPr>
          <w:p>
            <w:pPr>
              <w:pStyle w:val="TableContents"/>
              <w:spacing w:before="0" w:after="0"/>
              <w:ind w:left="0" w:right="0" w:firstLine="90"/>
              <w:jc w:val="center"/>
              <w:rPr>
                <w:rFonts w:ascii="Times New Roman;Times;Serif" w:hAnsi="Times New Roman;Times;Serif"/>
                <w:color w:val="000000"/>
                <w:sz w:val="12"/>
                <w:bdr w:val="single" w:sz="8" w:space="1" w:color="000000"/>
              </w:rPr>
            </w:pPr>
            <w:r>
              <w:rPr>
                <w:rFonts w:ascii="Times New Roman;Times;Serif" w:hAnsi="Times New Roman;Times;Serif"/>
                <w:i/>
                <w:color w:val="000000"/>
                <w:sz w:val="12"/>
                <w:bdr w:val="single" w:sz="8" w:space="1" w:color="000000"/>
              </w:rPr>
              <w:t>(Unaudited)</w:t>
            </w:r>
            <w:r>
              <w:rPr>
                <w:rFonts w:ascii="Times New Roman;Times;Serif" w:hAnsi="Times New Roman;Times;Serif"/>
                <w:color w:val="000000"/>
                <w:sz w:val="12"/>
                <w:bdr w:val="single" w:sz="8" w:space="1" w:color="000000"/>
              </w:rPr>
              <w:t xml:space="preserve"> </w:t>
            </w:r>
          </w:p>
        </w:tc>
        <w:tc>
          <w:tcPr>
            <w:tcW w:w="1962" w:type="dxa"/>
            <w:gridSpan w:val="3"/>
            <w:tcBorders/>
            <w:shd w:fill="auto" w:val="clear"/>
            <w:vAlign w:val="bottom"/>
          </w:tcPr>
          <w:p>
            <w:pPr>
              <w:pStyle w:val="TableContents"/>
              <w:spacing w:before="0" w:after="0"/>
              <w:ind w:left="0" w:right="0" w:hanging="0"/>
              <w:jc w:val="center"/>
              <w:rPr>
                <w:rFonts w:ascii="Times New Roman;Times;Serif" w:hAnsi="Times New Roman;Times;Serif"/>
                <w:i/>
                <w:color w:val="000000"/>
                <w:sz w:val="12"/>
                <w:bdr w:val="single" w:sz="8" w:space="1" w:color="000000"/>
              </w:rPr>
            </w:pPr>
            <w:r>
              <w:rPr>
                <w:rFonts w:ascii="Times New Roman;Times;Serif" w:hAnsi="Times New Roman;Times;Serif"/>
                <w:i/>
                <w:color w:val="000000"/>
                <w:sz w:val="12"/>
                <w:bdr w:val="single" w:sz="8" w:space="1" w:color="000000"/>
              </w:rPr>
              <w:t>(Audited)</w:t>
            </w:r>
          </w:p>
        </w:tc>
      </w:tr>
      <w:tr>
        <w:trPr/>
        <w:tc>
          <w:tcPr>
            <w:tcW w:w="6196" w:type="dxa"/>
            <w:tcBorders/>
            <w:shd w:fill="CCEEFF"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Cash Flows from Operating Activities:</w:t>
            </w:r>
          </w:p>
        </w:tc>
        <w:tc>
          <w:tcPr>
            <w:tcW w:w="310" w:type="dxa"/>
            <w:tcBorders/>
            <w:shd w:fill="CCEEFF" w:val="clear"/>
            <w:vAlign w:val="bottom"/>
          </w:tcPr>
          <w:p>
            <w:pPr>
              <w:pStyle w:val="TableContents"/>
              <w:spacing w:before="0" w:after="0"/>
              <w:ind w:left="0" w:right="0" w:hanging="0"/>
              <w:jc w:val="right"/>
              <w:rPr>
                <w:color w:val="000000"/>
              </w:rPr>
            </w:pPr>
            <w:r>
              <w:rPr>
                <w:color w:val="000000"/>
              </w:rPr>
              <w:t> </w:t>
            </w:r>
          </w:p>
        </w:tc>
        <w:tc>
          <w:tcPr>
            <w:tcW w:w="1465" w:type="dxa"/>
            <w:tcBorders/>
            <w:shd w:fill="CCEEFF" w:val="clear"/>
            <w:vAlign w:val="bottom"/>
          </w:tcPr>
          <w:p>
            <w:pPr>
              <w:pStyle w:val="TableContents"/>
              <w:spacing w:before="0" w:after="0"/>
              <w:ind w:left="0" w:right="0" w:hanging="0"/>
              <w:jc w:val="right"/>
              <w:rPr>
                <w:color w:val="000000"/>
              </w:rPr>
            </w:pPr>
            <w:r>
              <w:rPr>
                <w:color w:val="000000"/>
              </w:rPr>
              <w:t> </w:t>
            </w:r>
          </w:p>
        </w:tc>
        <w:tc>
          <w:tcPr>
            <w:tcW w:w="272" w:type="dxa"/>
            <w:tcBorders/>
            <w:shd w:fill="CCEEFF" w:val="clear"/>
            <w:vAlign w:val="bottom"/>
          </w:tcPr>
          <w:p>
            <w:pPr>
              <w:pStyle w:val="TableContents"/>
              <w:spacing w:before="0" w:after="0"/>
              <w:ind w:left="0" w:right="0" w:firstLine="75"/>
              <w:jc w:val="left"/>
              <w:rPr>
                <w:color w:val="000000"/>
              </w:rPr>
            </w:pPr>
            <w:r>
              <w:rPr>
                <w:color w:val="000000"/>
              </w:rPr>
              <w:t> </w:t>
            </w:r>
          </w:p>
        </w:tc>
        <w:tc>
          <w:tcPr>
            <w:tcW w:w="310" w:type="dxa"/>
            <w:tcBorders/>
            <w:shd w:fill="CCEEFF" w:val="clear"/>
            <w:vAlign w:val="bottom"/>
          </w:tcPr>
          <w:p>
            <w:pPr>
              <w:pStyle w:val="TableContents"/>
              <w:spacing w:before="0" w:after="0"/>
              <w:ind w:left="0" w:right="0" w:hanging="0"/>
              <w:jc w:val="right"/>
              <w:rPr>
                <w:color w:val="000000"/>
              </w:rPr>
            </w:pPr>
            <w:r>
              <w:rPr>
                <w:color w:val="000000"/>
              </w:rPr>
              <w:t> </w:t>
            </w:r>
          </w:p>
        </w:tc>
        <w:tc>
          <w:tcPr>
            <w:tcW w:w="1241" w:type="dxa"/>
            <w:tcBorders/>
            <w:shd w:fill="CCEEFF" w:val="clear"/>
            <w:vAlign w:val="bottom"/>
          </w:tcPr>
          <w:p>
            <w:pPr>
              <w:pStyle w:val="TableContents"/>
              <w:spacing w:before="0" w:after="0"/>
              <w:ind w:left="0" w:right="0" w:hanging="0"/>
              <w:jc w:val="right"/>
              <w:rPr>
                <w:color w:val="000000"/>
              </w:rPr>
            </w:pPr>
            <w:r>
              <w:rPr>
                <w:color w:val="000000"/>
              </w:rPr>
              <w:t> </w:t>
            </w:r>
          </w:p>
        </w:tc>
        <w:tc>
          <w:tcPr>
            <w:tcW w:w="411" w:type="dxa"/>
            <w:tcBorders/>
            <w:shd w:fill="CCEEFF" w:val="clear"/>
            <w:vAlign w:val="bottom"/>
          </w:tcPr>
          <w:p>
            <w:pPr>
              <w:pStyle w:val="TableContents"/>
              <w:spacing w:before="0" w:after="0"/>
              <w:ind w:left="0" w:right="0" w:hanging="0"/>
              <w:jc w:val="left"/>
              <w:rPr>
                <w:color w:val="000000"/>
              </w:rPr>
            </w:pPr>
            <w:r>
              <w:rPr>
                <w:color w:val="000000"/>
              </w:rPr>
              <w:t> </w:t>
            </w:r>
          </w:p>
        </w:tc>
      </w:tr>
      <w:tr>
        <w:trPr/>
        <w:tc>
          <w:tcPr>
            <w:tcW w:w="6196" w:type="dxa"/>
            <w:tcBorders/>
            <w:shd w:fill="auto"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Net loss</w:t>
            </w:r>
          </w:p>
        </w:tc>
        <w:tc>
          <w:tcPr>
            <w:tcW w:w="310"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w:t>
            </w:r>
          </w:p>
        </w:tc>
        <w:tc>
          <w:tcPr>
            <w:tcW w:w="1465"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 xml:space="preserve">(5,000 </w:t>
            </w:r>
          </w:p>
        </w:tc>
        <w:tc>
          <w:tcPr>
            <w:tcW w:w="272" w:type="dxa"/>
            <w:tcBorders/>
            <w:shd w:fill="auto"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w:t>
            </w:r>
          </w:p>
        </w:tc>
        <w:tc>
          <w:tcPr>
            <w:tcW w:w="310"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w:t>
            </w:r>
          </w:p>
        </w:tc>
        <w:tc>
          <w:tcPr>
            <w:tcW w:w="1241"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 xml:space="preserve">(5,000 </w:t>
            </w:r>
          </w:p>
        </w:tc>
        <w:tc>
          <w:tcPr>
            <w:tcW w:w="411" w:type="dxa"/>
            <w:tcBorders/>
            <w:shd w:fill="auto" w:val="clear"/>
            <w:vAlign w:val="bottom"/>
          </w:tcPr>
          <w:p>
            <w:pPr>
              <w:pStyle w:val="TableContents"/>
              <w:spacing w:before="0" w:after="0"/>
              <w:ind w:left="0" w:right="0" w:firstLine="195"/>
              <w:jc w:val="left"/>
              <w:rPr>
                <w:rFonts w:ascii="Times New Roman;Times;Serif" w:hAnsi="Times New Roman;Times;Serif"/>
                <w:color w:val="000000"/>
                <w:sz w:val="17"/>
              </w:rPr>
            </w:pPr>
            <w:r>
              <w:rPr>
                <w:rFonts w:ascii="Times New Roman;Times;Serif" w:hAnsi="Times New Roman;Times;Serif"/>
                <w:color w:val="000000"/>
                <w:sz w:val="17"/>
              </w:rPr>
              <w:t>)</w:t>
            </w:r>
          </w:p>
        </w:tc>
      </w:tr>
      <w:tr>
        <w:trPr/>
        <w:tc>
          <w:tcPr>
            <w:tcW w:w="6196" w:type="dxa"/>
            <w:tcBorders/>
            <w:shd w:fill="CCEEFF" w:val="clear"/>
            <w:vAlign w:val="bottom"/>
          </w:tcPr>
          <w:p>
            <w:pPr>
              <w:pStyle w:val="TableContents"/>
              <w:spacing w:before="0" w:after="0"/>
              <w:ind w:left="0" w:right="0" w:firstLine="75"/>
              <w:jc w:val="left"/>
              <w:rPr>
                <w:rFonts w:ascii="Times New Roman;Times;Serif" w:hAnsi="Times New Roman;Times;Serif"/>
                <w:b/>
                <w:color w:val="000000"/>
                <w:sz w:val="17"/>
              </w:rPr>
            </w:pPr>
            <w:r>
              <w:rPr>
                <w:rFonts w:ascii="Times New Roman;Times;Serif" w:hAnsi="Times New Roman;Times;Serif"/>
                <w:b/>
                <w:color w:val="000000"/>
                <w:sz w:val="17"/>
              </w:rPr>
              <w:t>Net cash used in operating activities</w:t>
            </w:r>
          </w:p>
        </w:tc>
        <w:tc>
          <w:tcPr>
            <w:tcW w:w="310" w:type="dxa"/>
            <w:tcBorders/>
            <w:shd w:fill="CCEEFF" w:val="clear"/>
            <w:vAlign w:val="bottom"/>
          </w:tcPr>
          <w:p>
            <w:pPr>
              <w:pStyle w:val="TableContents"/>
              <w:spacing w:before="0" w:after="0"/>
              <w:ind w:left="0" w:right="0" w:hanging="0"/>
              <w:jc w:val="right"/>
              <w:rPr>
                <w:color w:val="000000"/>
                <w:bdr w:val="single" w:sz="8" w:space="1" w:color="000000"/>
              </w:rPr>
            </w:pPr>
            <w:r>
              <w:rPr>
                <w:color w:val="000000"/>
                <w:bdr w:val="single" w:sz="8" w:space="1" w:color="000000"/>
              </w:rPr>
              <w:t> </w:t>
            </w:r>
          </w:p>
        </w:tc>
        <w:tc>
          <w:tcPr>
            <w:tcW w:w="1465" w:type="dxa"/>
            <w:tcBorders/>
            <w:shd w:fill="CCEEFF" w:val="clear"/>
            <w:vAlign w:val="bottom"/>
          </w:tcPr>
          <w:p>
            <w:pPr>
              <w:pStyle w:val="TableContents"/>
              <w:spacing w:before="0" w:after="0"/>
              <w:ind w:left="0" w:right="0" w:hanging="0"/>
              <w:jc w:val="right"/>
              <w:rPr>
                <w:rFonts w:ascii="Times New Roman;Times;Serif" w:hAnsi="Times New Roman;Times;Serif"/>
                <w:b/>
                <w:color w:val="000000"/>
                <w:sz w:val="17"/>
                <w:bdr w:val="single" w:sz="8" w:space="1" w:color="000000"/>
              </w:rPr>
            </w:pPr>
            <w:r>
              <w:rPr>
                <w:rFonts w:ascii="Times New Roman;Times;Serif" w:hAnsi="Times New Roman;Times;Serif"/>
                <w:b/>
                <w:color w:val="000000"/>
                <w:sz w:val="17"/>
                <w:bdr w:val="single" w:sz="8" w:space="1" w:color="000000"/>
              </w:rPr>
              <w:t xml:space="preserve">(5,000 </w:t>
            </w:r>
          </w:p>
        </w:tc>
        <w:tc>
          <w:tcPr>
            <w:tcW w:w="272" w:type="dxa"/>
            <w:tcBorders/>
            <w:shd w:fill="CCEEFF" w:val="clear"/>
            <w:vAlign w:val="bottom"/>
          </w:tcPr>
          <w:p>
            <w:pPr>
              <w:pStyle w:val="TableContents"/>
              <w:spacing w:before="0" w:after="0"/>
              <w:ind w:left="0" w:right="0" w:firstLine="75"/>
              <w:jc w:val="left"/>
              <w:rPr>
                <w:rFonts w:ascii="Times New Roman;Times;Serif" w:hAnsi="Times New Roman;Times;Serif"/>
                <w:b/>
                <w:color w:val="000000"/>
                <w:sz w:val="17"/>
              </w:rPr>
            </w:pPr>
            <w:r>
              <w:rPr>
                <w:rFonts w:ascii="Times New Roman;Times;Serif" w:hAnsi="Times New Roman;Times;Serif"/>
                <w:b/>
                <w:color w:val="000000"/>
                <w:sz w:val="17"/>
              </w:rPr>
              <w:t>)</w:t>
            </w:r>
          </w:p>
        </w:tc>
        <w:tc>
          <w:tcPr>
            <w:tcW w:w="310" w:type="dxa"/>
            <w:tcBorders/>
            <w:shd w:fill="CCEEFF" w:val="clear"/>
            <w:vAlign w:val="bottom"/>
          </w:tcPr>
          <w:p>
            <w:pPr>
              <w:pStyle w:val="TableContents"/>
              <w:spacing w:before="0" w:after="0"/>
              <w:ind w:left="0" w:right="0" w:hanging="0"/>
              <w:jc w:val="right"/>
              <w:rPr>
                <w:color w:val="000000"/>
                <w:bdr w:val="single" w:sz="8" w:space="1" w:color="000000"/>
              </w:rPr>
            </w:pPr>
            <w:r>
              <w:rPr>
                <w:color w:val="000000"/>
                <w:bdr w:val="single" w:sz="8" w:space="1" w:color="000000"/>
              </w:rPr>
              <w:t> </w:t>
            </w:r>
          </w:p>
        </w:tc>
        <w:tc>
          <w:tcPr>
            <w:tcW w:w="1241" w:type="dxa"/>
            <w:tcBorders/>
            <w:shd w:fill="CCEEFF" w:val="clear"/>
            <w:vAlign w:val="bottom"/>
          </w:tcPr>
          <w:p>
            <w:pPr>
              <w:pStyle w:val="TableContents"/>
              <w:spacing w:before="0" w:after="0"/>
              <w:ind w:left="0" w:right="0" w:hanging="0"/>
              <w:jc w:val="right"/>
              <w:rPr>
                <w:rFonts w:ascii="Times New Roman;Times;Serif" w:hAnsi="Times New Roman;Times;Serif"/>
                <w:b/>
                <w:color w:val="000000"/>
                <w:sz w:val="17"/>
                <w:bdr w:val="single" w:sz="8" w:space="1" w:color="000000"/>
              </w:rPr>
            </w:pPr>
            <w:r>
              <w:rPr>
                <w:rFonts w:ascii="Times New Roman;Times;Serif" w:hAnsi="Times New Roman;Times;Serif"/>
                <w:b/>
                <w:color w:val="000000"/>
                <w:sz w:val="17"/>
                <w:bdr w:val="single" w:sz="8" w:space="1" w:color="000000"/>
              </w:rPr>
              <w:t xml:space="preserve">(5,000 </w:t>
            </w:r>
          </w:p>
        </w:tc>
        <w:tc>
          <w:tcPr>
            <w:tcW w:w="411" w:type="dxa"/>
            <w:tcBorders/>
            <w:shd w:fill="CCEEFF" w:val="clear"/>
            <w:vAlign w:val="bottom"/>
          </w:tcPr>
          <w:p>
            <w:pPr>
              <w:pStyle w:val="TableContents"/>
              <w:spacing w:before="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 xml:space="preserve">) </w:t>
            </w:r>
          </w:p>
        </w:tc>
      </w:tr>
      <w:tr>
        <w:trPr/>
        <w:tc>
          <w:tcPr>
            <w:tcW w:w="6196" w:type="dxa"/>
            <w:tcBorders/>
            <w:shd w:fill="auto" w:val="clear"/>
            <w:vAlign w:val="bottom"/>
          </w:tcPr>
          <w:p>
            <w:pPr>
              <w:pStyle w:val="TableContents"/>
              <w:spacing w:before="0" w:after="0"/>
              <w:ind w:left="0" w:right="0" w:firstLine="75"/>
              <w:jc w:val="left"/>
              <w:rPr>
                <w:rFonts w:ascii="Times New Roman;Times;Serif" w:hAnsi="Times New Roman;Times;Serif"/>
                <w:b/>
                <w:color w:val="000000"/>
                <w:sz w:val="17"/>
              </w:rPr>
            </w:pPr>
            <w:r>
              <w:rPr>
                <w:rFonts w:ascii="Times New Roman;Times;Serif" w:hAnsi="Times New Roman;Times;Serif"/>
                <w:b/>
                <w:color w:val="000000"/>
                <w:sz w:val="17"/>
              </w:rPr>
              <w:t>Cash Flows from Financing Activities:</w:t>
            </w:r>
          </w:p>
        </w:tc>
        <w:tc>
          <w:tcPr>
            <w:tcW w:w="310" w:type="dxa"/>
            <w:tcBorders/>
            <w:shd w:fill="auto" w:val="clear"/>
            <w:vAlign w:val="bottom"/>
          </w:tcPr>
          <w:p>
            <w:pPr>
              <w:pStyle w:val="TableContents"/>
              <w:spacing w:before="0" w:after="0"/>
              <w:ind w:left="0" w:right="0" w:hanging="0"/>
              <w:jc w:val="right"/>
              <w:rPr>
                <w:color w:val="000000"/>
              </w:rPr>
            </w:pPr>
            <w:r>
              <w:rPr>
                <w:color w:val="000000"/>
              </w:rPr>
              <w:t> </w:t>
            </w:r>
          </w:p>
        </w:tc>
        <w:tc>
          <w:tcPr>
            <w:tcW w:w="1465" w:type="dxa"/>
            <w:tcBorders/>
            <w:shd w:fill="auto" w:val="clear"/>
            <w:vAlign w:val="bottom"/>
          </w:tcPr>
          <w:p>
            <w:pPr>
              <w:pStyle w:val="TableContents"/>
              <w:spacing w:before="0" w:after="0"/>
              <w:ind w:left="0" w:right="0" w:hanging="0"/>
              <w:jc w:val="right"/>
              <w:rPr>
                <w:color w:val="000000"/>
              </w:rPr>
            </w:pPr>
            <w:r>
              <w:rPr>
                <w:color w:val="000000"/>
              </w:rPr>
              <w:t> </w:t>
            </w:r>
          </w:p>
        </w:tc>
        <w:tc>
          <w:tcPr>
            <w:tcW w:w="272" w:type="dxa"/>
            <w:tcBorders/>
            <w:shd w:fill="auto" w:val="clear"/>
            <w:vAlign w:val="bottom"/>
          </w:tcPr>
          <w:p>
            <w:pPr>
              <w:pStyle w:val="TableContents"/>
              <w:spacing w:before="0" w:after="0"/>
              <w:ind w:left="0" w:right="0" w:firstLine="75"/>
              <w:jc w:val="left"/>
              <w:rPr>
                <w:color w:val="000000"/>
              </w:rPr>
            </w:pPr>
            <w:r>
              <w:rPr>
                <w:color w:val="000000"/>
              </w:rPr>
              <w:t> </w:t>
            </w:r>
          </w:p>
        </w:tc>
        <w:tc>
          <w:tcPr>
            <w:tcW w:w="310" w:type="dxa"/>
            <w:tcBorders/>
            <w:shd w:fill="auto" w:val="clear"/>
            <w:vAlign w:val="bottom"/>
          </w:tcPr>
          <w:p>
            <w:pPr>
              <w:pStyle w:val="TableContents"/>
              <w:spacing w:before="0" w:after="0"/>
              <w:ind w:left="0" w:right="0" w:hanging="0"/>
              <w:jc w:val="right"/>
              <w:rPr>
                <w:color w:val="000000"/>
              </w:rPr>
            </w:pPr>
            <w:r>
              <w:rPr>
                <w:color w:val="000000"/>
              </w:rPr>
              <w:t> </w:t>
            </w:r>
          </w:p>
        </w:tc>
        <w:tc>
          <w:tcPr>
            <w:tcW w:w="1241" w:type="dxa"/>
            <w:tcBorders/>
            <w:shd w:fill="auto" w:val="clear"/>
            <w:vAlign w:val="bottom"/>
          </w:tcPr>
          <w:p>
            <w:pPr>
              <w:pStyle w:val="TableContents"/>
              <w:spacing w:before="0" w:after="0"/>
              <w:ind w:left="0" w:right="0" w:hanging="0"/>
              <w:jc w:val="right"/>
              <w:rPr>
                <w:color w:val="000000"/>
              </w:rPr>
            </w:pPr>
            <w:r>
              <w:rPr>
                <w:color w:val="000000"/>
              </w:rPr>
              <w:t> </w:t>
            </w:r>
          </w:p>
        </w:tc>
        <w:tc>
          <w:tcPr>
            <w:tcW w:w="411" w:type="dxa"/>
            <w:tcBorders/>
            <w:shd w:fill="auto" w:val="clear"/>
            <w:vAlign w:val="bottom"/>
          </w:tcPr>
          <w:p>
            <w:pPr>
              <w:pStyle w:val="TableContents"/>
              <w:spacing w:before="0" w:after="0"/>
              <w:ind w:left="0" w:right="0" w:hanging="0"/>
              <w:jc w:val="left"/>
              <w:rPr>
                <w:color w:val="000000"/>
              </w:rPr>
            </w:pPr>
            <w:r>
              <w:rPr>
                <w:color w:val="000000"/>
              </w:rPr>
              <w:t> </w:t>
            </w:r>
          </w:p>
        </w:tc>
      </w:tr>
      <w:tr>
        <w:trPr/>
        <w:tc>
          <w:tcPr>
            <w:tcW w:w="6196" w:type="dxa"/>
            <w:tcBorders/>
            <w:shd w:fill="CCEEFF"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Proceeds from promissory note – related party</w:t>
            </w:r>
          </w:p>
        </w:tc>
        <w:tc>
          <w:tcPr>
            <w:tcW w:w="310" w:type="dxa"/>
            <w:tcBorders/>
            <w:shd w:fill="CCEEFF" w:val="clear"/>
            <w:vAlign w:val="bottom"/>
          </w:tcPr>
          <w:p>
            <w:pPr>
              <w:pStyle w:val="TableContents"/>
              <w:spacing w:before="0" w:after="0"/>
              <w:ind w:left="0" w:right="0" w:hanging="0"/>
              <w:jc w:val="right"/>
              <w:rPr>
                <w:color w:val="000000"/>
              </w:rPr>
            </w:pPr>
            <w:r>
              <w:rPr>
                <w:color w:val="000000"/>
              </w:rPr>
              <w:t> </w:t>
            </w:r>
          </w:p>
        </w:tc>
        <w:tc>
          <w:tcPr>
            <w:tcW w:w="1465"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68,625</w:t>
            </w:r>
          </w:p>
        </w:tc>
        <w:tc>
          <w:tcPr>
            <w:tcW w:w="272" w:type="dxa"/>
            <w:tcBorders/>
            <w:shd w:fill="CCEEFF" w:val="clear"/>
            <w:vAlign w:val="bottom"/>
          </w:tcPr>
          <w:p>
            <w:pPr>
              <w:pStyle w:val="TableContents"/>
              <w:spacing w:before="0" w:after="0"/>
              <w:ind w:left="0" w:right="0" w:firstLine="75"/>
              <w:jc w:val="left"/>
              <w:rPr>
                <w:color w:val="000000"/>
              </w:rPr>
            </w:pPr>
            <w:r>
              <w:rPr>
                <w:color w:val="000000"/>
              </w:rPr>
              <w:t> </w:t>
            </w:r>
          </w:p>
        </w:tc>
        <w:tc>
          <w:tcPr>
            <w:tcW w:w="310" w:type="dxa"/>
            <w:tcBorders/>
            <w:shd w:fill="CCEEFF" w:val="clear"/>
            <w:vAlign w:val="bottom"/>
          </w:tcPr>
          <w:p>
            <w:pPr>
              <w:pStyle w:val="TableContents"/>
              <w:spacing w:before="0" w:after="0"/>
              <w:ind w:left="0" w:right="0" w:hanging="0"/>
              <w:jc w:val="right"/>
              <w:rPr>
                <w:color w:val="000000"/>
              </w:rPr>
            </w:pPr>
            <w:r>
              <w:rPr>
                <w:color w:val="000000"/>
              </w:rPr>
              <w:t> </w:t>
            </w:r>
          </w:p>
        </w:tc>
        <w:tc>
          <w:tcPr>
            <w:tcW w:w="1241"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rPr>
            </w:pPr>
            <w:r>
              <w:rPr>
                <w:rFonts w:ascii="Times New Roman;Times;Serif" w:hAnsi="Times New Roman;Times;Serif"/>
                <w:color w:val="000000"/>
                <w:sz w:val="17"/>
              </w:rPr>
              <w:t>12,500</w:t>
            </w:r>
          </w:p>
        </w:tc>
        <w:tc>
          <w:tcPr>
            <w:tcW w:w="411" w:type="dxa"/>
            <w:tcBorders/>
            <w:shd w:fill="CCEEFF" w:val="clear"/>
            <w:vAlign w:val="bottom"/>
          </w:tcPr>
          <w:p>
            <w:pPr>
              <w:pStyle w:val="TableContents"/>
              <w:spacing w:before="0" w:after="0"/>
              <w:ind w:left="0" w:right="0" w:hanging="0"/>
              <w:jc w:val="left"/>
              <w:rPr>
                <w:color w:val="000000"/>
              </w:rPr>
            </w:pPr>
            <w:r>
              <w:rPr>
                <w:color w:val="000000"/>
              </w:rPr>
              <w:t> </w:t>
            </w:r>
          </w:p>
        </w:tc>
      </w:tr>
      <w:tr>
        <w:trPr/>
        <w:tc>
          <w:tcPr>
            <w:tcW w:w="6196" w:type="dxa"/>
            <w:tcBorders/>
            <w:shd w:fill="auto"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Payment of offering costs</w:t>
            </w:r>
          </w:p>
        </w:tc>
        <w:tc>
          <w:tcPr>
            <w:tcW w:w="310" w:type="dxa"/>
            <w:tcBorders/>
            <w:shd w:fill="auto" w:val="clear"/>
            <w:vAlign w:val="bottom"/>
          </w:tcPr>
          <w:p>
            <w:pPr>
              <w:pStyle w:val="TableContents"/>
              <w:spacing w:before="0" w:after="0"/>
              <w:ind w:left="0" w:right="0" w:hanging="0"/>
              <w:jc w:val="right"/>
              <w:rPr>
                <w:color w:val="000000"/>
                <w:bdr w:val="single" w:sz="8" w:space="1" w:color="000000"/>
              </w:rPr>
            </w:pPr>
            <w:r>
              <w:rPr>
                <w:color w:val="000000"/>
                <w:bdr w:val="single" w:sz="8" w:space="1" w:color="000000"/>
              </w:rPr>
              <w:t> </w:t>
            </w:r>
          </w:p>
        </w:tc>
        <w:tc>
          <w:tcPr>
            <w:tcW w:w="1465"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(63,625</w:t>
            </w:r>
          </w:p>
        </w:tc>
        <w:tc>
          <w:tcPr>
            <w:tcW w:w="272" w:type="dxa"/>
            <w:tcBorders/>
            <w:shd w:fill="auto"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w:t>
            </w:r>
          </w:p>
        </w:tc>
        <w:tc>
          <w:tcPr>
            <w:tcW w:w="310" w:type="dxa"/>
            <w:tcBorders/>
            <w:shd w:fill="auto" w:val="clear"/>
            <w:vAlign w:val="bottom"/>
          </w:tcPr>
          <w:p>
            <w:pPr>
              <w:pStyle w:val="TableContents"/>
              <w:spacing w:before="0" w:after="0"/>
              <w:ind w:left="0" w:right="0" w:hanging="0"/>
              <w:jc w:val="right"/>
              <w:rPr>
                <w:color w:val="000000"/>
                <w:bdr w:val="single" w:sz="8" w:space="1" w:color="000000"/>
              </w:rPr>
            </w:pPr>
            <w:r>
              <w:rPr>
                <w:color w:val="000000"/>
                <w:bdr w:val="single" w:sz="8" w:space="1" w:color="000000"/>
              </w:rPr>
              <w:t> </w:t>
            </w:r>
          </w:p>
        </w:tc>
        <w:tc>
          <w:tcPr>
            <w:tcW w:w="1241"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bdr w:val="single" w:sz="8" w:space="1" w:color="000000"/>
              </w:rPr>
            </w:pPr>
            <w:r>
              <w:rPr>
                <w:rFonts w:ascii="Times New Roman;Times;Serif" w:hAnsi="Times New Roman;Times;Serif"/>
                <w:color w:val="000000"/>
                <w:sz w:val="17"/>
                <w:bdr w:val="single" w:sz="8" w:space="1" w:color="000000"/>
              </w:rPr>
              <w:t xml:space="preserve">(7,500 </w:t>
            </w:r>
          </w:p>
        </w:tc>
        <w:tc>
          <w:tcPr>
            <w:tcW w:w="411" w:type="dxa"/>
            <w:tcBorders/>
            <w:shd w:fill="auto" w:val="clear"/>
            <w:vAlign w:val="bottom"/>
          </w:tcPr>
          <w:p>
            <w:pPr>
              <w:pStyle w:val="TableContents"/>
              <w:spacing w:before="0" w:after="0"/>
              <w:ind w:left="0" w:right="0" w:firstLine="195"/>
              <w:jc w:val="left"/>
              <w:rPr>
                <w:rFonts w:ascii="Times New Roman;Times;Serif" w:hAnsi="Times New Roman;Times;Serif"/>
                <w:color w:val="000000"/>
                <w:sz w:val="17"/>
              </w:rPr>
            </w:pPr>
            <w:r>
              <w:rPr>
                <w:rFonts w:ascii="Times New Roman;Times;Serif" w:hAnsi="Times New Roman;Times;Serif"/>
                <w:color w:val="000000"/>
                <w:sz w:val="17"/>
              </w:rPr>
              <w:t>)</w:t>
            </w:r>
          </w:p>
        </w:tc>
      </w:tr>
      <w:tr>
        <w:trPr/>
        <w:tc>
          <w:tcPr>
            <w:tcW w:w="6196" w:type="dxa"/>
            <w:tcBorders/>
            <w:shd w:fill="CCEEFF" w:val="clear"/>
            <w:vAlign w:val="bottom"/>
          </w:tcPr>
          <w:p>
            <w:pPr>
              <w:pStyle w:val="TableContents"/>
              <w:spacing w:before="0" w:after="0"/>
              <w:ind w:left="0" w:right="0" w:firstLine="75"/>
              <w:jc w:val="left"/>
              <w:rPr>
                <w:rFonts w:ascii="Times New Roman;Times;Serif" w:hAnsi="Times New Roman;Times;Serif"/>
                <w:b/>
                <w:color w:val="000000"/>
                <w:sz w:val="17"/>
              </w:rPr>
            </w:pPr>
            <w:r>
              <w:rPr>
                <w:rFonts w:ascii="Times New Roman;Times;Serif" w:hAnsi="Times New Roman;Times;Serif"/>
                <w:b/>
                <w:color w:val="000000"/>
                <w:sz w:val="17"/>
              </w:rPr>
              <w:t>Net cash provided by financing activities</w:t>
            </w:r>
          </w:p>
        </w:tc>
        <w:tc>
          <w:tcPr>
            <w:tcW w:w="310" w:type="dxa"/>
            <w:tcBorders/>
            <w:shd w:fill="CCEEFF" w:val="clear"/>
            <w:vAlign w:val="bottom"/>
          </w:tcPr>
          <w:p>
            <w:pPr>
              <w:pStyle w:val="TableContents"/>
              <w:spacing w:before="0" w:after="0"/>
              <w:ind w:left="0" w:right="0" w:hanging="0"/>
              <w:jc w:val="right"/>
              <w:rPr>
                <w:color w:val="000000"/>
                <w:bdr w:val="single" w:sz="8" w:space="1" w:color="000000"/>
              </w:rPr>
            </w:pPr>
            <w:r>
              <w:rPr>
                <w:color w:val="000000"/>
                <w:bdr w:val="single" w:sz="8" w:space="1" w:color="000000"/>
              </w:rPr>
              <w:t> </w:t>
            </w:r>
          </w:p>
        </w:tc>
        <w:tc>
          <w:tcPr>
            <w:tcW w:w="1465" w:type="dxa"/>
            <w:tcBorders/>
            <w:shd w:fill="CCEEFF" w:val="clear"/>
            <w:vAlign w:val="bottom"/>
          </w:tcPr>
          <w:p>
            <w:pPr>
              <w:pStyle w:val="TableContents"/>
              <w:spacing w:before="0" w:after="0"/>
              <w:ind w:left="0" w:right="0" w:hanging="0"/>
              <w:jc w:val="right"/>
              <w:rPr>
                <w:rFonts w:ascii="Times New Roman;Times;Serif" w:hAnsi="Times New Roman;Times;Serif"/>
                <w:b/>
                <w:color w:val="000000"/>
                <w:sz w:val="17"/>
                <w:bdr w:val="single" w:sz="8" w:space="1" w:color="000000"/>
              </w:rPr>
            </w:pPr>
            <w:r>
              <w:rPr>
                <w:rFonts w:ascii="Times New Roman;Times;Serif" w:hAnsi="Times New Roman;Times;Serif"/>
                <w:b/>
                <w:color w:val="000000"/>
                <w:sz w:val="17"/>
                <w:bdr w:val="single" w:sz="8" w:space="1" w:color="000000"/>
              </w:rPr>
              <w:t>5,000</w:t>
            </w:r>
          </w:p>
        </w:tc>
        <w:tc>
          <w:tcPr>
            <w:tcW w:w="272" w:type="dxa"/>
            <w:tcBorders/>
            <w:shd w:fill="CCEEFF" w:val="clear"/>
            <w:vAlign w:val="bottom"/>
          </w:tcPr>
          <w:p>
            <w:pPr>
              <w:pStyle w:val="TableContents"/>
              <w:spacing w:before="0" w:after="0"/>
              <w:ind w:left="0" w:right="0" w:firstLine="75"/>
              <w:jc w:val="left"/>
              <w:rPr>
                <w:color w:val="000000"/>
              </w:rPr>
            </w:pPr>
            <w:r>
              <w:rPr>
                <w:color w:val="000000"/>
              </w:rPr>
              <w:t> </w:t>
            </w:r>
          </w:p>
        </w:tc>
        <w:tc>
          <w:tcPr>
            <w:tcW w:w="310" w:type="dxa"/>
            <w:tcBorders/>
            <w:shd w:fill="CCEEFF" w:val="clear"/>
            <w:vAlign w:val="bottom"/>
          </w:tcPr>
          <w:p>
            <w:pPr>
              <w:pStyle w:val="TableContents"/>
              <w:spacing w:before="0" w:after="0"/>
              <w:ind w:left="0" w:right="0" w:hanging="0"/>
              <w:jc w:val="right"/>
              <w:rPr>
                <w:color w:val="000000"/>
                <w:bdr w:val="single" w:sz="8" w:space="1" w:color="000000"/>
              </w:rPr>
            </w:pPr>
            <w:r>
              <w:rPr>
                <w:color w:val="000000"/>
                <w:bdr w:val="single" w:sz="8" w:space="1" w:color="000000"/>
              </w:rPr>
              <w:t> </w:t>
            </w:r>
          </w:p>
        </w:tc>
        <w:tc>
          <w:tcPr>
            <w:tcW w:w="1241" w:type="dxa"/>
            <w:tcBorders/>
            <w:shd w:fill="CCEEFF" w:val="clear"/>
            <w:vAlign w:val="bottom"/>
          </w:tcPr>
          <w:p>
            <w:pPr>
              <w:pStyle w:val="TableContents"/>
              <w:spacing w:before="0" w:after="0"/>
              <w:ind w:left="0" w:right="0" w:hanging="0"/>
              <w:jc w:val="right"/>
              <w:rPr>
                <w:rFonts w:ascii="Times New Roman;Times;Serif" w:hAnsi="Times New Roman;Times;Serif"/>
                <w:b/>
                <w:color w:val="000000"/>
                <w:sz w:val="17"/>
                <w:bdr w:val="single" w:sz="8" w:space="1" w:color="000000"/>
              </w:rPr>
            </w:pPr>
            <w:r>
              <w:rPr>
                <w:rFonts w:ascii="Times New Roman;Times;Serif" w:hAnsi="Times New Roman;Times;Serif"/>
                <w:b/>
                <w:color w:val="000000"/>
                <w:sz w:val="17"/>
                <w:bdr w:val="single" w:sz="8" w:space="1" w:color="000000"/>
              </w:rPr>
              <w:t xml:space="preserve">5,000 </w:t>
            </w:r>
          </w:p>
        </w:tc>
        <w:tc>
          <w:tcPr>
            <w:tcW w:w="411" w:type="dxa"/>
            <w:tcBorders/>
            <w:shd w:fill="CCEEFF" w:val="clear"/>
            <w:vAlign w:val="bottom"/>
          </w:tcPr>
          <w:p>
            <w:pPr>
              <w:pStyle w:val="TableContents"/>
              <w:spacing w:before="0" w:after="0"/>
              <w:ind w:left="0" w:right="0" w:hanging="0"/>
              <w:jc w:val="left"/>
              <w:rPr>
                <w:color w:val="000000"/>
              </w:rPr>
            </w:pPr>
            <w:r>
              <w:rPr>
                <w:color w:val="000000"/>
              </w:rPr>
              <w:t> </w:t>
            </w:r>
          </w:p>
        </w:tc>
      </w:tr>
      <w:tr>
        <w:trPr/>
        <w:tc>
          <w:tcPr>
            <w:tcW w:w="6196" w:type="dxa"/>
            <w:tcBorders/>
            <w:shd w:fill="auto" w:val="clear"/>
            <w:vAlign w:val="bottom"/>
          </w:tcPr>
          <w:p>
            <w:pPr>
              <w:pStyle w:val="TableContents"/>
              <w:spacing w:before="0" w:after="0"/>
              <w:ind w:left="0" w:right="0" w:firstLine="75"/>
              <w:jc w:val="left"/>
              <w:rPr>
                <w:rFonts w:ascii="Times New Roman;Times;Serif" w:hAnsi="Times New Roman;Times;Serif"/>
                <w:b/>
                <w:color w:val="000000"/>
                <w:sz w:val="17"/>
              </w:rPr>
            </w:pPr>
            <w:r>
              <w:rPr>
                <w:rFonts w:ascii="Times New Roman;Times;Serif" w:hAnsi="Times New Roman;Times;Serif"/>
                <w:b/>
                <w:color w:val="000000"/>
                <w:sz w:val="17"/>
              </w:rPr>
              <w:t>Net Change in Cash</w:t>
            </w:r>
          </w:p>
        </w:tc>
        <w:tc>
          <w:tcPr>
            <w:tcW w:w="310" w:type="dxa"/>
            <w:tcBorders/>
            <w:shd w:fill="auto" w:val="clear"/>
            <w:vAlign w:val="bottom"/>
          </w:tcPr>
          <w:p>
            <w:pPr>
              <w:pStyle w:val="TableContents"/>
              <w:spacing w:before="0" w:after="0"/>
              <w:ind w:left="0" w:right="0" w:hanging="0"/>
              <w:jc w:val="right"/>
              <w:rPr>
                <w:color w:val="000000"/>
              </w:rPr>
            </w:pPr>
            <w:r>
              <w:rPr>
                <w:color w:val="000000"/>
              </w:rPr>
              <w:t> </w:t>
            </w:r>
          </w:p>
        </w:tc>
        <w:tc>
          <w:tcPr>
            <w:tcW w:w="1465" w:type="dxa"/>
            <w:tcBorders/>
            <w:shd w:fill="auto" w:val="clear"/>
            <w:vAlign w:val="bottom"/>
          </w:tcPr>
          <w:p>
            <w:pPr>
              <w:pStyle w:val="TableContents"/>
              <w:spacing w:before="0" w:after="0"/>
              <w:ind w:left="0" w:right="0" w:hanging="0"/>
              <w:jc w:val="right"/>
              <w:rPr>
                <w:color w:val="000000"/>
              </w:rPr>
            </w:pPr>
            <w:r>
              <w:rPr>
                <w:color w:val="000000"/>
              </w:rPr>
              <w:t>—</w:t>
            </w:r>
          </w:p>
        </w:tc>
        <w:tc>
          <w:tcPr>
            <w:tcW w:w="272" w:type="dxa"/>
            <w:tcBorders/>
            <w:shd w:fill="auto" w:val="clear"/>
            <w:vAlign w:val="bottom"/>
          </w:tcPr>
          <w:p>
            <w:pPr>
              <w:pStyle w:val="TableContents"/>
              <w:spacing w:before="0" w:after="0"/>
              <w:ind w:left="0" w:right="0" w:firstLine="75"/>
              <w:jc w:val="left"/>
              <w:rPr>
                <w:color w:val="000000"/>
              </w:rPr>
            </w:pPr>
            <w:r>
              <w:rPr>
                <w:color w:val="000000"/>
              </w:rPr>
              <w:t> </w:t>
            </w:r>
          </w:p>
        </w:tc>
        <w:tc>
          <w:tcPr>
            <w:tcW w:w="310" w:type="dxa"/>
            <w:tcBorders/>
            <w:shd w:fill="auto" w:val="clear"/>
            <w:vAlign w:val="bottom"/>
          </w:tcPr>
          <w:p>
            <w:pPr>
              <w:pStyle w:val="TableContents"/>
              <w:spacing w:before="0" w:after="0"/>
              <w:ind w:left="0" w:right="0" w:hanging="0"/>
              <w:jc w:val="right"/>
              <w:rPr>
                <w:color w:val="000000"/>
              </w:rPr>
            </w:pPr>
            <w:r>
              <w:rPr>
                <w:color w:val="000000"/>
              </w:rPr>
              <w:t> </w:t>
            </w:r>
          </w:p>
        </w:tc>
        <w:tc>
          <w:tcPr>
            <w:tcW w:w="1241" w:type="dxa"/>
            <w:tcBorders/>
            <w:shd w:fill="auto" w:val="clear"/>
            <w:vAlign w:val="bottom"/>
          </w:tcPr>
          <w:p>
            <w:pPr>
              <w:pStyle w:val="TableContents"/>
              <w:spacing w:before="0" w:after="0"/>
              <w:ind w:left="0" w:right="0" w:hanging="0"/>
              <w:jc w:val="right"/>
              <w:rPr>
                <w:color w:val="000000"/>
              </w:rPr>
            </w:pPr>
            <w:r>
              <w:rPr>
                <w:color w:val="000000"/>
              </w:rPr>
              <w:t>—</w:t>
            </w:r>
          </w:p>
        </w:tc>
        <w:tc>
          <w:tcPr>
            <w:tcW w:w="411" w:type="dxa"/>
            <w:tcBorders/>
            <w:shd w:fill="auto" w:val="clear"/>
            <w:vAlign w:val="bottom"/>
          </w:tcPr>
          <w:p>
            <w:pPr>
              <w:pStyle w:val="TableContents"/>
              <w:spacing w:before="0" w:after="0"/>
              <w:ind w:left="0" w:right="0" w:hanging="0"/>
              <w:jc w:val="left"/>
              <w:rPr>
                <w:color w:val="000000"/>
              </w:rPr>
            </w:pPr>
            <w:r>
              <w:rPr>
                <w:color w:val="000000"/>
              </w:rPr>
              <w:t> </w:t>
            </w:r>
          </w:p>
        </w:tc>
      </w:tr>
      <w:tr>
        <w:trPr/>
        <w:tc>
          <w:tcPr>
            <w:tcW w:w="6196" w:type="dxa"/>
            <w:tcBorders/>
            <w:shd w:fill="CCEEFF"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Cash at the beginning of the period</w:t>
            </w:r>
          </w:p>
        </w:tc>
        <w:tc>
          <w:tcPr>
            <w:tcW w:w="310" w:type="dxa"/>
            <w:tcBorders/>
            <w:shd w:fill="CCEEFF" w:val="clear"/>
            <w:vAlign w:val="bottom"/>
          </w:tcPr>
          <w:p>
            <w:pPr>
              <w:pStyle w:val="TableContents"/>
              <w:spacing w:before="0" w:after="0"/>
              <w:ind w:left="0" w:right="0" w:hanging="0"/>
              <w:jc w:val="right"/>
              <w:rPr>
                <w:color w:val="000000"/>
                <w:bdr w:val="single" w:sz="8" w:space="1" w:color="000000"/>
              </w:rPr>
            </w:pPr>
            <w:r>
              <w:rPr>
                <w:color w:val="000000"/>
                <w:bdr w:val="single" w:sz="8" w:space="1" w:color="000000"/>
              </w:rPr>
              <w:t> </w:t>
            </w:r>
          </w:p>
        </w:tc>
        <w:tc>
          <w:tcPr>
            <w:tcW w:w="1465" w:type="dxa"/>
            <w:tcBorders/>
            <w:shd w:fill="CCEEFF" w:val="clear"/>
            <w:vAlign w:val="bottom"/>
          </w:tcPr>
          <w:p>
            <w:pPr>
              <w:pStyle w:val="TableContents"/>
              <w:spacing w:before="0" w:after="0"/>
              <w:ind w:left="0" w:right="0" w:hanging="0"/>
              <w:jc w:val="right"/>
              <w:rPr>
                <w:color w:val="000000"/>
                <w:bdr w:val="single" w:sz="8" w:space="1" w:color="000000"/>
              </w:rPr>
            </w:pPr>
            <w:r>
              <w:rPr>
                <w:color w:val="000000"/>
                <w:bdr w:val="single" w:sz="8" w:space="1" w:color="000000"/>
              </w:rPr>
              <w:t>—</w:t>
            </w:r>
          </w:p>
        </w:tc>
        <w:tc>
          <w:tcPr>
            <w:tcW w:w="272" w:type="dxa"/>
            <w:tcBorders/>
            <w:shd w:fill="CCEEFF" w:val="clear"/>
            <w:vAlign w:val="bottom"/>
          </w:tcPr>
          <w:p>
            <w:pPr>
              <w:pStyle w:val="TableContents"/>
              <w:spacing w:before="0" w:after="0"/>
              <w:ind w:left="0" w:right="0" w:firstLine="75"/>
              <w:jc w:val="left"/>
              <w:rPr>
                <w:color w:val="000000"/>
              </w:rPr>
            </w:pPr>
            <w:r>
              <w:rPr>
                <w:color w:val="000000"/>
              </w:rPr>
              <w:t> </w:t>
            </w:r>
          </w:p>
        </w:tc>
        <w:tc>
          <w:tcPr>
            <w:tcW w:w="310" w:type="dxa"/>
            <w:tcBorders/>
            <w:shd w:fill="CCEEFF" w:val="clear"/>
            <w:vAlign w:val="bottom"/>
          </w:tcPr>
          <w:p>
            <w:pPr>
              <w:pStyle w:val="TableContents"/>
              <w:spacing w:before="0" w:after="0"/>
              <w:ind w:left="0" w:right="0" w:hanging="0"/>
              <w:jc w:val="right"/>
              <w:rPr>
                <w:color w:val="000000"/>
                <w:bdr w:val="single" w:sz="8" w:space="1" w:color="000000"/>
              </w:rPr>
            </w:pPr>
            <w:r>
              <w:rPr>
                <w:color w:val="000000"/>
                <w:bdr w:val="single" w:sz="8" w:space="1" w:color="000000"/>
              </w:rPr>
              <w:t> </w:t>
            </w:r>
          </w:p>
        </w:tc>
        <w:tc>
          <w:tcPr>
            <w:tcW w:w="1241" w:type="dxa"/>
            <w:tcBorders/>
            <w:shd w:fill="CCEEFF" w:val="clear"/>
            <w:vAlign w:val="bottom"/>
          </w:tcPr>
          <w:p>
            <w:pPr>
              <w:pStyle w:val="TableContents"/>
              <w:spacing w:before="0" w:after="0"/>
              <w:ind w:left="0" w:right="0" w:hanging="0"/>
              <w:jc w:val="right"/>
              <w:rPr>
                <w:color w:val="000000"/>
                <w:bdr w:val="single" w:sz="8" w:space="1" w:color="000000"/>
              </w:rPr>
            </w:pPr>
            <w:r>
              <w:rPr>
                <w:color w:val="000000"/>
                <w:bdr w:val="single" w:sz="8" w:space="1" w:color="000000"/>
              </w:rPr>
              <w:t>—</w:t>
            </w:r>
          </w:p>
        </w:tc>
        <w:tc>
          <w:tcPr>
            <w:tcW w:w="411" w:type="dxa"/>
            <w:tcBorders/>
            <w:shd w:fill="CCEEFF" w:val="clear"/>
            <w:vAlign w:val="bottom"/>
          </w:tcPr>
          <w:p>
            <w:pPr>
              <w:pStyle w:val="TableContents"/>
              <w:spacing w:before="0" w:after="0"/>
              <w:ind w:left="0" w:right="0" w:hanging="0"/>
              <w:jc w:val="left"/>
              <w:rPr>
                <w:color w:val="000000"/>
              </w:rPr>
            </w:pPr>
            <w:r>
              <w:rPr>
                <w:color w:val="000000"/>
              </w:rPr>
              <w:t> </w:t>
            </w:r>
          </w:p>
        </w:tc>
      </w:tr>
      <w:tr>
        <w:trPr/>
        <w:tc>
          <w:tcPr>
            <w:tcW w:w="6196" w:type="dxa"/>
            <w:tcBorders/>
            <w:shd w:fill="auto" w:val="clear"/>
            <w:vAlign w:val="bottom"/>
          </w:tcPr>
          <w:p>
            <w:pPr>
              <w:pStyle w:val="TableContents"/>
              <w:spacing w:before="0" w:after="0"/>
              <w:ind w:left="0" w:right="0" w:firstLine="75"/>
              <w:jc w:val="left"/>
              <w:rPr>
                <w:rFonts w:ascii="Times New Roman;Times;Serif" w:hAnsi="Times New Roman;Times;Serif"/>
                <w:b/>
                <w:color w:val="000000"/>
                <w:sz w:val="17"/>
              </w:rPr>
            </w:pPr>
            <w:r>
              <w:rPr>
                <w:rFonts w:ascii="Times New Roman;Times;Serif" w:hAnsi="Times New Roman;Times;Serif"/>
                <w:b/>
                <w:color w:val="000000"/>
                <w:sz w:val="17"/>
              </w:rPr>
              <w:t>Cash at the end of the period</w:t>
            </w:r>
          </w:p>
        </w:tc>
        <w:tc>
          <w:tcPr>
            <w:tcW w:w="310" w:type="dxa"/>
            <w:tcBorders/>
            <w:shd w:fill="auto" w:val="clear"/>
            <w:vAlign w:val="bottom"/>
          </w:tcPr>
          <w:p>
            <w:pPr>
              <w:pStyle w:val="TableContents"/>
              <w:spacing w:before="0" w:after="0"/>
              <w:ind w:left="0" w:right="0" w:hanging="0"/>
              <w:jc w:val="right"/>
              <w:rPr>
                <w:rFonts w:ascii="Times New Roman;Times;Serif" w:hAnsi="Times New Roman;Times;Serif"/>
                <w:b/>
                <w:color w:val="000000"/>
                <w:sz w:val="17"/>
                <w:bdr w:val="double" w:sz="8" w:space="1" w:color="000000"/>
              </w:rPr>
            </w:pPr>
            <w:r>
              <w:rPr>
                <w:rFonts w:ascii="Times New Roman;Times;Serif" w:hAnsi="Times New Roman;Times;Serif"/>
                <w:b/>
                <w:color w:val="000000"/>
                <w:sz w:val="17"/>
                <w:bdr w:val="double" w:sz="8" w:space="1" w:color="000000"/>
              </w:rPr>
              <w:t>$</w:t>
            </w:r>
          </w:p>
        </w:tc>
        <w:tc>
          <w:tcPr>
            <w:tcW w:w="1465" w:type="dxa"/>
            <w:tcBorders/>
            <w:shd w:fill="auto" w:val="clear"/>
            <w:vAlign w:val="bottom"/>
          </w:tcPr>
          <w:p>
            <w:pPr>
              <w:pStyle w:val="TableContents"/>
              <w:spacing w:before="0" w:after="0"/>
              <w:ind w:left="0" w:right="0" w:hanging="0"/>
              <w:jc w:val="right"/>
              <w:rPr>
                <w:color w:val="000000"/>
                <w:bdr w:val="double" w:sz="8" w:space="1" w:color="000000"/>
              </w:rPr>
            </w:pPr>
            <w:r>
              <w:rPr>
                <w:color w:val="000000"/>
                <w:bdr w:val="double" w:sz="8" w:space="1" w:color="000000"/>
              </w:rPr>
              <w:t>—</w:t>
            </w:r>
          </w:p>
        </w:tc>
        <w:tc>
          <w:tcPr>
            <w:tcW w:w="272" w:type="dxa"/>
            <w:tcBorders/>
            <w:shd w:fill="auto" w:val="clear"/>
            <w:vAlign w:val="bottom"/>
          </w:tcPr>
          <w:p>
            <w:pPr>
              <w:pStyle w:val="TableContents"/>
              <w:spacing w:before="0" w:after="0"/>
              <w:ind w:left="0" w:right="0" w:firstLine="75"/>
              <w:jc w:val="left"/>
              <w:rPr>
                <w:color w:val="000000"/>
              </w:rPr>
            </w:pPr>
            <w:r>
              <w:rPr>
                <w:color w:val="000000"/>
              </w:rPr>
              <w:t> </w:t>
            </w:r>
          </w:p>
        </w:tc>
        <w:tc>
          <w:tcPr>
            <w:tcW w:w="310" w:type="dxa"/>
            <w:tcBorders/>
            <w:shd w:fill="auto" w:val="clear"/>
            <w:vAlign w:val="bottom"/>
          </w:tcPr>
          <w:p>
            <w:pPr>
              <w:pStyle w:val="TableContents"/>
              <w:spacing w:before="0" w:after="0"/>
              <w:ind w:left="0" w:right="0" w:hanging="0"/>
              <w:jc w:val="right"/>
              <w:rPr>
                <w:rFonts w:ascii="Times New Roman;Times;Serif" w:hAnsi="Times New Roman;Times;Serif"/>
                <w:b/>
                <w:color w:val="000000"/>
                <w:sz w:val="17"/>
                <w:bdr w:val="double" w:sz="8" w:space="1" w:color="000000"/>
              </w:rPr>
            </w:pPr>
            <w:r>
              <w:rPr>
                <w:rFonts w:ascii="Times New Roman;Times;Serif" w:hAnsi="Times New Roman;Times;Serif"/>
                <w:b/>
                <w:color w:val="000000"/>
                <w:sz w:val="17"/>
                <w:bdr w:val="double" w:sz="8" w:space="1" w:color="000000"/>
              </w:rPr>
              <w:t>$</w:t>
            </w:r>
          </w:p>
        </w:tc>
        <w:tc>
          <w:tcPr>
            <w:tcW w:w="1241" w:type="dxa"/>
            <w:tcBorders/>
            <w:shd w:fill="auto" w:val="clear"/>
            <w:vAlign w:val="bottom"/>
          </w:tcPr>
          <w:p>
            <w:pPr>
              <w:pStyle w:val="TableContents"/>
              <w:spacing w:before="0" w:after="0"/>
              <w:ind w:left="0" w:right="0" w:hanging="0"/>
              <w:jc w:val="right"/>
              <w:rPr>
                <w:color w:val="000000"/>
                <w:bdr w:val="double" w:sz="8" w:space="1" w:color="000000"/>
              </w:rPr>
            </w:pPr>
            <w:r>
              <w:rPr>
                <w:color w:val="000000"/>
                <w:bdr w:val="double" w:sz="8" w:space="1" w:color="000000"/>
              </w:rPr>
              <w:t xml:space="preserve">— </w:t>
            </w:r>
          </w:p>
        </w:tc>
        <w:tc>
          <w:tcPr>
            <w:tcW w:w="411" w:type="dxa"/>
            <w:tcBorders/>
            <w:shd w:fill="auto" w:val="clear"/>
            <w:vAlign w:val="bottom"/>
          </w:tcPr>
          <w:p>
            <w:pPr>
              <w:pStyle w:val="TableContents"/>
              <w:spacing w:before="0" w:after="0"/>
              <w:ind w:left="0" w:right="0" w:hanging="0"/>
              <w:jc w:val="left"/>
              <w:rPr>
                <w:color w:val="000000"/>
              </w:rPr>
            </w:pPr>
            <w:r>
              <w:rPr>
                <w:color w:val="000000"/>
              </w:rPr>
              <w:t> </w:t>
            </w:r>
          </w:p>
        </w:tc>
      </w:tr>
      <w:tr>
        <w:trPr/>
        <w:tc>
          <w:tcPr>
            <w:tcW w:w="6196" w:type="dxa"/>
            <w:tcBorders/>
            <w:shd w:fill="CCEEFF" w:val="clear"/>
            <w:vAlign w:val="bottom"/>
          </w:tcPr>
          <w:p>
            <w:pPr>
              <w:pStyle w:val="TableContents"/>
              <w:spacing w:before="0" w:after="0"/>
              <w:ind w:left="0" w:right="0" w:firstLine="75"/>
              <w:jc w:val="left"/>
              <w:rPr>
                <w:rFonts w:ascii="Times New Roman;Times;Serif" w:hAnsi="Times New Roman;Times;Serif"/>
                <w:b/>
                <w:color w:val="000000"/>
                <w:sz w:val="17"/>
              </w:rPr>
            </w:pPr>
            <w:r>
              <w:rPr>
                <w:rFonts w:ascii="Times New Roman;Times;Serif" w:hAnsi="Times New Roman;Times;Serif"/>
                <w:b/>
                <w:color w:val="000000"/>
                <w:sz w:val="17"/>
              </w:rPr>
              <w:t>Non-cash investing and financing activities:</w:t>
            </w:r>
          </w:p>
        </w:tc>
        <w:tc>
          <w:tcPr>
            <w:tcW w:w="310" w:type="dxa"/>
            <w:tcBorders/>
            <w:shd w:fill="CCEEFF" w:val="clear"/>
            <w:vAlign w:val="bottom"/>
          </w:tcPr>
          <w:p>
            <w:pPr>
              <w:pStyle w:val="TableContents"/>
              <w:spacing w:before="0" w:after="0"/>
              <w:ind w:left="0" w:right="0" w:hanging="0"/>
              <w:jc w:val="right"/>
              <w:rPr>
                <w:color w:val="000000"/>
              </w:rPr>
            </w:pPr>
            <w:r>
              <w:rPr>
                <w:color w:val="000000"/>
              </w:rPr>
              <w:t> </w:t>
            </w:r>
          </w:p>
        </w:tc>
        <w:tc>
          <w:tcPr>
            <w:tcW w:w="1465" w:type="dxa"/>
            <w:tcBorders/>
            <w:shd w:fill="CCEEFF" w:val="clear"/>
            <w:vAlign w:val="bottom"/>
          </w:tcPr>
          <w:p>
            <w:pPr>
              <w:pStyle w:val="TableContents"/>
              <w:spacing w:before="0" w:after="0"/>
              <w:ind w:left="0" w:right="0" w:hanging="0"/>
              <w:jc w:val="right"/>
              <w:rPr>
                <w:color w:val="000000"/>
              </w:rPr>
            </w:pPr>
            <w:r>
              <w:rPr>
                <w:color w:val="000000"/>
              </w:rPr>
              <w:t> </w:t>
            </w:r>
          </w:p>
        </w:tc>
        <w:tc>
          <w:tcPr>
            <w:tcW w:w="272" w:type="dxa"/>
            <w:tcBorders/>
            <w:shd w:fill="CCEEFF" w:val="clear"/>
            <w:vAlign w:val="bottom"/>
          </w:tcPr>
          <w:p>
            <w:pPr>
              <w:pStyle w:val="TableContents"/>
              <w:spacing w:before="0" w:after="0"/>
              <w:ind w:left="0" w:right="0" w:firstLine="75"/>
              <w:jc w:val="left"/>
              <w:rPr>
                <w:color w:val="000000"/>
              </w:rPr>
            </w:pPr>
            <w:r>
              <w:rPr>
                <w:color w:val="000000"/>
              </w:rPr>
              <w:t> </w:t>
            </w:r>
          </w:p>
        </w:tc>
        <w:tc>
          <w:tcPr>
            <w:tcW w:w="310" w:type="dxa"/>
            <w:tcBorders/>
            <w:shd w:fill="CCEEFF" w:val="clear"/>
            <w:vAlign w:val="bottom"/>
          </w:tcPr>
          <w:p>
            <w:pPr>
              <w:pStyle w:val="TableContents"/>
              <w:spacing w:before="0" w:after="0"/>
              <w:ind w:left="0" w:right="0" w:hanging="0"/>
              <w:jc w:val="right"/>
              <w:rPr>
                <w:color w:val="000000"/>
              </w:rPr>
            </w:pPr>
            <w:r>
              <w:rPr>
                <w:color w:val="000000"/>
              </w:rPr>
              <w:t> </w:t>
            </w:r>
          </w:p>
        </w:tc>
        <w:tc>
          <w:tcPr>
            <w:tcW w:w="1241" w:type="dxa"/>
            <w:tcBorders/>
            <w:shd w:fill="CCEEFF" w:val="clear"/>
            <w:vAlign w:val="bottom"/>
          </w:tcPr>
          <w:p>
            <w:pPr>
              <w:pStyle w:val="TableContents"/>
              <w:spacing w:before="0" w:after="0"/>
              <w:ind w:left="0" w:right="0" w:hanging="0"/>
              <w:jc w:val="right"/>
              <w:rPr>
                <w:color w:val="000000"/>
              </w:rPr>
            </w:pPr>
            <w:r>
              <w:rPr>
                <w:color w:val="000000"/>
              </w:rPr>
              <w:t> </w:t>
            </w:r>
          </w:p>
        </w:tc>
        <w:tc>
          <w:tcPr>
            <w:tcW w:w="411" w:type="dxa"/>
            <w:tcBorders/>
            <w:shd w:fill="CCEEFF" w:val="clear"/>
            <w:vAlign w:val="bottom"/>
          </w:tcPr>
          <w:p>
            <w:pPr>
              <w:pStyle w:val="TableContents"/>
              <w:spacing w:before="0" w:after="0"/>
              <w:ind w:left="0" w:right="0" w:hanging="0"/>
              <w:jc w:val="left"/>
              <w:rPr>
                <w:color w:val="000000"/>
              </w:rPr>
            </w:pPr>
            <w:r>
              <w:rPr>
                <w:color w:val="000000"/>
              </w:rPr>
              <w:t> </w:t>
            </w:r>
          </w:p>
        </w:tc>
      </w:tr>
      <w:tr>
        <w:trPr/>
        <w:tc>
          <w:tcPr>
            <w:tcW w:w="6196" w:type="dxa"/>
            <w:tcBorders/>
            <w:shd w:fill="auto"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Offering costs included in accrued offering costs</w:t>
            </w:r>
          </w:p>
        </w:tc>
        <w:tc>
          <w:tcPr>
            <w:tcW w:w="310"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w:t>
            </w:r>
          </w:p>
        </w:tc>
        <w:tc>
          <w:tcPr>
            <w:tcW w:w="1465"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226,656</w:t>
            </w:r>
          </w:p>
        </w:tc>
        <w:tc>
          <w:tcPr>
            <w:tcW w:w="272" w:type="dxa"/>
            <w:tcBorders/>
            <w:shd w:fill="auto" w:val="clear"/>
            <w:vAlign w:val="bottom"/>
          </w:tcPr>
          <w:p>
            <w:pPr>
              <w:pStyle w:val="TableContents"/>
              <w:spacing w:before="0" w:after="0"/>
              <w:ind w:left="0" w:right="0" w:firstLine="75"/>
              <w:jc w:val="left"/>
              <w:rPr>
                <w:color w:val="000000"/>
              </w:rPr>
            </w:pPr>
            <w:r>
              <w:rPr>
                <w:color w:val="000000"/>
              </w:rPr>
              <w:t> </w:t>
            </w:r>
          </w:p>
        </w:tc>
        <w:tc>
          <w:tcPr>
            <w:tcW w:w="310" w:type="dxa"/>
            <w:tcBorders/>
            <w:shd w:fill="auto" w:val="clear"/>
            <w:vAlign w:val="bottom"/>
          </w:tcPr>
          <w:p>
            <w:pPr>
              <w:pStyle w:val="TableContents"/>
              <w:spacing w:before="0" w:after="0"/>
              <w:ind w:left="0" w:right="0" w:hanging="0"/>
              <w:jc w:val="righ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w:t>
            </w:r>
          </w:p>
        </w:tc>
        <w:tc>
          <w:tcPr>
            <w:tcW w:w="1241" w:type="dxa"/>
            <w:tcBorders/>
            <w:shd w:fill="auto" w:val="clear"/>
            <w:vAlign w:val="bottom"/>
          </w:tcPr>
          <w:p>
            <w:pPr>
              <w:pStyle w:val="TableContents"/>
              <w:spacing w:before="0" w:after="0"/>
              <w:ind w:left="0" w:right="0" w:hanging="0"/>
              <w:jc w:val="right"/>
              <w:rPr>
                <w:color w:val="000000"/>
                <w:bdr w:val="double" w:sz="8" w:space="1" w:color="000000"/>
              </w:rPr>
            </w:pPr>
            <w:r>
              <w:rPr>
                <w:color w:val="000000"/>
                <w:bdr w:val="double" w:sz="8" w:space="1" w:color="000000"/>
              </w:rPr>
              <w:t>—</w:t>
            </w:r>
          </w:p>
        </w:tc>
        <w:tc>
          <w:tcPr>
            <w:tcW w:w="411" w:type="dxa"/>
            <w:tcBorders/>
            <w:shd w:fill="auto" w:val="clear"/>
            <w:vAlign w:val="bottom"/>
          </w:tcPr>
          <w:p>
            <w:pPr>
              <w:pStyle w:val="TableContents"/>
              <w:spacing w:before="0" w:after="0"/>
              <w:ind w:left="0" w:right="0" w:firstLine="195"/>
              <w:jc w:val="left"/>
              <w:rPr>
                <w:color w:val="000000"/>
              </w:rPr>
            </w:pPr>
            <w:r>
              <w:rPr>
                <w:color w:val="000000"/>
              </w:rPr>
              <w:t> </w:t>
            </w:r>
          </w:p>
        </w:tc>
      </w:tr>
      <w:tr>
        <w:trPr/>
        <w:tc>
          <w:tcPr>
            <w:tcW w:w="6196" w:type="dxa"/>
            <w:tcBorders/>
            <w:shd w:fill="CCEEFF" w:val="clear"/>
            <w:vAlign w:val="bottom"/>
          </w:tcPr>
          <w:p>
            <w:pPr>
              <w:pStyle w:val="TableContents"/>
              <w:spacing w:before="0" w:after="0"/>
              <w:ind w:left="0" w:right="0" w:firstLine="75"/>
              <w:jc w:val="left"/>
              <w:rPr>
                <w:rFonts w:ascii="Times New Roman;Times;Serif" w:hAnsi="Times New Roman;Times;Serif"/>
                <w:color w:val="000000"/>
                <w:sz w:val="17"/>
              </w:rPr>
            </w:pPr>
            <w:r>
              <w:rPr>
                <w:rFonts w:ascii="Times New Roman;Times;Serif" w:hAnsi="Times New Roman;Times;Serif"/>
                <w:color w:val="000000"/>
                <w:sz w:val="17"/>
              </w:rPr>
              <w:t>Deferred offering costs paid directly by Sponsor from proceeds from issuance of ordinary shares to Sponsor</w:t>
            </w:r>
          </w:p>
        </w:tc>
        <w:tc>
          <w:tcPr>
            <w:tcW w:w="310"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w:t>
            </w:r>
          </w:p>
        </w:tc>
        <w:tc>
          <w:tcPr>
            <w:tcW w:w="1465"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25,000</w:t>
            </w:r>
          </w:p>
        </w:tc>
        <w:tc>
          <w:tcPr>
            <w:tcW w:w="272" w:type="dxa"/>
            <w:tcBorders/>
            <w:shd w:fill="CCEEFF" w:val="clear"/>
            <w:vAlign w:val="bottom"/>
          </w:tcPr>
          <w:p>
            <w:pPr>
              <w:pStyle w:val="TableContents"/>
              <w:spacing w:before="0" w:after="0"/>
              <w:ind w:left="0" w:right="0" w:firstLine="75"/>
              <w:jc w:val="left"/>
              <w:rPr>
                <w:color w:val="000000"/>
              </w:rPr>
            </w:pPr>
            <w:r>
              <w:rPr>
                <w:color w:val="000000"/>
              </w:rPr>
              <w:t> </w:t>
            </w:r>
          </w:p>
        </w:tc>
        <w:tc>
          <w:tcPr>
            <w:tcW w:w="310"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w:t>
            </w:r>
          </w:p>
        </w:tc>
        <w:tc>
          <w:tcPr>
            <w:tcW w:w="1241" w:type="dxa"/>
            <w:tcBorders/>
            <w:shd w:fill="CCEEFF" w:val="clear"/>
            <w:vAlign w:val="bottom"/>
          </w:tcPr>
          <w:p>
            <w:pPr>
              <w:pStyle w:val="TableContents"/>
              <w:spacing w:before="0" w:after="0"/>
              <w:ind w:left="0" w:right="0" w:hanging="0"/>
              <w:jc w:val="righ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25,000</w:t>
            </w:r>
          </w:p>
        </w:tc>
        <w:tc>
          <w:tcPr>
            <w:tcW w:w="411" w:type="dxa"/>
            <w:tcBorders/>
            <w:shd w:fill="CCEEFF" w:val="clear"/>
            <w:vAlign w:val="bottom"/>
          </w:tcPr>
          <w:p>
            <w:pPr>
              <w:pStyle w:val="TableContents"/>
              <w:spacing w:before="0" w:after="0"/>
              <w:jc w:val="left"/>
              <w:rPr>
                <w:color w:val="000000"/>
              </w:rPr>
            </w:pPr>
            <w:r>
              <w:rPr>
                <w:color w:val="000000"/>
              </w:rPr>
              <w:t> </w:t>
            </w:r>
          </w:p>
        </w:tc>
      </w:tr>
    </w:tbl>
    <w:p>
      <w:pPr>
        <w:pStyle w:val="TextBody"/>
        <w:spacing w:before="0" w:after="0"/>
        <w:ind w:left="0" w:right="0" w:hanging="0"/>
        <w:jc w:val="center"/>
        <w:rPr>
          <w:rFonts w:ascii="Times New Roman;Times;Serif" w:hAnsi="Times New Roman;Times;Serif"/>
          <w:i/>
          <w:color w:val="000000"/>
          <w:sz w:val="17"/>
        </w:rPr>
      </w:pPr>
      <w:r>
        <w:rPr>
          <w:rFonts w:ascii="Times New Roman;Times;Serif" w:hAnsi="Times New Roman;Times;Serif"/>
          <w:i/>
          <w:color w:val="000000"/>
          <w:sz w:val="17"/>
        </w:rPr>
        <w:t>The accompanying notes are an integral part of these financial statements.</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F-6</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10" w:before="240" w:after="0"/>
        <w:ind w:left="0" w:right="0" w:hanging="0"/>
        <w:jc w:val="center"/>
        <w:rPr>
          <w:rFonts w:ascii="Times New Roman;Times;Serif" w:hAnsi="Times New Roman;Times;Serif"/>
          <w:b/>
          <w:color w:val="000000"/>
          <w:sz w:val="17"/>
        </w:rPr>
      </w:pPr>
      <w:r>
        <w:rPr>
          <w:rFonts w:ascii="Times New Roman;Times;Serif" w:hAnsi="Times New Roman;Times;Serif"/>
          <w:b/>
          <w:color w:val="000000"/>
          <w:sz w:val="17"/>
        </w:rPr>
        <w:t>SILVER SPIKE ACQUISITION CORP.</w:t>
        <w:br/>
        <w:t>NOTES TO FINANCIAL STATEMENTS</w:t>
      </w:r>
    </w:p>
    <w:p>
      <w:pPr>
        <w:pStyle w:val="TextBody"/>
        <w:spacing w:before="240" w:after="0"/>
        <w:ind w:left="0" w:right="0" w:hanging="0"/>
        <w:jc w:val="left"/>
        <w:rPr>
          <w:rFonts w:ascii="Times New Roman;Times;Serif" w:hAnsi="Times New Roman;Times;Serif"/>
          <w:b/>
          <w:color w:val="000000"/>
          <w:sz w:val="17"/>
        </w:rPr>
      </w:pPr>
      <w:bookmarkStart w:id="31" w:name="tNTF"/>
      <w:bookmarkEnd w:id="31"/>
      <w:r>
        <w:rPr>
          <w:rFonts w:ascii="Times New Roman;Times;Serif" w:hAnsi="Times New Roman;Times;Serif"/>
          <w:b/>
          <w:color w:val="000000"/>
          <w:sz w:val="17"/>
        </w:rPr>
        <w:t>Note 1 — Organization and plan of business operations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Silver Spike Acquisition Corp. (the Company) is a newly organized blank check company incorporated as a Cayman Islands exempted company on June 7, 2019. The Company was formed for the purpose of effecting a merger, amalgamation, share exchange, asset acquisition, share purchase, reorganization or similar business combination with one or more businesses (Business Combination).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Although the Company is not limited to a particular industry or geographic region for purposes of consummating a Business Combination, the Company intends to focus on businesses in the cannabis industry that are compliant with all applicable laws and regulations within the jurisdictions in which they are located or operate and, in particular, the Company will not invest in, or consummate a Business Combination with, a target business that the Company determines has been operating, or whose business plan is to operate, in violation of U.S. federal laws, including the U.S. Controlled Substances Act. The Company is an early stage and emerging growth company and, as such, the Company is subject to all of the risks associated with early stage and emerging growth companies.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As of June 30, 2019, the Company had not commenced any operations. All activity for the period from June 7, 2019 (inception) through June 30, 2019 relates to the Company's formation and the proposed initial public offering (Proposed Offering), which is described below. The Company will not generate any operating revenues until after the completion of a Business Combination, at the earliest. The Company will generate non-operating income in the form of interest income from the proceeds derived from the Proposed Public Offering. The Company has selected December 31 as its fiscal year end. </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The Companys ability to commence operations is contingent upon obtaining adequate financial resources through a Proposed Offering of 25,000,000 units (the Units and, with respect to the Class A ordinary shares included in the Units being offered, the Public Shares) at $10.00 per unit (or 28,750,000 Units if the underwriters over-allotment option is exercised in full), which is discussed in Note 3 and the sale of 7,000,000 warrants (or 7,750,000 warrants if the underwriters over-allotment option is exercised on full) (the Private Placement Warrants) at a price of $1.00 per Private Placement Warrant in a private placement to the Companys sponsor, Silver Spike Sponsor, LLC (the Sponsor), that will close simultaneously with the Proposed Offering. </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Companys management has broad discretion with respect to the specific application of the net proceeds of the Proposed Offering and sale of the Private Placement Warrants, although substantially all of the net proceeds are intended to be applied generally toward consummating a Business Combination. Nasdaq rules provide that the Business Combination must be with one or more target businesses that together have an aggregate fair market value of at least 80% of the assets held in the Trust Account (as defined below) (excluding any deferred underwriting commissions and taxes payable on the income earned on the Trust Account) at the time of the agreement to enter into a Business Combination. The Company will only complete a Business Combination if the post-Business Combination company owns or acquires 50% or more of the issued and outstanding voting securities of the target or otherwise acquires a controlling interest in the target business sufficient for it not to be required to register as an investment company under the Investment Company Act of 1940, as amended (the Investment Company Act). There is no assurance that the Company will be able to successfully effect a Business Combination. Upon the closing of the Proposed Offering, management has agreed that $10.00 per Unit sold in the Proposed Offering, including proceeds of the sale of the Private Placement Warrants, will be held in a trust account (Trust Account) and invested in U.S. government securities, within the meaning set forth in Section 2(a)(16) of the Investment Company Act, with a maturity of 180 days or less, or in any open-ended investment company that holds itself out as a money market fund meeting the conditions of Rule 2a-7 of the Investment Company Act, as determined by the Company, until the earlier of: (i) the completion of a Business Combination and (ii) the distribution of the funds in the Trust Account to the Companys shareholders, as described below.</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The Company will provide its shareholders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F-7</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10" w:before="0" w:after="0"/>
        <w:ind w:left="0" w:right="0" w:hanging="0"/>
        <w:jc w:val="center"/>
        <w:rPr>
          <w:rFonts w:ascii="Times New Roman;Times;Serif" w:hAnsi="Times New Roman;Times;Serif"/>
          <w:b/>
          <w:color w:val="000000"/>
          <w:sz w:val="17"/>
        </w:rPr>
      </w:pPr>
      <w:r>
        <w:rPr>
          <w:rFonts w:ascii="Times New Roman;Times;Serif" w:hAnsi="Times New Roman;Times;Serif"/>
          <w:b/>
          <w:color w:val="000000"/>
          <w:sz w:val="17"/>
        </w:rPr>
        <w:t>SILVER SPIKE ACQUISITION CORP.</w:t>
        <w:br/>
        <w:t>NOTES TO FINANCIAL STATEMENTS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Company, solely in its discretion. The shareholders will be entitled to redeem their shares for a pro rata portion of the amount held in the Trust Account (initially $10.00 per share) as of two business days prior to the completion of a Business Combination, including any pro rata interest earned on the funds held in the Trust Account and not previously released to the Company to pay its tax obligations. The per-share amount to be distributed to shareholders who redeem their shares will not be reduced by the deferred underwriting commissions the Company will pay to the underwriters (as discussed in Note 7). There will be no redemption rights upon the completion of a Business Combination with respect to the Companys warrants. The Class A ordinary shares will be recorded at redemption value and classified as temporary equity upon the completion of the Proposed Offering, in accordance with Accounting Standards Codification (ASC) Topic 480 Distinguishing Liabilities from Equity. The Company will proceed with a Business Combination only if the Company has net tangible assets, after payment of the deferred underwriting commission, of at least $5,000,001 upon such completion of a Business Combination and, if the Company seeks shareholder approval, it receives an ordinary resolution under Cayman Islands law approving a Business Combination, which requires the affirmative vote of a majority of the shareholders who attend and vote and a general meeting of the Company. If a shareholder vote is not required and the Company does not decide to hold a shareholder vote for business or other legal reasons, the Company will, pursuant to its Amended and Restated Memorandum and Articles of Association, conduct the redemptions pursuant to the tender offer rules of the Securities and Exchange Commission (SEC), and file tender offer documents containing substantially the same information as would be included in a proxy statement with the SEC prior to completing a Business Combination. If the Company seeks shareholder approval in connection with a Business Combination, the Companys Sponsor has agreed to vote its Founder Shares (as defined in Note 5) and any Public Shares purchased during or after the Proposed Offering in favor of approving a Business Combination and to waive its redemption rights with respect to any such shares in connection with a shareholder vote to approve a Business Combination or seek to sell any shares to the Company in a tender offer in connection with a Business Combination. Additionally, subject to the immediately succeeding paragraph, each public shareholder may elect to redeem their Public Shares, without voting, and if they do vote, irrespective of whether they vote for or against a proposed Business Combination. </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If the Company seeks shareholder approval of a Business Combination and it does not conduct redemptions pursuant to the tender offer rules, the Companys Amended and Restated Memorandum and Articles of Association provides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15% or more of the Public Shares without the Companys prior written consent.</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Sponsor has agreed (a) to waive its redemption rights with respect to any Founder Shares and Public Shares held by it in connection with the completion of a Business Combination (and not seek to sell its shares to the Company in any tender offer the Company undertakes in connection with its initial business combination) and (b) not to propose an amendment to the Amended and Restated Certificate of Incorporation (i) to modify the substance or timing of the Companys obligation to redeem 100% of the Public Shares if the Company does not complete a Business Combination within 18 months from the closing of the Public Offering or (ii) with respect to any other provision relating to shareholders rights or pre-initial business combination activity, unless the Company provides the public stockholders with the opportunity to redeem their Public Shares in conjunction with any such amendment and (c) that the Founder Shares shall not participate in any liquidating distributions upon winding up if a Business Combination is not consummated. However, the Sponsor will be entitled to liquidating distributions from the Trust Account with respect to any Public Shares purchased during or after the Proposed Offering if the Company fails to complete its Business Combination.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The Company will have until 18 months from the closing of the Proposed Offering (the Combination Period) to consummate a Business Combination. If the Company is unable to complete a Business Combination within the Combination Period, the Company will (i) cease all operations except for the purpose of winding up, (ii) as promptly as reasonably possible but no more than 10 business days thereafter, redeem 100% of the outstanding Public Shares, at a per-share price, payable in cash, equal to the aggregate amount then on deposit in the Trust Account, including interest earned (less up to $100,000 of interest to pay dissolution expenses and which interest shall be net of taxes payable), divided by the number of then outstanding Public Shares, which redemption will completely extinguish public shareholders rights as shareholders (including the right to receive further </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F-8</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10" w:before="0" w:after="0"/>
        <w:ind w:left="0" w:right="0" w:hanging="0"/>
        <w:jc w:val="center"/>
        <w:rPr>
          <w:rFonts w:ascii="Times New Roman;Times;Serif" w:hAnsi="Times New Roman;Times;Serif"/>
          <w:b/>
          <w:color w:val="000000"/>
          <w:sz w:val="17"/>
        </w:rPr>
      </w:pPr>
      <w:r>
        <w:rPr>
          <w:rFonts w:ascii="Times New Roman;Times;Serif" w:hAnsi="Times New Roman;Times;Serif"/>
          <w:b/>
          <w:color w:val="000000"/>
          <w:sz w:val="17"/>
        </w:rPr>
        <w:t>SILVER SPIKE ACQUISITION CORP.</w:t>
        <w:br/>
        <w:t>NOTES TO FINANCIAL STATEMENTS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liquidation distributions, if any), and (iii) as promptly as reasonably possible following such redemption, subject to the approval of the remaining shareholders and the Companys board of directors, dissolve and liquidate, subject in each case to its obligations under Cayman Islands law to provide for claims of creditors and the requirements of other applicable law. The underwriters have agreed to waive their rights to the deferred underwriting commission held in the Trust Account in the event the Company does not complete a Business Combination within the Combination Period and, in such event, such amounts will be included with the funds held in the Trust Account that will be available to fund the redemption of the Public Shares. In the event of such distribution, it is possible that the per share value of the assets remaining available for distribution will be less than the Proposed Offering price per Unit ($10.00).</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The Sponsor has agreed that it will be liable to the Company, if and to the extent any claims by a third party (other than the Companys independent auditors) for services rendered or products sold to the Company, or a prospective target business with which the Company has discussed entering into a transaction agreement, reduce the amount of funds in the Trust Account to below (1) $10.00 per Public Share or (2) such lesser amount per Public Share held in the Trust Account as of the date of the liquidation of the Trust Account due to reductions in the value of trust assets, in each case net of the interest which may be withdrawn to pay taxes, except as to any claims by a third party who executed a waiver of any and all rights to seek access to the Trust Account and except as to any claims under the Companys indemnity of the underwriters of the Proposed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(other than the Companys independent auditors), prospective target businesses or other entities with which the Company does business, execute agreements with the Company waiving any right, title, interest or claim of any kind in or to monies held in the Trust Account. </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Going Concern Consideration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At June 30, 2019, the Company had no cash and a working capital deficiency of $295,281. The Company has incurred and expects to continue to incur significant costs in pursuit of its financing and acquisition plans. These conditions raise substantial doubt about the Companys ability to continue as a going concern within one year after the date that the financial statements are issued. Management plans to address this uncertainty through a Proposed Offering as discussed in Note 3. There is no assurance that the Companys plans to raise capital or to consummate a Business Combination will be successful or successful within the Combination Period. The Sponsor has agreed to loan the Company up to an aggregate amount of $250,000 to be used, in part, for transaction costs incurred in connection with the Proposed Offering (the Promissory Note). As of June 30, 2019, $68,625 was outstanding under the Promissory Note (see Note 5). The financial statements do not include any adjustments that might result from the outcome of this uncertainty. </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NOTE 2. SUMMARY OF SIGNIFICANT ACCOUNTING POLICIES</w:t>
      </w:r>
    </w:p>
    <w:p>
      <w:pPr>
        <w:pStyle w:val="TextBody"/>
        <w:spacing w:before="12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Basis of presentation</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accompanying financial statements are presented in U.S. Dollars and conformity with accounting principles generally accepted in the United States of America (GAAP) and pursuant to the rules and regulations of the SEC.</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In the opinion of management, the accompanying unaudited financial statements include all adjustments, consisting of a normal recurring nature, which are necessary for a fair presentation of the financial position, operating results and cash flows for the period presented. The interim results for the period from June 7, 2019 (inception) through June 30, 2019 are not necessarily indicative of the results to be expected for the year ending December 31, 2019 or for any future interim periods. </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Emerging growth company</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F-9</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10" w:before="0" w:after="0"/>
        <w:ind w:left="0" w:right="0" w:hanging="0"/>
        <w:jc w:val="center"/>
        <w:rPr>
          <w:rFonts w:ascii="Times New Roman;Times;Serif" w:hAnsi="Times New Roman;Times;Serif"/>
          <w:b/>
          <w:color w:val="000000"/>
          <w:sz w:val="17"/>
        </w:rPr>
      </w:pPr>
      <w:r>
        <w:rPr>
          <w:rFonts w:ascii="Times New Roman;Times;Serif" w:hAnsi="Times New Roman;Times;Serif"/>
          <w:b/>
          <w:color w:val="000000"/>
          <w:sz w:val="17"/>
        </w:rPr>
        <w:t>SILVER SPIKE ACQUISITION CORP.</w:t>
        <w:br/>
        <w:t>NOTES TO FINANCIAL STATEMENTS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Use of estimates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Cash and cash equivalents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The Company considers all short-term investments with an original maturity of three months or less when purchased to be cash equivalents. The Company did not have any cash equivalents as of June 30, 2019 and June 11, 2019. </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Deferred offering costs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Deferred offering costs consist of underwriting, legal, accounting and other expenses incurred through the balance sheet date that are directly related to the Proposed Offering and that will be charged to shareholders equity upon the completion of the Proposed Offering. Should the Proposed Offering prove to be unsuccessful, these deferred costs, as well as additional expenses incurred, will be charged to operations.</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Income taxes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Company accounts for income taxes under ASC 740, Income Taxes (ASC 740).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F-10</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10" w:before="0" w:after="0"/>
        <w:ind w:left="0" w:right="0" w:hanging="0"/>
        <w:jc w:val="center"/>
        <w:rPr>
          <w:rFonts w:ascii="Times New Roman;Times;Serif" w:hAnsi="Times New Roman;Times;Serif"/>
          <w:b/>
          <w:color w:val="000000"/>
          <w:sz w:val="17"/>
        </w:rPr>
      </w:pPr>
      <w:r>
        <w:rPr>
          <w:rFonts w:ascii="Times New Roman;Times;Serif" w:hAnsi="Times New Roman;Times;Serif"/>
          <w:b/>
          <w:color w:val="000000"/>
          <w:sz w:val="17"/>
        </w:rPr>
        <w:t>SILVER SPIKE ACQUISITION CORP.</w:t>
        <w:br/>
        <w:t>NOTES TO FINANCIAL STATEMENTS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expense. There were no unrecognized tax benefits and no amounts accrued for interest and penalties as of June 30, 2019 and June 11, 2019. The Company is currently not aware of any issues under review that could result in significant payments, accruals or material deviation from its position. The Company is subject to income tax examinations by major taxing authorities since inception. </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The Company is considered an exempted Cayman Islands Company, and is presently not subject to income taxes or income tax filing requirements in the Cayman Islands or the United States. As such, the Company's tax provision was zero for the periods presented. </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Net loss per share</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Net loss per share is computed by dividing net loss by the weighted average number of ordinary shares outstanding during the period, excluding ordinary shares subject to forfeiture. Weighted average shares were reduced for the effect of an aggregate of 937,500 ordinary shares that are subject to forfeiture if the over-allotment option is not exercised by the underwriters (see Note 6). At June 30, 2019 and June 11, 2019, the Company did not have any dilutive securities and other contracts that could, potentially, be exercised or converted into ordinary shares and then share in the earnings of the Company. As a result, diluted loss per share is the same as basic loss per share for the periods presented. </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Fair value of financial instruments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fair value of the Companys assets and liabilities, which qualify as financial instruments under ASC Topic 820, Fair Value Measurements and Disclosures, approximates the carrying amounts represented in the accompanying balance sheet, primarily due to their short-term nature.</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Recently issued accounting standards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Management does not believe that any recently issued, but not yet effective, accounting pronouncements, if currently adopted, would have a material effect on the Companys financial statements. </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NOTE 3. PROPOSED OFFERING</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Pursuant to the Proposed Offering, the Company will offer for sale up to 25,000,000 Units (or 28,750,000 Units if the underwriters over-allotment option is exercised in full) at a purchase price of $10.00 per Unit. Each Unit will consist of one Class A ordinary share and one-half of one redeemable warrant (Public Warrant). Each whole Public Warrant will entitle the holder to purchase one Class A ordinary share at an exercise price of $11.50 per whole share (see Note 7). </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NOTE 4. PRIVATE PLACEMENT</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The Sponsor has committed to purchase an aggregate of 7,000,000 Private Placement Warrants (or 7,750,000 Private Placement Warrants if the underwriters over-allotment is exercised in full) at a price of $1.00 per Private Placement Warrant from the Company in a private placement that will occur simultaneously with the closing of the Proposed Offering. The proceeds from the sale of the Private Placement Warrants will be added to the net proceeds from the Proposed Offering held in the Trust Account. Each Private Placement Warrant is exercisable for one Class A Share at a price of $11.50 per share, subject to adjustment (see Note 7). If the Company does not complete a Business Combination within the Combination Period, the proceeds from the sale of the Private Placement Warrants held in the Trust Account will be used to fund the redemption of the Public Shares (subject to the requirements of applicable law) and the Private Placement Warrants will expire worthless. </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NOTE 5. RELATED PARTY TRANSACTIONS</w:t>
      </w:r>
    </w:p>
    <w:p>
      <w:pPr>
        <w:pStyle w:val="TextBody"/>
        <w:spacing w:before="12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Founder Shares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In June 2019, the Company issued an aggregate of 7,187,500 Class B ordinary shares (the Founder Shares) to the Sponsor for an aggregate purchase price of $25,000. The Founder Shares will automatically convert into Class A ordinary shares on the first business day following the completion of a Business Combination on a one-for-one basis, subject to certain adjustments, as described in Note 7.</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F-11</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10" w:before="0" w:after="0"/>
        <w:ind w:left="0" w:right="0" w:hanging="0"/>
        <w:jc w:val="center"/>
        <w:rPr>
          <w:rFonts w:ascii="Times New Roman;Times;Serif" w:hAnsi="Times New Roman;Times;Serif"/>
          <w:b/>
          <w:color w:val="000000"/>
          <w:sz w:val="17"/>
        </w:rPr>
      </w:pPr>
      <w:r>
        <w:rPr>
          <w:rFonts w:ascii="Times New Roman;Times;Serif" w:hAnsi="Times New Roman;Times;Serif"/>
          <w:b/>
          <w:color w:val="000000"/>
          <w:sz w:val="17"/>
        </w:rPr>
        <w:t>SILVER SPIKE ACQUISITION CORP.</w:t>
        <w:br/>
        <w:t>NOTES TO FINANCIAL STATEMENTS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The Founder Shares include an aggregate of up to 937,500 shares subject to forfeiture by the Sponsor to the extent that the underwriters over-allotment is not exercised in full or in part, so that the number of Founder Shares will collectively represent 20% of the Companys issued and outstanding shares upon the completion of the Proposed Offering. </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Sponsor has agreed, subject to limited exceptions, not to transfer, assign or sell any of its Founder Shares until the earlier of: (A) one year after the completion of a Business Combination and (B) subsequent to a Business Combination, (x) if the last reported sale price of the Class A ordinary shares equals or exceeds $12.00 per share (as adjusted for share splits, share dividends, rights issuances, subdivisions, reorganizations, recapitalizations and the like) for any 20 trading days within any 30-trading day period commencing at least 150 days after a Business Combination, or (y) the date on which the Company completes a liquidation, merger, amalgamation, share exchange, reorganization or other similar transaction that results in all of the Companys shareholders having the right to exchange their Class A ordinary shares for cash, securities or other property.</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Promissory Note – Related Party</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On June 10, 2019, the Company issued an unsecured promissory note to the Sponsor, pursuant to which the Company may borrow up to an aggregate principal amount of $250,000, of which $68,625 and $12,500 was outstanding under the Promissory Note as of June 30, 2019 and June 11, 2019, respectively. The note is non-interest bearing and payable on the earlier of (i) January 31, 2020 and (ii) the completion of the Proposed Offering. </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Administrative Services Agreement</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Company will enter into an agreement pursuant to which it will pay the Sponsor up to $20,000 per month for office space, administrative and support services. Upon completion of a Business Combination or its liquidation, the Company will cease paying these monthly fees.</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Related Party Loans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notes may be converted upon completion of a Business Combination into warrants at a price of $1.00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NOTE 6. COMMITMENTS AND CONTINGENCIES</w:t>
      </w:r>
    </w:p>
    <w:p>
      <w:pPr>
        <w:pStyle w:val="TextBody"/>
        <w:spacing w:before="12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Registration Rights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holders of the Founder Shares, Private Placement Warrants and any warrants that may be issued on conversion of the Working Capital Loans (and any Class A ordinary shares issuable upon the exercise of the Private Placement Warrants or warrants that may be issued upon conversion of Working Capital Loans and upon conversion of the Founder Shares) will be entitled to registration rights pursuant to a registration rights agreement to be signed prior to or on the effective date of the Proposed Offering requiring the Company to register such securities for resale. The holders of these securities will be entitled to make up to three demands, excluding short form registration demands, that the Company register such securities. In addition, the holders have certain piggy-back registration rights with respect to registration statements filed subsequent to the completion of a Business Combination and rights to require the Company to register for resale such securities pursuant to Rule 415 under the Securities Act. However, the registration rights agreement provides that the Company will not permit any registration statement filed under the Securities Act to become effective until termination of the applicable lock-up period. The Company will bear the expenses incurred in connection with the filing of any such registration statements.</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F-12</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10" w:before="0" w:after="0"/>
        <w:ind w:left="0" w:right="0" w:hanging="0"/>
        <w:jc w:val="center"/>
        <w:rPr>
          <w:rFonts w:ascii="Times New Roman;Times;Serif" w:hAnsi="Times New Roman;Times;Serif"/>
          <w:b/>
          <w:color w:val="000000"/>
          <w:sz w:val="17"/>
        </w:rPr>
      </w:pPr>
      <w:r>
        <w:rPr>
          <w:rFonts w:ascii="Times New Roman;Times;Serif" w:hAnsi="Times New Roman;Times;Serif"/>
          <w:b/>
          <w:color w:val="000000"/>
          <w:sz w:val="17"/>
        </w:rPr>
        <w:t>SILVER SPIKE ACQUISITION CORP.</w:t>
        <w:br/>
        <w:t>NOTES TO FINANCIAL STATEMENTS</w:t>
      </w:r>
    </w:p>
    <w:p>
      <w:pPr>
        <w:pStyle w:val="TextBody"/>
        <w:spacing w:before="12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Underwriting Agreement</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The Company will grant the underwriters a 45-day option to purchase up to 3,750,000 additional Units to cover over-allotments at the Proposed Offering price, less the underwriting discounts and commissions. </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The underwriters will be entitled to a cash underwriting discount of $0.20 per Unit, or $5,000,000 in the aggregate (or $5,750,000 in the aggregate if the underwriters over-allotment option is exercised in full), payable upon the closing of the Proposed Offering. In addition, the underwriters will be entitled to a deferred fee of $0.35 per Unit, or $8,750,000 in the aggregate (or $10,062,500 in the aggregate if the underwriters over-allotment option is exercised in full). The deferred fee will become payable to the underwriters from the amounts held in the Trust Account solely in the event that the Company completes a Business Combination, subject to the terms of the underwriting agreement. </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NOTE 7. STOCKHOLDERS EQUITY</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b/>
          <w:i/>
          <w:color w:val="000000"/>
          <w:sz w:val="17"/>
        </w:rPr>
        <w:t>Preferred Shares</w:t>
      </w:r>
      <w:r>
        <w:rPr>
          <w:rFonts w:ascii="Times New Roman;Times;Serif" w:hAnsi="Times New Roman;Times;Serif"/>
          <w:color w:val="000000"/>
          <w:sz w:val="17"/>
        </w:rPr>
        <w:t xml:space="preserve"> — The Company is authorized to issue 1,000,000 preference shares with a par value of $0.0001. The Company's board of directors will be authorized to fix the voting rights, if any, designations, powers, preferences, the relative, participating, optional or other special rights and any qualifications, limitations and restrictions thereof, applicable to the shares of each series. The board of directors will be able to, without shareholder approval, issue preferred shares with voting and other rights that could adversely affect the voting power and other rights of the holders of the ordinary shares and could have anti-takeover effects. At June 30, 2019 and June 11, 2019, there were no preference shares issued or outstanding. </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b/>
          <w:i/>
          <w:color w:val="000000"/>
          <w:sz w:val="17"/>
        </w:rPr>
        <w:t>Class A Ordinary Shares</w:t>
      </w:r>
      <w:r>
        <w:rPr>
          <w:rFonts w:ascii="Times New Roman;Times;Serif" w:hAnsi="Times New Roman;Times;Serif"/>
          <w:color w:val="000000"/>
          <w:sz w:val="17"/>
        </w:rPr>
        <w:t xml:space="preserve"> — The Company is authorized to issue 200,000,000 Class A ordinary shares, with a par value of $0.0001 per share. Holders of Class A ordinary shares are entitled to one vote for each share. At June 30, 2019 and June 11, 2019, there were no Class A ordinary shares issued or outstanding. </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b/>
          <w:i/>
          <w:color w:val="000000"/>
          <w:sz w:val="17"/>
        </w:rPr>
        <w:t>Class B Ordinary Shares</w:t>
      </w:r>
      <w:r>
        <w:rPr>
          <w:rFonts w:ascii="Times New Roman;Times;Serif" w:hAnsi="Times New Roman;Times;Serif"/>
          <w:color w:val="000000"/>
          <w:sz w:val="17"/>
        </w:rPr>
        <w:t xml:space="preserve"> — The Company is authorized to issue 20,000,000 Class B ordinary shares, with a par value of $0.0001 per share. Holders of the Class B ordinary shares are entitled to one vote for each share. At June 30, 2019 and June 11, 2019, there were 7,187,500 Class B ordinary shares issued and outstanding, of which an aggregate of up to 937,500 shares are subject to forfeiture to the extent that the underwriters over-allotment option is not exercised in full or in part so that the Sponsor will own 20% of the Companys issued and outstanding ordinary shares after the Proposed Offering (assuming the Sponsor does not purchase any Public Shares in the Proposed Offering). </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Only holders of the Class B ordinary shares will have the right to vote on the election of directors prior to the Business Combination. Holders of Class A ordinary shares and holders of Class B ordinary shares will vote together as a single class on all matters submitted to a vote of our shareholders except as otherwise required by law.</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Class B Shares will automatically convert into Class A ordinary shares on the first business day following the completion of the Business Combination, on a one-for-one basis, subject to adjustment. In the case that additional Class A ordinary shares, or equity-linked securities, are issued or deemed issued in excess of the amounts issued in the Proposed Offering and related to the closing of a Business Combination, the ratio at which Founder Shares will convert into Class A ordinary shares will be adjusted (subject to waiver by holders of a majority of the Class B ordinary shares) so that the number of Class A ordinary shares issuable upon conversion of all Founder Shares will equal, in the aggregate, on an as-converted basis, 20% of the sum of the ordinary shares issued and outstanding upon completion of the Proposed Offering plus the number of Class A ordinary shares and equity-linked securities issued or deemed issued in connection with a Business Combination (net of redemptions), excluding any Class A ordinary shares or equity-linked securities issued, or to be issued, to any seller in a Business Combination and any Private Placement Warrants issued to the Sponsor.</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b/>
          <w:i/>
          <w:color w:val="000000"/>
          <w:sz w:val="17"/>
        </w:rPr>
        <w:t>Warrants</w:t>
      </w:r>
      <w:r>
        <w:rPr>
          <w:rFonts w:ascii="Times New Roman;Times;Serif" w:hAnsi="Times New Roman;Times;Serif"/>
          <w:color w:val="000000"/>
          <w:sz w:val="17"/>
        </w:rPr>
        <w:t xml:space="preserve"> — Public Warrants may only be exercised for a whole number of shares. No fractional shares will be issued upon exercise of the Public Warrants. The Public Warrants will become exercisable on the later of (a) 30 days after the completion of a Business Combination and (b) 12 months from the closing of the Proposed Offering. The Public Warrants will expire five years from the completion of a Business Combination or earlier upon redemption or liquidation.</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F-13</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10" w:before="0" w:after="0"/>
        <w:ind w:left="0" w:right="0" w:hanging="0"/>
        <w:jc w:val="center"/>
        <w:rPr>
          <w:rFonts w:ascii="Times New Roman;Times;Serif" w:hAnsi="Times New Roman;Times;Serif"/>
          <w:b/>
          <w:color w:val="000000"/>
          <w:sz w:val="17"/>
        </w:rPr>
      </w:pPr>
      <w:r>
        <w:rPr>
          <w:rFonts w:ascii="Times New Roman;Times;Serif" w:hAnsi="Times New Roman;Times;Serif"/>
          <w:b/>
          <w:color w:val="000000"/>
          <w:sz w:val="17"/>
        </w:rPr>
        <w:t>SILVER SPIKE ACQUISITION CORP.</w:t>
        <w:br/>
        <w:t>NOTES TO FINANCIAL STATEMENTS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Company will not be obligated to deliver any Class A ordinary shares pursuant to the exercise of a Public Warrant and will have no obligation to settle such Public Warrant exercise unless a registration statement under the Securities Act covering the issuance of the Class A ordinary shares issuable upon exercise of the Public Warrants is then effective and a prospectus relating thereto is current, subject to the Company satisfying its obligations with respect to registration. No Public Warrant will be exercisable for cash or on a cashless basis, and the Company will not be obligated to issue any shares to holders seeking to exercise their Public Warrants, unless the issuance of the shares upon such exercise is registered or qualified under the securities laws of the state of the exercising holder, or an exemption from registration is available.</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Company has agreed that as soon as practicable, but in no event later than 15 business days, after the closing of a Business Combination, it will use its reasonable best efforts to file with the SEC a registration statement registering the issuance, under the Securities Act, of the Class A ordinary shares issuable upon exercise of the Public Warrants. The Company will use it reasonable best efforts to cause the same to become effective within 60 business days after the closing of the Business Combination and to maintain the effectiveness of such registration statement, and a current prospectus relating thereto, until the expiration of the Public Warrants in accordance with the provisions of the warrant agreement. Notwithstanding the above, if the Class A ordinary shares are, at the time of any exercise of a Public Warrant, not listed on a national securities exchange such that it satisfies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but will use its reasonable best efforts to qualify the shares under applicable blue sky laws to the extent an exemption is not available.</w:t>
      </w:r>
    </w:p>
    <w:p>
      <w:pPr>
        <w:pStyle w:val="TextBody"/>
        <w:spacing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Once the Public Warrants become exercisable, the Company may redeem the Public Warrants for redemption:</w:t>
      </w:r>
    </w:p>
    <w:tbl>
      <w:tblPr>
        <w:tblW w:w="5000" w:type="pct"/>
        <w:jc w:val="left"/>
        <w:tblInd w:w="0" w:type="dxa"/>
        <w:tblCellMar>
          <w:top w:w="0" w:type="dxa"/>
          <w:left w:w="0" w:type="dxa"/>
          <w:bottom w:w="0" w:type="dxa"/>
          <w:right w:w="0" w:type="dxa"/>
        </w:tblCellMar>
      </w:tblPr>
      <w:tblGrid>
        <w:gridCol w:w="1627"/>
        <w:gridCol w:w="1566"/>
        <w:gridCol w:w="7012"/>
      </w:tblGrid>
      <w:tr>
        <w:trPr/>
        <w:tc>
          <w:tcPr>
            <w:tcW w:w="1627" w:type="dxa"/>
            <w:tcBorders/>
            <w:shd w:fill="auto" w:val="clear"/>
            <w:vAlign w:val="center"/>
          </w:tcPr>
          <w:p>
            <w:pPr>
              <w:pStyle w:val="TableContents"/>
              <w:spacing w:before="0" w:after="283"/>
              <w:rPr>
                <w:sz w:val="4"/>
                <w:szCs w:val="4"/>
              </w:rPr>
            </w:pPr>
            <w:r>
              <w:rPr>
                <w:sz w:val="4"/>
                <w:szCs w:val="4"/>
              </w:rPr>
            </w:r>
          </w:p>
        </w:tc>
        <w:tc>
          <w:tcPr>
            <w:tcW w:w="1566" w:type="dxa"/>
            <w:tcBorders/>
            <w:shd w:fill="auto" w:val="clear"/>
            <w:vAlign w:val="center"/>
          </w:tcPr>
          <w:p>
            <w:pPr>
              <w:pStyle w:val="TableContents"/>
              <w:spacing w:before="0" w:after="283"/>
              <w:jc w:val="left"/>
              <w:rPr>
                <w:color w:val="000000"/>
              </w:rPr>
            </w:pPr>
            <w:r>
              <w:rPr>
                <w:color w:val="000000"/>
              </w:rPr>
              <w:t>•</w:t>
            </w:r>
          </w:p>
        </w:tc>
        <w:tc>
          <w:tcPr>
            <w:tcW w:w="7012"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in whole and not in part;</w:t>
            </w:r>
          </w:p>
        </w:tc>
      </w:tr>
    </w:tbl>
    <w:tbl>
      <w:tblPr>
        <w:tblW w:w="5000" w:type="pct"/>
        <w:jc w:val="left"/>
        <w:tblInd w:w="0" w:type="dxa"/>
        <w:tblCellMar>
          <w:top w:w="0" w:type="dxa"/>
          <w:left w:w="0" w:type="dxa"/>
          <w:bottom w:w="0" w:type="dxa"/>
          <w:right w:w="0" w:type="dxa"/>
        </w:tblCellMar>
      </w:tblPr>
      <w:tblGrid>
        <w:gridCol w:w="1180"/>
        <w:gridCol w:w="1137"/>
        <w:gridCol w:w="7888"/>
      </w:tblGrid>
      <w:tr>
        <w:trPr/>
        <w:tc>
          <w:tcPr>
            <w:tcW w:w="1180" w:type="dxa"/>
            <w:tcBorders/>
            <w:shd w:fill="auto" w:val="clear"/>
            <w:vAlign w:val="center"/>
          </w:tcPr>
          <w:p>
            <w:pPr>
              <w:pStyle w:val="TableContents"/>
              <w:spacing w:before="0" w:after="283"/>
              <w:rPr>
                <w:sz w:val="4"/>
                <w:szCs w:val="4"/>
              </w:rPr>
            </w:pPr>
            <w:r>
              <w:rPr>
                <w:sz w:val="4"/>
                <w:szCs w:val="4"/>
              </w:rPr>
            </w:r>
          </w:p>
        </w:tc>
        <w:tc>
          <w:tcPr>
            <w:tcW w:w="1137" w:type="dxa"/>
            <w:tcBorders/>
            <w:shd w:fill="auto" w:val="clear"/>
            <w:vAlign w:val="center"/>
          </w:tcPr>
          <w:p>
            <w:pPr>
              <w:pStyle w:val="TableContents"/>
              <w:spacing w:before="0" w:after="283"/>
              <w:jc w:val="left"/>
              <w:rPr>
                <w:color w:val="000000"/>
              </w:rPr>
            </w:pPr>
            <w:r>
              <w:rPr>
                <w:color w:val="000000"/>
              </w:rPr>
              <w:t>•</w:t>
            </w:r>
          </w:p>
        </w:tc>
        <w:tc>
          <w:tcPr>
            <w:tcW w:w="7888"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at a price of $0.01 per Public Warrant;</w:t>
            </w:r>
          </w:p>
        </w:tc>
      </w:tr>
    </w:tbl>
    <w:tbl>
      <w:tblPr>
        <w:tblW w:w="5000" w:type="pct"/>
        <w:jc w:val="left"/>
        <w:tblInd w:w="0" w:type="dxa"/>
        <w:tblCellMar>
          <w:top w:w="0" w:type="dxa"/>
          <w:left w:w="0" w:type="dxa"/>
          <w:bottom w:w="0" w:type="dxa"/>
          <w:right w:w="0" w:type="dxa"/>
        </w:tblCellMar>
      </w:tblPr>
      <w:tblGrid>
        <w:gridCol w:w="585"/>
        <w:gridCol w:w="564"/>
        <w:gridCol w:w="9056"/>
      </w:tblGrid>
      <w:tr>
        <w:trPr/>
        <w:tc>
          <w:tcPr>
            <w:tcW w:w="585"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jc w:val="left"/>
              <w:rPr>
                <w:color w:val="000000"/>
              </w:rPr>
            </w:pPr>
            <w:r>
              <w:rPr>
                <w:color w:val="000000"/>
              </w:rPr>
              <w:t>•</w:t>
            </w:r>
          </w:p>
        </w:tc>
        <w:tc>
          <w:tcPr>
            <w:tcW w:w="9056"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upon not less than 30 days’ prior written notice of redemption to each warrant holder and</w:t>
            </w:r>
          </w:p>
        </w:tc>
      </w:tr>
    </w:tbl>
    <w:tbl>
      <w:tblPr>
        <w:tblW w:w="5000" w:type="pct"/>
        <w:jc w:val="left"/>
        <w:tblInd w:w="0" w:type="dxa"/>
        <w:tblCellMar>
          <w:top w:w="0" w:type="dxa"/>
          <w:left w:w="0" w:type="dxa"/>
          <w:bottom w:w="0" w:type="dxa"/>
          <w:right w:w="0" w:type="dxa"/>
        </w:tblCellMar>
      </w:tblPr>
      <w:tblGrid>
        <w:gridCol w:w="168"/>
        <w:gridCol w:w="210"/>
        <w:gridCol w:w="9827"/>
      </w:tblGrid>
      <w:tr>
        <w:trPr/>
        <w:tc>
          <w:tcPr>
            <w:tcW w:w="16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jc w:val="left"/>
              <w:rPr>
                <w:color w:val="000000"/>
              </w:rPr>
            </w:pPr>
            <w:r>
              <w:rPr>
                <w:color w:val="000000"/>
              </w:rPr>
              <w:t>•</w:t>
            </w:r>
          </w:p>
        </w:tc>
        <w:tc>
          <w:tcPr>
            <w:tcW w:w="9827" w:type="dxa"/>
            <w:tcBorders/>
            <w:shd w:fill="auto" w:val="clear"/>
            <w:vAlign w:val="center"/>
          </w:tcPr>
          <w:p>
            <w:pPr>
              <w:pStyle w:val="TableContents"/>
              <w:spacing w:before="0" w:after="283"/>
              <w:jc w:val="left"/>
              <w:rPr>
                <w:rFonts w:ascii="Times New Roman;Times;Serif" w:hAnsi="Times New Roman;Times;Serif"/>
                <w:color w:val="000000"/>
                <w:sz w:val="17"/>
              </w:rPr>
            </w:pPr>
            <w:r>
              <w:rPr>
                <w:rFonts w:ascii="Times New Roman;Times;Serif" w:hAnsi="Times New Roman;Times;Serif"/>
                <w:color w:val="000000"/>
                <w:sz w:val="17"/>
              </w:rPr>
              <w:t>if, and only if, the reported last sale price of the Class A ordinary shares equals or exceeds $18.00 per share (as adjusted for share splits, share dividends, rights issuances, subdivisions, reorganizations, recapitalizations and the like) for any 20 trading days within a 30-trading day period ending on the third trading day prior to the notice of redemption to the warrant holders.</w:t>
            </w:r>
          </w:p>
        </w:tc>
      </w:tr>
    </w:tbl>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If and when the Public Warrants become redeemable by the Company, the Company may exercise its redemption right even if it is unable to register or qualify the underlying securities for sale under all applicable state securities laws.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If the Company calls the Public Warrants for redemption, management will have the option to require all holders that wish to exercise the Public Warrants to do so on a cashless basis, as described in the warrant agreement. The exercise price and number of ordinary shares issuable upon exercise of the Public Warrants may be adjusted in certain circumstances including in the event of a share dividend, extraordinary dividend or recapitalization, reorganization, merger or consolidation. However, the Public Warrants will not be adjusted for issuances of ordinary shares at a price below its exercise price. Additionally, in no event will the Company be required to net cash settle the Public Warrants. If the Company is unable to complete a Business Combination within the Combination Period and the Company liquidates the funds held in the Trust Account, holders of Public Warrants will not receive any of such funds with respect to their Public Warrants, nor will they receive any distribution from the Companys assets held outside of the Trust Account with respect to such Public Warrants. Accordingly, the Public Warrants may expire worthless.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In addition, if (x) the Company issues additional Class A ordinary shares or equity-linked securities for capital raising purposes in connection with the closing of a Business Combination at an issue price or effective issue price of less than $9.20 per Class A ordinary share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F-14</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lineRule="atLeast" w:line="210" w:before="0" w:after="0"/>
        <w:ind w:left="0" w:right="0" w:hanging="0"/>
        <w:jc w:val="center"/>
        <w:rPr>
          <w:rFonts w:ascii="Times New Roman;Times;Serif" w:hAnsi="Times New Roman;Times;Serif"/>
          <w:b/>
          <w:color w:val="000000"/>
          <w:sz w:val="17"/>
        </w:rPr>
      </w:pPr>
      <w:r>
        <w:rPr>
          <w:rFonts w:ascii="Times New Roman;Times;Serif" w:hAnsi="Times New Roman;Times;Serif"/>
          <w:b/>
          <w:color w:val="000000"/>
          <w:sz w:val="17"/>
        </w:rPr>
        <w:t>SILVER SPIKE ACQUISITION CORP.</w:t>
        <w:br/>
        <w:t>NOTES TO FINANCIAL STATEMENTS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issuances represent more than 60% of the total equity proceeds, and interest thereon, available for the funding of a Business Combination on the date of the completion of a Business Combination (net of redemptions), and (z) the volume weighted average trading price of the Companys ordinary shares during the 20 trading day period starting on the trading day prior to the day on which the Company consummates a Business Combination (such price, the Market Value) is below $9.20 per share, the exercise price of the Public Warrants will be adjusted (to the nearest cent) to be equal to 115% of the higher of the Market Value and the newly issued price, and the $18.00 per share redemption trigger price described above will be adjusted (to the nearest cent) to be equal to 180% of the higher of the Market Value and the newly issued price.</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Private Placement Warrants will be identical to the Public Warrants underlying the Units being sold in the Proposed Offering, except that the Private Placement Warrants and the Class A ordinary shares issuable upon the exercise of the Private Placement Warrants will not be transferable, assignable or salable until 30 days after the completion of a Business Combination, subject to certain limited exceptions. Additionally, the Private Placement Warrants will be exercisable on a cashless basis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pStyle w:val="TextBody"/>
        <w:spacing w:before="240" w:after="0"/>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NOTE 8. SUBSEQUENT EVENTS</w:t>
      </w:r>
    </w:p>
    <w:p>
      <w:pPr>
        <w:pStyle w:val="TextBody"/>
        <w:spacing w:lineRule="atLeast" w:line="240" w:before="120" w:after="0"/>
        <w:ind w:left="0" w:right="0" w:hanging="0"/>
        <w:jc w:val="left"/>
        <w:rPr>
          <w:rFonts w:ascii="Times New Roman;Times;Serif" w:hAnsi="Times New Roman;Times;Serif"/>
          <w:color w:val="000000"/>
          <w:sz w:val="17"/>
        </w:rPr>
      </w:pPr>
      <w:r>
        <w:rPr>
          <w:rFonts w:ascii="Times New Roman;Times;Serif" w:hAnsi="Times New Roman;Times;Serif"/>
          <w:color w:val="000000"/>
          <w:sz w:val="17"/>
        </w:rPr>
        <w:t>The Company evaluated subsequent events and transactions that occurred after the balance sheet date up to the date that the financial statements were available to be issued. Based upon this review, the Company did not identify any subsequent events that would have required adjustment or disclosure in the financial statements.</w:t>
      </w:r>
    </w:p>
    <w:p>
      <w:pPr>
        <w:pStyle w:val="TextBody"/>
        <w:spacing w:before="0" w:after="0"/>
        <w:ind w:left="0" w:right="0" w:hanging="0"/>
        <w:jc w:val="center"/>
        <w:rPr>
          <w:rFonts w:ascii="Times New Roman;Times;Serif" w:hAnsi="Times New Roman;Times;Serif"/>
          <w:color w:val="000000"/>
          <w:sz w:val="17"/>
        </w:rPr>
      </w:pPr>
      <w:r>
        <w:rPr>
          <w:rFonts w:ascii="Times New Roman;Times;Serif" w:hAnsi="Times New Roman;Times;Serif"/>
          <w:color w:val="000000"/>
          <w:sz w:val="17"/>
        </w:rPr>
        <w:t>F-15</w:t>
      </w:r>
    </w:p>
    <w:p>
      <w:pPr>
        <w:pStyle w:val="TextBody"/>
        <w:jc w:val="left"/>
        <w:rPr/>
      </w:pPr>
      <w:hyperlink w:anchor="TOC">
        <w:r>
          <w:rPr>
            <w:rStyle w:val="InternetLink"/>
            <w:rFonts w:ascii="Times New Roman;Times;Serif" w:hAnsi="Times New Roman;Times;Serif"/>
            <w:b/>
            <w:caps w:val="false"/>
            <w:smallCaps w:val="false"/>
            <w:sz w:val="12"/>
          </w:rPr>
          <w:t>TABLE OF CONTENTS</w:t>
        </w:r>
      </w:hyperlink>
    </w:p>
    <w:p>
      <w:pPr>
        <w:pStyle w:val="TextBody"/>
        <w:spacing w:before="2160" w:after="0"/>
        <w:ind w:left="0" w:right="0" w:hanging="0"/>
        <w:jc w:val="center"/>
        <w:rPr>
          <w:rFonts w:ascii="Times New Roman;Times;Serif" w:hAnsi="Times New Roman;Times;Serif"/>
          <w:b/>
          <w:color w:val="000000"/>
          <w:sz w:val="23"/>
        </w:rPr>
      </w:pPr>
      <w:r>
        <w:rPr>
          <w:rFonts w:ascii="Times New Roman;Times;Serif" w:hAnsi="Times New Roman;Times;Serif"/>
          <w:b/>
          <w:color w:val="000000"/>
          <w:sz w:val="23"/>
        </w:rPr>
        <w:t>25,000,000 Units</w:t>
      </w:r>
    </w:p>
    <w:p>
      <w:pPr>
        <w:pStyle w:val="TextBody"/>
        <w:spacing w:before="240" w:after="0"/>
        <w:ind w:left="0" w:right="0" w:hanging="0"/>
        <w:jc w:val="center"/>
        <w:rPr>
          <w:rFonts w:ascii="Times New Roman;Times;Serif" w:hAnsi="Times New Roman;Times;Serif"/>
          <w:b/>
          <w:color w:val="000000"/>
          <w:sz w:val="33"/>
        </w:rPr>
      </w:pPr>
      <w:r>
        <w:rPr>
          <w:rFonts w:ascii="Times New Roman;Times;Serif" w:hAnsi="Times New Roman;Times;Serif"/>
          <w:b/>
          <w:color w:val="000000"/>
          <w:sz w:val="33"/>
        </w:rPr>
        <w:t>Silver Spike Acquisition Corp.</w:t>
      </w:r>
    </w:p>
    <w:p>
      <w:pPr>
        <w:pStyle w:val="TextBody"/>
        <w:spacing w:before="240" w:after="0"/>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PROSPECTUS</w:t>
      </w:r>
    </w:p>
    <w:p>
      <w:pPr>
        <w:pStyle w:val="TextBody"/>
        <w:spacing w:before="120" w:after="0"/>
        <w:ind w:left="0" w:right="0" w:hanging="0"/>
        <w:jc w:val="center"/>
        <w:rPr>
          <w:rFonts w:ascii="Times New Roman;Times;Serif" w:hAnsi="Times New Roman;Times;Serif"/>
          <w:color w:val="000000"/>
          <w:sz w:val="20"/>
        </w:rPr>
      </w:pPr>
      <w:r>
        <w:rPr>
          <w:rFonts w:ascii="Times New Roman;Times;Serif" w:hAnsi="Times New Roman;Times;Serif"/>
          <w:color w:val="000000"/>
          <w:sz w:val="20"/>
        </w:rPr>
        <w:t>August 7, 2019</w:t>
      </w:r>
    </w:p>
    <w:p>
      <w:pPr>
        <w:pStyle w:val="TextBody"/>
        <w:spacing w:before="2640" w:after="0"/>
        <w:ind w:left="0" w:right="0" w:hanging="0"/>
        <w:jc w:val="center"/>
        <w:rPr>
          <w:rFonts w:ascii="Times New Roman;Times;Serif" w:hAnsi="Times New Roman;Times;Serif"/>
          <w:b/>
          <w:color w:val="000000"/>
          <w:sz w:val="26"/>
        </w:rPr>
      </w:pPr>
      <w:r>
        <w:rPr>
          <w:rFonts w:ascii="Times New Roman;Times;Serif" w:hAnsi="Times New Roman;Times;Serif"/>
          <w:b/>
          <w:color w:val="000000"/>
          <w:sz w:val="26"/>
        </w:rPr>
        <w:t>Credit Suisse</w:t>
      </w:r>
    </w:p>
    <w:p>
      <w:pPr>
        <w:pStyle w:val="TextBody"/>
        <w:spacing w:before="240" w:after="0"/>
        <w:ind w:left="0" w:right="0" w:hanging="0"/>
        <w:jc w:val="center"/>
        <w:rPr>
          <w:rFonts w:ascii="Times New Roman;Times;Serif" w:hAnsi="Times New Roman;Times;Serif"/>
          <w:b/>
          <w:color w:val="000000"/>
          <w:sz w:val="23"/>
        </w:rPr>
      </w:pPr>
      <w:r>
        <w:rPr>
          <w:rFonts w:ascii="Times New Roman;Times;Serif" w:hAnsi="Times New Roman;Times;Serif"/>
          <w:b/>
          <w:color w:val="000000"/>
          <w:sz w:val="23"/>
        </w:rPr>
        <w:t>I-Bankers Securities, Inc.</w:t>
      </w:r>
    </w:p>
    <w:p>
      <w:pPr>
        <w:pStyle w:val="TextBody"/>
        <w:spacing w:before="2160" w:after="0"/>
        <w:ind w:left="0" w:right="0" w:hanging="0"/>
        <w:jc w:val="left"/>
        <w:rPr>
          <w:color w:val="000000"/>
        </w:rPr>
      </w:pPr>
      <w:r>
        <w:rPr>
          <w:color w:val="000000"/>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17</Pages>
  <Words>118930</Words>
  <CharactersWithSpaces>738586</CharactersWithSpaces>
  <Paragraphs>3515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