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192026_080852.xml.htm"/>
      <w:bookmarkStart w:id="1" w:name="ksform408192026_08085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Francis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WM TECHNOLOGY,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MAPS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1006"/>
        <w:gridCol w:w="440"/>
        <w:gridCol w:w="747"/>
        <w:gridCol w:w="1262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9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142,393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0.402</w:t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8,232,623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V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3,740,393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V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8,691,425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V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8,469,191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V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1,468,555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V 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(2)(3)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600,618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2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082"/>
      </w:tblGrid>
      <w:tr>
        <w:trPr/>
        <w:tc>
          <w:tcPr>
            <w:tcW w:w="4082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0">
                    <w:r>
                      <w:rPr>
                        <w:rStyle w:val="InternetLink"/>
                      </w:rPr>
                      <w:t>Francis Douglas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1">
                    <w:r>
                      <w:rPr>
                        <w:rStyle w:val="InternetLink"/>
                      </w:rPr>
                      <w:t>Ghost Media Group,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2">
                    <w:r>
                      <w:rPr>
                        <w:rStyle w:val="InternetLink"/>
                      </w:rPr>
                      <w:t>Genco Incentives,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3">
                    <w:r>
                      <w:rPr>
                        <w:rStyle w:val="InternetLink"/>
                      </w:rPr>
                      <w:t>WM Founders Legacy I,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0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14">
                    <w:r>
                      <w:rPr>
                        <w:rStyle w:val="InternetLink"/>
                      </w:rPr>
                      <w:t>Rebecca Francis Legacy Trust dated 5/14/24, Douglas M. Francis, Trustee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62"/>
            </w:tblGrid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WM TECHNOLOGY, INC.</w:t>
                  </w:r>
                </w:p>
              </w:tc>
            </w:tr>
            <w:tr>
              <w:trPr/>
              <w:tc>
                <w:tcPr>
                  <w:tcW w:w="396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DISCOVERY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IRVINE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92618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20"/>
              <w:gridCol w:w="1321"/>
              <w:gridCol w:w="1321"/>
            </w:tblGrid>
            <w:tr>
              <w:trPr/>
              <w:tc>
                <w:tcPr>
                  <w:tcW w:w="13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tax withholding obligations in connection with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of Class V common stock ("Class V Common Stock") of the Issuer (as defined below) provide no economic rights in the Issuer to the holder thereof. However, each holder of Class V Common Stock will be entitled to vote with the holders of Class A common stock ("Class A Common Stock") of the Issuer, with each share of Class V Common Stock entitling the holder to a number of votes equal to the number of Post-Merger Class A Units (as described in footnote 3 below) held by such Class V Common Stockholder at the time of such vote.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Post-Merger Class A Units represent non-voting limited liability company interests of WM Holding Company, LLC. Pursuant to the terms of an exchange agreement, these Class A units and an equivalent number of shares of Class V Common Stock are exchangeable on a one-for-one basis for shares of Class A Common Stock. These exchange rights do not expire.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Shares are held directly by the Rebecca Francis Legacy Trust dated 5/14/24, of which the Reporting Person is the Investment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Shares are held directly by Ghost Media Group, LLC ("Ghost Media") which is controlled by Mr. Francis. Accordingly, Mr. Francis may be deemed to be a beneficial owner of the shares held by Ghost Media.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Shares are held directly by WM Founders Legacy I, LLC ("WM Founders") which is controlled by Mr. Francis. Accordingly, Mr. Francis may be deemed to be a beneficial owner of the shares held by WM Founders.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Shares are held directly by Genco Incentives, LLC ("Genco") which is controlled by Mr. Francis. Accordingly, Mr. Francis may be deemed to be a beneficial owner of the shares held by Genco.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Douglas Francis,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Genco Incentives, LLC, Douglas Francis, Manager,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WM Founders Legacy I, LLC, Douglas Francis, Manager,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Rebecca Francis Legacy Trust dated 5/14/24, Douglas Francis, Investment Trustee,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Ghost Media Group, LLC, Douglas Francis, Manager, by /s/ Brian Camire,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19966" TargetMode="External"/><Relationship Id="rId5" Type="http://schemas.openxmlformats.org/officeDocument/2006/relationships/hyperlink" Target="http://www.sec.gov/cgi-bin/browse-edgar?action=getcompany&amp;CIK=00017794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hyperlink" Target="http://www.sec.gov/cgi-bin/browse-edgar?action=getcompany&amp;CIK=0001519966" TargetMode="External"/><Relationship Id="rId11" Type="http://schemas.openxmlformats.org/officeDocument/2006/relationships/hyperlink" Target="http://www.sec.gov/cgi-bin/browse-edgar?action=getcompany&amp;CIK=0001859722" TargetMode="External"/><Relationship Id="rId12" Type="http://schemas.openxmlformats.org/officeDocument/2006/relationships/hyperlink" Target="http://www.sec.gov/cgi-bin/browse-edgar?action=getcompany&amp;CIK=0001859765" TargetMode="External"/><Relationship Id="rId13" Type="http://schemas.openxmlformats.org/officeDocument/2006/relationships/hyperlink" Target="http://www.sec.gov/cgi-bin/browse-edgar?action=getcompany&amp;CIK=0001859724" TargetMode="External"/><Relationship Id="rId14" Type="http://schemas.openxmlformats.org/officeDocument/2006/relationships/hyperlink" Target="http://www.sec.gov/cgi-bin/browse-edgar?action=getcompany&amp;CIK=0002051673" TargetMode="External"/><Relationship Id="rId15" Type="http://schemas.openxmlformats.org/officeDocument/2006/relationships/fontTable" Target="fontTable.xml"/><Relationship Id="rId1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1109</Words>
  <Characters>5914</Characters>
  <CharactersWithSpaces>6852</CharactersWithSpaces>
  <Paragraphs>201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