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100330</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103505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8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 Filed by a Party other than the Registrant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SILVER SPIKE ACQUISITION CORP.</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150495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61"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33"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 (1) and 0-11.</w:t>
      </w:r>
    </w:p>
    <w:p>
      <w:pPr>
        <w:spacing w:after="0" w:line="333"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800" w:right="20" w:hanging="405"/>
        <w:spacing w:after="0" w:line="277" w:lineRule="auto"/>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45"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87" w:lineRule="exact"/>
        <w:rPr>
          <w:rFonts w:ascii="Arial" w:cs="Arial" w:eastAsia="Arial" w:hAnsi="Arial"/>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00" w:hanging="392"/>
        <w:spacing w:after="0" w:line="263" w:lineRule="auto"/>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91"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528955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194945</wp:posOffset>
            </wp:positionV>
            <wp:extent cx="5666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-164465</wp:posOffset>
            </wp:positionV>
            <wp:extent cx="5666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-550545</wp:posOffset>
            </wp:positionV>
            <wp:extent cx="56661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-935990</wp:posOffset>
            </wp:positionV>
            <wp:extent cx="56661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-2273300</wp:posOffset>
            </wp:positionV>
            <wp:extent cx="56661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-2659380</wp:posOffset>
            </wp:positionV>
            <wp:extent cx="56661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-3044825</wp:posOffset>
            </wp:positionV>
            <wp:extent cx="56661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-3568065</wp:posOffset>
            </wp:positionV>
            <wp:extent cx="56661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-3953510</wp:posOffset>
            </wp:positionV>
            <wp:extent cx="56661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340360</wp:posOffset>
            </wp:positionV>
            <wp:extent cx="6172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391795</wp:posOffset>
            </wp:positionV>
            <wp:extent cx="617220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26035"/>
                    </a:xfrm>
                    <a:prstGeom prst="rect">
                      <a:avLst/>
                    </a:prstGeom>
                    <a:noFill/>
                  </pic:spPr>
                </pic:pic>
              </a:graphicData>
            </a:graphic>
          </wp:anchor>
        </w:drawing>
      </w:r>
    </w:p>
    <w:p>
      <w:pPr>
        <w:sectPr>
          <w:pgSz w:w="11900" w:h="16838" w:orient="portrait"/>
          <w:cols w:equalWidth="0" w:num="1">
            <w:col w:w="9660"/>
          </w:cols>
          <w:pgMar w:left="1080" w:top="225" w:right="1159" w:bottom="1440" w:gutter="0" w:footer="0" w:header="0"/>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Cayman Islands Exempted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Number 352066)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660 Madison Ave.,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10065</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EXTRAORDINARY GENERAL MEETING IN LIEU OF ANNUAL GENERAL MEETING</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SILVER SPIKE ACQUISITION CORP.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at [•] [a.m./p.m.] Eastern Time on [•], 202[•]</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SHAREHOLDERS OF SILVER SPIKE CAPITAL ACQUISITION CORP.:</w:t>
      </w:r>
    </w:p>
    <w:p>
      <w:pPr>
        <w:spacing w:after="0" w:line="117" w:lineRule="exact"/>
        <w:rPr>
          <w:sz w:val="20"/>
          <w:szCs w:val="20"/>
          <w:color w:val="auto"/>
        </w:rPr>
      </w:pPr>
    </w:p>
    <w:p>
      <w:pPr>
        <w:ind w:left="300" w:right="399" w:firstLine="360"/>
        <w:spacing w:after="0" w:line="255" w:lineRule="auto"/>
        <w:rPr>
          <w:sz w:val="20"/>
          <w:szCs w:val="20"/>
          <w:color w:val="auto"/>
        </w:rPr>
      </w:pPr>
      <w:r>
        <w:rPr>
          <w:rFonts w:ascii="Arial" w:cs="Arial" w:eastAsia="Arial" w:hAnsi="Arial"/>
          <w:sz w:val="18"/>
          <w:szCs w:val="18"/>
          <w:color w:val="auto"/>
        </w:rPr>
        <w:t>You are cordially invited to attend the extraordinary general meeting (the “Extraordinary General Meeting”) of Silver Spike Acquisition Corp. (“we,” “us,” “our,” “SSPK” or the “Company”) to be held at [•] [a.m./p.m.] Eastern Time on [•], 202[•] at the offices of the Company, located at 660 Madison Ave., Suite 1600, New York, New York 10065. The accompanying proxy statement (the “Proxy Statement”), is dated [•], 202[•], and is first being mailed to shareholders of the Company on or about [•], 202[•]. The sole purpose of the Extraordinary General Meeting is to consider and vote upon the following proposals:</w:t>
      </w:r>
    </w:p>
    <w:p>
      <w:pPr>
        <w:spacing w:after="0" w:line="84" w:lineRule="exact"/>
        <w:rPr>
          <w:sz w:val="20"/>
          <w:szCs w:val="20"/>
          <w:color w:val="auto"/>
        </w:rPr>
      </w:pPr>
    </w:p>
    <w:p>
      <w:pPr>
        <w:ind w:left="1000" w:right="319" w:hanging="348"/>
        <w:spacing w:after="0" w:line="269"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proposal to amend the Company’s amended and restated memorandum and articles of association (the “Articles”) pursuant to an amendment to the Articles in the form set forth in Annex A to the accompanying Proxy Statement (the “Extension Amendment” and such proposal the “Extension Amendment Proposal”) to extend the date by which, if the Company has not consummated a merger, amalgamation, share exchange, asset acquisition, share purchase, reorganization or similar business combination with one or more businesses (a “business combination”), the Company must (i) cease all operations except for the purpose of winding up; (ii) redeem all of the Company’s Class A ordinary shares included as part of the units sold in the Company’s initial public offering that was consummated on August 12, 2019 (the “IPO”); and (iii) liquidate and dissolve, from February 12, 2021 to July 10, 2021 (the “Extension,” and such later date, the “Extended Date”);</w:t>
      </w:r>
    </w:p>
    <w:p>
      <w:pPr>
        <w:spacing w:after="0" w:line="77" w:lineRule="exact"/>
        <w:rPr>
          <w:rFonts w:ascii="Arial" w:cs="Arial" w:eastAsia="Arial" w:hAnsi="Arial"/>
          <w:sz w:val="17"/>
          <w:szCs w:val="17"/>
          <w:color w:val="auto"/>
        </w:rPr>
      </w:pPr>
    </w:p>
    <w:p>
      <w:pPr>
        <w:jc w:val="both"/>
        <w:ind w:left="1000" w:right="499" w:hanging="348"/>
        <w:spacing w:after="0" w:line="311"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proposal to re-appoint Scott Gordon and William Healy as Class 1 directors, with each such director to serve until the second annual general meeting following this extraordinary general meeting and, in each case, until his successor is appointed and qualified (the “Director Proposal”); and</w:t>
      </w:r>
    </w:p>
    <w:p>
      <w:pPr>
        <w:spacing w:after="0" w:line="40" w:lineRule="exact"/>
        <w:rPr>
          <w:rFonts w:ascii="Arial" w:cs="Arial" w:eastAsia="Arial" w:hAnsi="Arial"/>
          <w:sz w:val="16"/>
          <w:szCs w:val="16"/>
          <w:color w:val="auto"/>
        </w:rPr>
      </w:pPr>
    </w:p>
    <w:p>
      <w:pPr>
        <w:ind w:left="1000" w:right="319" w:hanging="348"/>
        <w:spacing w:after="0" w:line="255"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proposal to approve the adjournment of the Extraordinary General Meeting to a later date or dates, if necessary, to permit further solicitation and vote of proxies in the event that there are insufficient votes for, or otherwise in connection with, the approval of the Extension Amendment Proposal or the Director Proposal (the “Adjournment Proposal”). The Adjournment Proposal will only be presented at the Extraordinary General Meeting if there are not sufficient votes to approve the Extension Amendment Proposal.</w:t>
      </w:r>
    </w:p>
    <w:p>
      <w:pPr>
        <w:spacing w:after="0" w:line="84"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Each of the Extension Amendment Proposal, the Director Proposal and the Adjournment Proposal is more fully described in the accompanying Proxy Statement.</w:t>
      </w:r>
    </w:p>
    <w:p>
      <w:pPr>
        <w:spacing w:after="0" w:line="62"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The purpose of the Extension Amendment is to allow us more time to complete our proposed initial business combination (the “WM business combination”) with WM Holding Company, LLC (“WMH”) pursuant to the Agreement and Plan of Merger, dated as of December 10, 2020 (as it may be amended, the “Merger Agreement”), by and among the Company, Silver Spike Merger Sub LLC (“Merger Sub”), WMH and Ghost Media Group, LLC, solely in its capacity as the initial Holder Representative. The Articles provide that we have until February 12, 2021 to complete a business combination. While we have entered into the Merger Agreement, our board currently believes that there may not be sufficient time before February 12, 2021 to hold an extraordinary general meeting for shareholder approval of the WM business combination and to consummate the WM business combination. Accordingly, our board believes that in order to be able to consummate the WM business combination, we may need to obtain the Extension. Therefore, our board has determined that it is in the best interests of our shareholders to extend the date that we have to consummate a business combination to the Extended Date.</w:t>
      </w:r>
    </w:p>
    <w:p>
      <w:pPr>
        <w:spacing w:after="0" w:line="64" w:lineRule="exact"/>
        <w:rPr>
          <w:sz w:val="20"/>
          <w:szCs w:val="20"/>
          <w:color w:val="auto"/>
        </w:rPr>
      </w:pPr>
    </w:p>
    <w:p>
      <w:pPr>
        <w:ind w:left="300" w:right="519" w:firstLine="360"/>
        <w:spacing w:after="0" w:line="301" w:lineRule="auto"/>
        <w:rPr>
          <w:sz w:val="20"/>
          <w:szCs w:val="20"/>
          <w:color w:val="auto"/>
        </w:rPr>
      </w:pPr>
      <w:r>
        <w:rPr>
          <w:rFonts w:ascii="Arial" w:cs="Arial" w:eastAsia="Arial" w:hAnsi="Arial"/>
          <w:sz w:val="16"/>
          <w:szCs w:val="16"/>
          <w:color w:val="auto"/>
        </w:rPr>
        <w:t>In connection with the Extension Amendment Proposal, public shareholders may elect to redeem their public shares at a per-share price, payable in cash, equal to the aggregate amount then on deposit in the trust account (the “Trust Account”), including interest (which interest shall be net of taxes payable), divided by the number of then outstanding Class A ordinary shares included as part of the units sold in the IPO (the “public shares”),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83185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86" w:lineRule="auto"/>
        <w:rPr>
          <w:sz w:val="20"/>
          <w:szCs w:val="20"/>
          <w:color w:val="auto"/>
        </w:rPr>
      </w:pPr>
      <w:r>
        <w:rPr>
          <w:rFonts w:ascii="Arial" w:cs="Arial" w:eastAsia="Arial" w:hAnsi="Arial"/>
          <w:sz w:val="16"/>
          <w:szCs w:val="16"/>
          <w:color w:val="auto"/>
        </w:rPr>
        <w:t>which election we refer to as the “Election.” An Election can be made regardless of whether such public shareholders vote “FOR” or “AGAINST” the Extension Amendment Proposal and an Election can also be made by public shareholders who do not vote, or do not instruct their broker or bank how to vote, at the Extraordinary General Meeting. Holders of public shares (the “public shareholders”) may make an Election regardless of whether such public shareholders were holders as of the record date. Public shareholders who do not make the Election would be entitled to have their shares redeemed for cash if we have not completed a business combination by the Extended Date. In addition, regardless of whether public shareholders vote “FOR” or “AGAINST” the Extension Amendment Proposal, or do not vote, or do not instruct their broker or bank how to vote, at the Extraordinary General Meeting, if the Extension is implemented and a public shareholder does not make an Election, they will retain the right to vote on the WM business combination in the future and the right to redeem their public shares at a per-share price, payable in cash, equal to the aggregate amount then on deposit in the Trust Account as of two business days prior to the consummation of such business combination, including interest (which interest shall be net of taxes payable), divided by the number of then outstanding public shares, in the event the WM business combination is completed. We are not asking you to vote on the WM business combination at this time.</w:t>
      </w:r>
    </w:p>
    <w:p>
      <w:pPr>
        <w:spacing w:after="0" w:line="63"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Based upon the amount in the Trust Account as of September 30, 2020, which was $254,115,791, we anticipate that the per-share price at which public shares will be redeemed from cash held in the Trust Account will be approximately $[•] at the time of the Extraordinary General Meeting. The closing price of the public shares on The Nasdaq Stock Market LLC on [•], 202[•], the most recent practicable closing price prior to the mailing of this Proxy Statement, was $[•]. We cannot assure shareholders that they will be able to sell their shares in the open market, even if the market price per share is higher than the redemption price stated above, as there may not be sufficient liquidity in our securities when such shareholders wish to sell their shares.</w:t>
      </w:r>
    </w:p>
    <w:p>
      <w:pPr>
        <w:spacing w:after="0" w:line="65" w:lineRule="exact"/>
        <w:rPr>
          <w:sz w:val="20"/>
          <w:szCs w:val="20"/>
          <w:color w:val="auto"/>
        </w:rPr>
      </w:pPr>
    </w:p>
    <w:p>
      <w:pPr>
        <w:ind w:left="300" w:right="479" w:firstLine="360"/>
        <w:spacing w:after="0" w:line="255" w:lineRule="auto"/>
        <w:rPr>
          <w:sz w:val="20"/>
          <w:szCs w:val="20"/>
          <w:color w:val="auto"/>
        </w:rPr>
      </w:pPr>
      <w:r>
        <w:rPr>
          <w:rFonts w:ascii="Arial" w:cs="Arial" w:eastAsia="Arial" w:hAnsi="Arial"/>
          <w:sz w:val="18"/>
          <w:szCs w:val="18"/>
          <w:b w:val="1"/>
          <w:bCs w:val="1"/>
          <w:color w:val="auto"/>
        </w:rPr>
        <w:t xml:space="preserve">TO DEMAND REDEMPTION, PRIOR TO </w:t>
      </w:r>
      <w:r>
        <w:rPr>
          <w:rFonts w:ascii="Arial" w:cs="Arial" w:eastAsia="Arial" w:hAnsi="Arial"/>
          <w:sz w:val="18"/>
          <w:szCs w:val="18"/>
          <w:color w:val="auto"/>
        </w:rPr>
        <w:t>[•]</w:t>
      </w:r>
      <w:r>
        <w:rPr>
          <w:rFonts w:ascii="Arial" w:cs="Arial" w:eastAsia="Arial" w:hAnsi="Arial"/>
          <w:sz w:val="18"/>
          <w:szCs w:val="18"/>
          <w:b w:val="1"/>
          <w:bCs w:val="1"/>
          <w:color w:val="auto"/>
        </w:rPr>
        <w:t xml:space="preserve"> [A.M./P.M.] EASTERN TIME ON </w:t>
      </w:r>
      <w:r>
        <w:rPr>
          <w:rFonts w:ascii="Arial" w:cs="Arial" w:eastAsia="Arial" w:hAnsi="Arial"/>
          <w:sz w:val="18"/>
          <w:szCs w:val="18"/>
          <w:color w:val="auto"/>
        </w:rPr>
        <w:t>[•],</w:t>
      </w:r>
      <w:r>
        <w:rPr>
          <w:rFonts w:ascii="Arial" w:cs="Arial" w:eastAsia="Arial" w:hAnsi="Arial"/>
          <w:sz w:val="18"/>
          <w:szCs w:val="18"/>
          <w:b w:val="1"/>
          <w:bCs w:val="1"/>
          <w:color w:val="auto"/>
        </w:rPr>
        <w:t xml:space="preserve"> 202[•] (TWO BUSINESS DAYS BEFORE THE EXTRAORDINARY GENERAL MEETING), YOU SHOULD ELECT EITHER TO PHYSICALLY TENDER YOUR SHARE CERTIFICATES TO CONTINENTAL STOCK TRANSFER &amp; TRUST COMPANY OR TO DELIVER YOUR SHARES TO THE TRANSFER AGENT ELECTRONICALLY USING DTC’S DWAC (DEPOSIT/WITHDRAWAL AT CUSTODIAN), AS DESCRIBED HEREIN. YOU SHOULD ENSURE THAT YOUR BANK OR BROKER COMPLIES WITH THE REQUIREMENTS IDENTIFIED ELSEWHERE HEREIN.</w:t>
      </w:r>
    </w:p>
    <w:p>
      <w:pPr>
        <w:spacing w:after="0" w:line="85"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The Adjournment Proposal, if adopted, will allow our board to adjourn the Extraordinary General Meeting to a later date or dates to permit further solicitation of proxies. The Adjournment Proposal will only be presented to our shareholders in the event that there are insufficient votes for, or otherwise in connection with, the approval of the Extension Amendment Proposal.</w:t>
      </w:r>
    </w:p>
    <w:p>
      <w:pPr>
        <w:spacing w:after="0" w:line="79" w:lineRule="exact"/>
        <w:rPr>
          <w:sz w:val="20"/>
          <w:szCs w:val="20"/>
          <w:color w:val="auto"/>
        </w:rPr>
      </w:pPr>
    </w:p>
    <w:p>
      <w:pPr>
        <w:ind w:left="300" w:right="379" w:firstLine="360"/>
        <w:spacing w:after="0" w:line="269" w:lineRule="auto"/>
        <w:rPr>
          <w:sz w:val="20"/>
          <w:szCs w:val="20"/>
          <w:color w:val="auto"/>
        </w:rPr>
      </w:pPr>
      <w:r>
        <w:rPr>
          <w:rFonts w:ascii="Arial" w:cs="Arial" w:eastAsia="Arial" w:hAnsi="Arial"/>
          <w:sz w:val="17"/>
          <w:szCs w:val="17"/>
          <w:color w:val="auto"/>
        </w:rPr>
        <w:t>If the Extension Amendment Proposal is not approved and we do not consummate a business combination by February 12, 2021, as contemplated by our IPO prospectus and in accordance with our Articles,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liquidate and dissolve, subject to our obligations under Cayman Islands law to provide for claims of creditors and other requirements of applicable law.</w:t>
      </w:r>
    </w:p>
    <w:p>
      <w:pPr>
        <w:spacing w:after="0" w:line="74" w:lineRule="exact"/>
        <w:rPr>
          <w:sz w:val="20"/>
          <w:szCs w:val="20"/>
          <w:color w:val="auto"/>
        </w:rPr>
      </w:pPr>
    </w:p>
    <w:p>
      <w:pPr>
        <w:ind w:left="300" w:right="439" w:firstLine="360"/>
        <w:spacing w:after="0" w:line="257" w:lineRule="auto"/>
        <w:rPr>
          <w:sz w:val="20"/>
          <w:szCs w:val="20"/>
          <w:color w:val="auto"/>
        </w:rPr>
      </w:pPr>
      <w:r>
        <w:rPr>
          <w:rFonts w:ascii="Arial" w:cs="Arial" w:eastAsia="Arial" w:hAnsi="Arial"/>
          <w:sz w:val="18"/>
          <w:szCs w:val="18"/>
          <w:color w:val="auto"/>
        </w:rPr>
        <w:t>There will be no redemption rights or liquidating distributions with respect to our warrants, which will expire worthless in the event of our winding up. In the event of a liquidation, holders of our Class B ordinary shares (the “founder shares” and, together with the public shares, the “shares” or “ordinary shares”), including Silver Spike Sponsor, LLC (our “Sponsor”), will not receive any monies held in the Trust Account as a result of their ownership of founder shares.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19" w:firstLine="360"/>
        <w:spacing w:after="0" w:line="259" w:lineRule="auto"/>
        <w:rPr>
          <w:sz w:val="20"/>
          <w:szCs w:val="20"/>
          <w:color w:val="auto"/>
        </w:rPr>
      </w:pPr>
      <w:r>
        <w:rPr>
          <w:rFonts w:ascii="Arial" w:cs="Arial" w:eastAsia="Arial" w:hAnsi="Arial"/>
          <w:sz w:val="18"/>
          <w:szCs w:val="18"/>
          <w:color w:val="auto"/>
        </w:rPr>
        <w:t>The approval of the Extension Amendment Proposal requires a special resolution under Cayman Islands law, being the affirmative vote of the holders of at least two-thirds of the then issued and outstanding ordinary shares who, being present and entitled to vote at the Extraordinary General Meeting, actually vote at the Extraordinary General Meeting.</w:t>
      </w:r>
    </w:p>
    <w:p>
      <w:pPr>
        <w:spacing w:after="0" w:line="79" w:lineRule="exact"/>
        <w:rPr>
          <w:sz w:val="20"/>
          <w:szCs w:val="20"/>
          <w:color w:val="auto"/>
        </w:rPr>
      </w:pPr>
    </w:p>
    <w:p>
      <w:pPr>
        <w:ind w:left="300" w:right="319" w:firstLine="360"/>
        <w:spacing w:after="0" w:line="311" w:lineRule="auto"/>
        <w:rPr>
          <w:sz w:val="20"/>
          <w:szCs w:val="20"/>
          <w:color w:val="auto"/>
        </w:rPr>
      </w:pPr>
      <w:r>
        <w:rPr>
          <w:rFonts w:ascii="Arial" w:cs="Arial" w:eastAsia="Arial" w:hAnsi="Arial"/>
          <w:sz w:val="16"/>
          <w:szCs w:val="16"/>
          <w:color w:val="auto"/>
        </w:rPr>
        <w:t>The approval of the Adjournment Proposal requires an ordinary resolution under Cayman Islands law, being the affirmative vote of the holders of a majority of the then issued and outstanding ordinary shares who, being present and entitled to vote at the Extraordinary General Meeting, vote at the Extraordinary General Meeting.</w:t>
      </w:r>
    </w:p>
    <w:p>
      <w:pPr>
        <w:spacing w:after="0" w:line="41" w:lineRule="exact"/>
        <w:rPr>
          <w:sz w:val="20"/>
          <w:szCs w:val="20"/>
          <w:color w:val="auto"/>
        </w:rPr>
      </w:pPr>
    </w:p>
    <w:p>
      <w:pPr>
        <w:ind w:left="300" w:right="679" w:firstLine="360"/>
        <w:spacing w:after="0" w:line="259" w:lineRule="auto"/>
        <w:rPr>
          <w:sz w:val="20"/>
          <w:szCs w:val="20"/>
          <w:color w:val="auto"/>
        </w:rPr>
      </w:pPr>
      <w:r>
        <w:rPr>
          <w:rFonts w:ascii="Arial" w:cs="Arial" w:eastAsia="Arial" w:hAnsi="Arial"/>
          <w:sz w:val="18"/>
          <w:szCs w:val="18"/>
          <w:color w:val="auto"/>
        </w:rPr>
        <w:t>Our board has fixed the close of business on [•], 202[•] as the record date for determining the shareholders entitled to receive notice of and vote at the Extraordinary General Meeting and any adjournment thereof. Only holders of record of the ordinary shares on that date are entitled to have their votes counted at the Extraordinary General Meeting or any adjournment thereof.</w:t>
      </w:r>
    </w:p>
    <w:p>
      <w:pPr>
        <w:spacing w:after="0" w:line="75" w:lineRule="exact"/>
        <w:rPr>
          <w:sz w:val="20"/>
          <w:szCs w:val="20"/>
          <w:color w:val="auto"/>
        </w:rPr>
      </w:pPr>
    </w:p>
    <w:p>
      <w:pPr>
        <w:ind w:left="300" w:right="499" w:firstLine="360"/>
        <w:spacing w:after="0" w:line="266" w:lineRule="auto"/>
        <w:rPr>
          <w:sz w:val="20"/>
          <w:szCs w:val="20"/>
          <w:color w:val="auto"/>
        </w:rPr>
      </w:pPr>
      <w:r>
        <w:rPr>
          <w:rFonts w:ascii="Arial" w:cs="Arial" w:eastAsia="Arial" w:hAnsi="Arial"/>
          <w:sz w:val="18"/>
          <w:szCs w:val="18"/>
          <w:b w:val="1"/>
          <w:bCs w:val="1"/>
          <w:color w:val="auto"/>
        </w:rPr>
        <w:t>After careful consideration of all relevant factors, our board has determined that the Extension Amendment Proposal and, if presented, the Adjournment Proposal are advisable and recommends that you vote or give instruction to vote “FOR” such proposals.</w:t>
      </w:r>
    </w:p>
    <w:p>
      <w:pPr>
        <w:spacing w:after="0" w:line="72"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Under our amended and restated memorandum and articles of association, no other business may be transacted at the Extraordinary General Meeting.</w:t>
      </w:r>
    </w:p>
    <w:p>
      <w:pPr>
        <w:spacing w:after="0" w:line="62" w:lineRule="exact"/>
        <w:rPr>
          <w:sz w:val="20"/>
          <w:szCs w:val="20"/>
          <w:color w:val="auto"/>
        </w:rPr>
      </w:pPr>
    </w:p>
    <w:p>
      <w:pPr>
        <w:ind w:left="300" w:right="459" w:firstLine="360"/>
        <w:spacing w:after="0" w:line="311" w:lineRule="auto"/>
        <w:rPr>
          <w:sz w:val="20"/>
          <w:szCs w:val="20"/>
          <w:color w:val="auto"/>
        </w:rPr>
      </w:pPr>
      <w:r>
        <w:rPr>
          <w:rFonts w:ascii="Arial" w:cs="Arial" w:eastAsia="Arial" w:hAnsi="Arial"/>
          <w:sz w:val="16"/>
          <w:szCs w:val="16"/>
          <w:color w:val="auto"/>
        </w:rPr>
        <w:t>Enclosed is the Proxy Statement containing detailed information concerning the Extension Amendment Proposal, the Adjournment Proposal and the Extraordinary General Meeting. Whether or not you plan to attend the Extraordinary General Meeting, we urge you to read this material carefully and vote your ordinary shares.</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202[•]</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57785</wp:posOffset>
            </wp:positionV>
            <wp:extent cx="26060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Executive Officer and Chairman</w:t>
      </w:r>
    </w:p>
    <w:p>
      <w:pPr>
        <w:spacing w:after="0" w:line="113" w:lineRule="exact"/>
        <w:rPr>
          <w:sz w:val="20"/>
          <w:szCs w:val="20"/>
          <w:color w:val="auto"/>
        </w:rPr>
      </w:pPr>
    </w:p>
    <w:p>
      <w:pPr>
        <w:ind w:left="300" w:right="459" w:firstLine="360"/>
        <w:spacing w:after="0" w:line="293" w:lineRule="auto"/>
        <w:rPr>
          <w:sz w:val="20"/>
          <w:szCs w:val="20"/>
          <w:color w:val="auto"/>
        </w:rPr>
      </w:pPr>
      <w:r>
        <w:rPr>
          <w:rFonts w:ascii="Arial" w:cs="Arial" w:eastAsia="Arial" w:hAnsi="Arial"/>
          <w:sz w:val="16"/>
          <w:szCs w:val="16"/>
          <w:b w:val="1"/>
          <w:bCs w:val="1"/>
          <w:color w:val="auto"/>
        </w:rPr>
        <w:t>Your vote is important. If you are a shareholder of record, please sign, date and return your proxy card as soon as possible to make sure that your shares are represented at the Extraordinary General Meeting.</w:t>
      </w:r>
    </w:p>
    <w:p>
      <w:pPr>
        <w:spacing w:after="0" w:line="1" w:lineRule="exact"/>
        <w:rPr>
          <w:sz w:val="20"/>
          <w:szCs w:val="20"/>
          <w:color w:val="auto"/>
        </w:rPr>
      </w:pPr>
    </w:p>
    <w:p>
      <w:pPr>
        <w:ind w:left="300" w:right="379"/>
        <w:spacing w:after="0" w:line="288" w:lineRule="auto"/>
        <w:rPr>
          <w:sz w:val="20"/>
          <w:szCs w:val="20"/>
          <w:color w:val="auto"/>
        </w:rPr>
      </w:pPr>
      <w:r>
        <w:rPr>
          <w:rFonts w:ascii="Arial" w:cs="Arial" w:eastAsia="Arial" w:hAnsi="Arial"/>
          <w:sz w:val="16"/>
          <w:szCs w:val="16"/>
          <w:b w:val="1"/>
          <w:bCs w:val="1"/>
          <w:color w:val="auto"/>
        </w:rPr>
        <w:t>If you are a shareholder of record, you may also cast your vote in person at the Extraordinary General Meeting. If your shares are held in an account at a brokerage firm or bank, you must instruct your broker or bank how to vote your shares, or you may cast your vote in person at the Extraordinary General Meeting by obtaining a proxy from your brokerage firm or bank. Your failure to vote or instruct your broker or bank how to vote will mean that your ordinary shares will not count towards the quorum requirement for the Extraordinary General Meeting and will not be voted. An abstention or broker non-vote will be counted towards the quorum requirement but will not count as a vote cast at the Extraordinary General Meeting.</w:t>
      </w:r>
    </w:p>
    <w:p>
      <w:pPr>
        <w:spacing w:after="0" w:line="56" w:lineRule="exact"/>
        <w:rPr>
          <w:sz w:val="20"/>
          <w:szCs w:val="20"/>
          <w:color w:val="auto"/>
        </w:rPr>
      </w:pPr>
    </w:p>
    <w:p>
      <w:pPr>
        <w:jc w:val="both"/>
        <w:ind w:left="300" w:right="339" w:firstLine="36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Extraordinary General Meeting to be held on [•], 202[•]: This notice of extraordinary general meeting and the accompanying Proxy Statement are available at [Email Address].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1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188595</wp:posOffset>
            </wp:positionV>
            <wp:extent cx="10972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Page</w:t>
            </w:r>
          </w:p>
        </w:tc>
      </w:tr>
      <w:tr>
        <w:trPr>
          <w:trHeight w:val="53"/>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820" w:type="dxa"/>
            <w:vAlign w:val="bottom"/>
            <w:tcBorders>
              <w:bottom w:val="single" w:sz="8" w:color="CCEEFF"/>
            </w:tcBorders>
          </w:tcPr>
          <w:p>
            <w:pPr>
              <w:spacing w:after="0"/>
              <w:rPr>
                <w:sz w:val="4"/>
                <w:szCs w:val="4"/>
                <w:color w:val="auto"/>
              </w:rPr>
            </w:pPr>
          </w:p>
        </w:tc>
        <w:tc>
          <w:tcPr>
            <w:tcW w:w="51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8120" w:type="dxa"/>
            <w:vAlign w:val="bottom"/>
            <w:gridSpan w:val="6"/>
            <w:shd w:val="clear" w:color="auto" w:fill="CCEEFF"/>
          </w:tcPr>
          <w:p>
            <w:pPr>
              <w:spacing w:after="0"/>
              <w:rPr>
                <w:rFonts w:ascii="Arial" w:cs="Arial" w:eastAsia="Arial" w:hAnsi="Arial"/>
                <w:sz w:val="18"/>
                <w:szCs w:val="18"/>
                <w:color w:val="0000EE"/>
                <w:w w:val="99"/>
              </w:rPr>
            </w:pPr>
            <w:hyperlink w:anchor="page2">
              <w:r>
                <w:rPr>
                  <w:rFonts w:ascii="Arial" w:cs="Arial" w:eastAsia="Arial" w:hAnsi="Arial"/>
                  <w:sz w:val="18"/>
                  <w:szCs w:val="18"/>
                  <w:color w:val="0000EE"/>
                  <w:w w:val="99"/>
                </w:rPr>
                <w:t>Notice of Extraordinary General Meeting in Lieu of Annual General Meeting of Silver Spike Acquisition</w:t>
              </w:r>
            </w:hyperlink>
          </w:p>
        </w:tc>
        <w:tc>
          <w:tcPr>
            <w:tcW w:w="2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738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Corp.</w:t>
              </w:r>
            </w:hyperlink>
          </w:p>
        </w:tc>
        <w:tc>
          <w:tcPr>
            <w:tcW w:w="56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w:t>
              </w:r>
            </w:hyperlink>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820" w:type="dxa"/>
            <w:vAlign w:val="bottom"/>
            <w:tcBorders>
              <w:top w:val="single" w:sz="8" w:color="CCEEFF"/>
            </w:tcBorders>
            <w:shd w:val="clear" w:color="auto" w:fill="CCEEFF"/>
          </w:tcPr>
          <w:p>
            <w:pPr>
              <w:spacing w:after="0"/>
              <w:rPr>
                <w:sz w:val="6"/>
                <w:szCs w:val="6"/>
                <w:color w:val="auto"/>
              </w:rPr>
            </w:pPr>
          </w:p>
        </w:tc>
        <w:tc>
          <w:tcPr>
            <w:tcW w:w="51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6"/>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Proxy Statement</w:t>
              </w:r>
            </w:hyperlink>
          </w:p>
        </w:tc>
        <w:tc>
          <w:tcPr>
            <w:tcW w:w="30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6"/>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Questions and Answers About the Extraordinary General Meeting</w:t>
              </w:r>
            </w:hyperlink>
          </w:p>
        </w:tc>
        <w:tc>
          <w:tcPr>
            <w:tcW w:w="300" w:type="dxa"/>
            <w:vAlign w:val="bottom"/>
            <w:tcBorders>
              <w:right w:val="single" w:sz="8" w:color="CCEEFF"/>
            </w:tcBorders>
            <w:gridSpan w:val="2"/>
            <w:shd w:val="clear" w:color="auto" w:fill="CCEEFF"/>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4</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820" w:type="dxa"/>
            <w:vAlign w:val="bottom"/>
            <w:tcBorders>
              <w:top w:val="single" w:sz="8" w:color="CCEEFF"/>
            </w:tcBorders>
            <w:shd w:val="clear" w:color="auto" w:fill="CCEEFF"/>
          </w:tcPr>
          <w:p>
            <w:pPr>
              <w:spacing w:after="0"/>
              <w:rPr>
                <w:sz w:val="6"/>
                <w:szCs w:val="6"/>
                <w:color w:val="auto"/>
              </w:rPr>
            </w:pPr>
          </w:p>
        </w:tc>
        <w:tc>
          <w:tcPr>
            <w:tcW w:w="51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70"/>
        </w:trPr>
        <w:tc>
          <w:tcPr>
            <w:tcW w:w="1300" w:type="dxa"/>
            <w:vAlign w:val="bottom"/>
          </w:tcPr>
          <w:p>
            <w:pPr>
              <w:spacing w:after="0"/>
              <w:rPr>
                <w:sz w:val="23"/>
                <w:szCs w:val="23"/>
                <w:color w:val="auto"/>
              </w:rPr>
            </w:pPr>
          </w:p>
        </w:tc>
        <w:tc>
          <w:tcPr>
            <w:tcW w:w="8120" w:type="dxa"/>
            <w:vAlign w:val="bottom"/>
            <w:gridSpan w:val="6"/>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Forward-Looking Statements</w:t>
              </w:r>
            </w:hyperlink>
          </w:p>
        </w:tc>
        <w:tc>
          <w:tcPr>
            <w:tcW w:w="300" w:type="dxa"/>
            <w:vAlign w:val="bottom"/>
            <w:gridSpan w:val="2"/>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15</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6"/>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Background</w:t>
              </w:r>
            </w:hyperlink>
          </w:p>
        </w:tc>
        <w:tc>
          <w:tcPr>
            <w:tcW w:w="300" w:type="dxa"/>
            <w:vAlign w:val="bottom"/>
            <w:tcBorders>
              <w:bottom w:val="single" w:sz="8" w:color="CCEEFF"/>
              <w:right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16</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6"/>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The Extension Amendment</w:t>
              </w:r>
            </w:hyperlink>
          </w:p>
        </w:tc>
        <w:tc>
          <w:tcPr>
            <w:tcW w:w="300" w:type="dxa"/>
            <w:vAlign w:val="bottom"/>
            <w:gridSpan w:val="2"/>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17</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6"/>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United States Federal Income Tax Considerations for Shareholders Exercising Redemption Rights</w:t>
              </w:r>
            </w:hyperlink>
          </w:p>
        </w:tc>
        <w:tc>
          <w:tcPr>
            <w:tcW w:w="300" w:type="dxa"/>
            <w:vAlign w:val="bottom"/>
            <w:tcBorders>
              <w:bottom w:val="single" w:sz="8" w:color="CCEEFF"/>
              <w:right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20</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6"/>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The Extraordinary General Meeting</w:t>
              </w:r>
            </w:hyperlink>
          </w:p>
        </w:tc>
        <w:tc>
          <w:tcPr>
            <w:tcW w:w="300" w:type="dxa"/>
            <w:vAlign w:val="bottom"/>
            <w:gridSpan w:val="2"/>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25</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6"/>
            <w:shd w:val="clear" w:color="auto" w:fill="CCEEFF"/>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The Adjournment Proposal</w:t>
              </w:r>
            </w:hyperlink>
          </w:p>
        </w:tc>
        <w:tc>
          <w:tcPr>
            <w:tcW w:w="300" w:type="dxa"/>
            <w:vAlign w:val="bottom"/>
            <w:tcBorders>
              <w:bottom w:val="single" w:sz="8" w:color="CCEEFF"/>
              <w:right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30</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6"/>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Beneficial Ownership of Securities</w:t>
              </w:r>
            </w:hyperlink>
          </w:p>
        </w:tc>
        <w:tc>
          <w:tcPr>
            <w:tcW w:w="300" w:type="dxa"/>
            <w:vAlign w:val="bottom"/>
            <w:gridSpan w:val="2"/>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31</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6"/>
            <w:shd w:val="clear" w:color="auto" w:fill="CCEEFF"/>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Submission of Shareholder Proposals for the 2021 Annual general meeting</w:t>
              </w:r>
            </w:hyperlink>
          </w:p>
        </w:tc>
        <w:tc>
          <w:tcPr>
            <w:tcW w:w="300" w:type="dxa"/>
            <w:vAlign w:val="bottom"/>
            <w:tcBorders>
              <w:bottom w:val="single" w:sz="8" w:color="CCEEFF"/>
              <w:right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33</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120" w:type="dxa"/>
            <w:vAlign w:val="bottom"/>
            <w:gridSpan w:val="6"/>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Householding Information</w:t>
              </w:r>
            </w:hyperlink>
          </w:p>
        </w:tc>
        <w:tc>
          <w:tcPr>
            <w:tcW w:w="300" w:type="dxa"/>
            <w:vAlign w:val="bottom"/>
            <w:gridSpan w:val="2"/>
          </w:tcPr>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33</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8120" w:type="dxa"/>
            <w:vAlign w:val="bottom"/>
            <w:tcBorders>
              <w:bottom w:val="single" w:sz="8" w:color="CCEEFF"/>
            </w:tcBorders>
            <w:gridSpan w:val="6"/>
            <w:shd w:val="clear" w:color="auto" w:fill="CCEEFF"/>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Where You Can Find More Information</w:t>
              </w:r>
            </w:hyperlink>
          </w:p>
        </w:tc>
        <w:tc>
          <w:tcPr>
            <w:tcW w:w="300" w:type="dxa"/>
            <w:vAlign w:val="bottom"/>
            <w:tcBorders>
              <w:bottom w:val="single" w:sz="8" w:color="CCEEFF"/>
              <w:right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34</w:t>
              </w:r>
            </w:hyperlink>
          </w:p>
        </w:tc>
        <w:tc>
          <w:tcPr>
            <w:tcW w:w="1300" w:type="dxa"/>
            <w:vAlign w:val="bottom"/>
          </w:tcPr>
          <w:p>
            <w:pPr>
              <w:spacing w:after="0"/>
              <w:rPr>
                <w:sz w:val="24"/>
                <w:szCs w:val="24"/>
                <w:color w:val="auto"/>
              </w:rPr>
            </w:pPr>
          </w:p>
        </w:tc>
      </w:tr>
      <w:tr>
        <w:trPr>
          <w:trHeight w:val="230"/>
        </w:trPr>
        <w:tc>
          <w:tcPr>
            <w:tcW w:w="1300" w:type="dxa"/>
            <w:vAlign w:val="bottom"/>
          </w:tcPr>
          <w:p>
            <w:pPr>
              <w:spacing w:after="0"/>
              <w:rPr>
                <w:sz w:val="19"/>
                <w:szCs w:val="19"/>
                <w:color w:val="auto"/>
              </w:rPr>
            </w:pPr>
          </w:p>
        </w:tc>
        <w:tc>
          <w:tcPr>
            <w:tcW w:w="8120" w:type="dxa"/>
            <w:vAlign w:val="bottom"/>
            <w:gridSpan w:val="6"/>
          </w:tcPr>
          <w:p>
            <w:pPr>
              <w:spacing w:after="0"/>
              <w:rPr>
                <w:rFonts w:ascii="Arial" w:cs="Arial" w:eastAsia="Arial" w:hAnsi="Arial"/>
                <w:sz w:val="18"/>
                <w:szCs w:val="18"/>
                <w:color w:val="0000EE"/>
                <w:w w:val="94"/>
              </w:rPr>
            </w:pPr>
            <w:hyperlink w:anchor="page40">
              <w:r>
                <w:rPr>
                  <w:rFonts w:ascii="Arial" w:cs="Arial" w:eastAsia="Arial" w:hAnsi="Arial"/>
                  <w:sz w:val="18"/>
                  <w:szCs w:val="18"/>
                  <w:color w:val="0000EE"/>
                  <w:w w:val="94"/>
                </w:rPr>
                <w:t>Annex A Proposed Amendments to the Amended and Restated Memorandum and Articles of Association of</w:t>
              </w:r>
            </w:hyperlink>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6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Silver Spike Acquisition Corp.</w:t>
              </w:r>
            </w:hyperlink>
          </w:p>
        </w:tc>
        <w:tc>
          <w:tcPr>
            <w:tcW w:w="340" w:type="dxa"/>
            <w:vAlign w:val="bottom"/>
          </w:tcPr>
          <w:p>
            <w:pPr>
              <w:spacing w:after="0"/>
              <w:rPr>
                <w:sz w:val="17"/>
                <w:szCs w:val="17"/>
                <w:color w:val="auto"/>
              </w:rPr>
            </w:pPr>
          </w:p>
        </w:tc>
        <w:tc>
          <w:tcPr>
            <w:tcW w:w="1600" w:type="dxa"/>
            <w:vAlign w:val="bottom"/>
            <w:gridSpan w:val="3"/>
          </w:tcPr>
          <w:p>
            <w:pPr>
              <w:jc w:val="right"/>
              <w:ind w:right="1320"/>
              <w:spacing w:after="0" w:line="196" w:lineRule="exact"/>
              <w:rPr>
                <w:rFonts w:ascii="Arial" w:cs="Arial" w:eastAsia="Arial" w:hAnsi="Arial"/>
                <w:sz w:val="18"/>
                <w:szCs w:val="18"/>
                <w:u w:val="single" w:color="auto"/>
                <w:color w:val="0000EE"/>
                <w:w w:val="92"/>
              </w:rPr>
            </w:pPr>
            <w:hyperlink w:anchor="page40">
              <w:r>
                <w:rPr>
                  <w:rFonts w:ascii="Arial" w:cs="Arial" w:eastAsia="Arial" w:hAnsi="Arial"/>
                  <w:sz w:val="18"/>
                  <w:szCs w:val="18"/>
                  <w:u w:val="single" w:color="auto"/>
                  <w:color w:val="0000EE"/>
                  <w:w w:val="92"/>
                </w:rPr>
                <w:t>A-1</w:t>
              </w:r>
            </w:hyperlink>
          </w:p>
        </w:tc>
      </w:tr>
      <w:tr>
        <w:trPr>
          <w:trHeight w:val="203"/>
        </w:trPr>
        <w:tc>
          <w:tcPr>
            <w:tcW w:w="1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 w:type="dxa"/>
            <w:vAlign w:val="bottom"/>
            <w:tcBorders>
              <w:top w:val="single" w:sz="8" w:color="0000EE"/>
              <w:bottom w:val="single" w:sz="8" w:color="auto"/>
            </w:tcBorders>
          </w:tcPr>
          <w:p>
            <w:pPr>
              <w:spacing w:after="0"/>
              <w:rPr>
                <w:sz w:val="17"/>
                <w:szCs w:val="17"/>
                <w:color w:val="auto"/>
              </w:rPr>
            </w:pPr>
          </w:p>
        </w:tc>
        <w:tc>
          <w:tcPr>
            <w:tcW w:w="1820" w:type="dxa"/>
            <w:vAlign w:val="bottom"/>
            <w:tcBorders>
              <w:top w:val="single" w:sz="8" w:color="0000EE"/>
              <w:bottom w:val="single" w:sz="8" w:color="auto"/>
            </w:tcBorders>
          </w:tcPr>
          <w:p>
            <w:pPr>
              <w:spacing w:after="0"/>
              <w:rPr>
                <w:sz w:val="17"/>
                <w:szCs w:val="17"/>
                <w:color w:val="auto"/>
              </w:rPr>
            </w:pPr>
          </w:p>
        </w:tc>
        <w:tc>
          <w:tcPr>
            <w:tcW w:w="5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5903595</wp:posOffset>
            </wp:positionH>
            <wp:positionV relativeFrom="paragraph">
              <wp:posOffset>-3256915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Cayman Islands Exempted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Number 352066)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660 Madison Ave.,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10065</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EXTRAORDINARY GENERAL MEETING IN LIEU OF ANNUAL GENERAL MEETING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SILVER SPIKE ACQUISITION CORP.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at [•] [a.m./p.m.] Eastern Time on [•], 202[•]</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121"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The extraordinary general meeting (the “Extraordinary General Meeting”) of Silver Spike Acquisition Corp. (“we,” “us,” “our,” “SSPK” or the “Company”) will be held at [•] [a.m./p.m.] Eastern Time on [•], 202[0] at the offices of the Company, located at 660 Madison Ave., Suite 1600, New York, New York 10065, for the sole purpose of considering and voting upon the following proposals:</w:t>
      </w:r>
    </w:p>
    <w:p>
      <w:pPr>
        <w:spacing w:after="0" w:line="79" w:lineRule="exact"/>
        <w:rPr>
          <w:sz w:val="20"/>
          <w:szCs w:val="20"/>
          <w:color w:val="auto"/>
        </w:rPr>
      </w:pPr>
    </w:p>
    <w:p>
      <w:pPr>
        <w:ind w:left="1000" w:right="319" w:hanging="348"/>
        <w:spacing w:after="0" w:line="269"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proposal to amend the Company’s amended and restated memorandum and articles of association (the “Articles”) pursuant to an amendment to the Articles in the form set forth in Annex A to the accompanying Proxy Statement (the “Extension Amendment” and such proposal the “Extension Amendment Proposal”) to extend the date by which, if the Company has not consummated a merger, amalgamation, share exchange, asset acquisition, share purchase, reorganization or similar business combination with one or more businesses (a “business combination”), the Company must (i) cease all operations except for the purpose of winding up; (ii) redeem all of the Company’s Class A ordinary shares included as part of the units sold in the Company’s initial public offering that was consummated on August 12, 2019 (the “IPO”); and (iii) liquidate and dissolve, from February 12, 2021 to July 10, 2021 (the “Extension,” and such later date, the “Extended Date”);</w:t>
      </w:r>
    </w:p>
    <w:p>
      <w:pPr>
        <w:spacing w:after="0" w:line="77" w:lineRule="exact"/>
        <w:rPr>
          <w:rFonts w:ascii="Arial" w:cs="Arial" w:eastAsia="Arial" w:hAnsi="Arial"/>
          <w:sz w:val="17"/>
          <w:szCs w:val="17"/>
          <w:color w:val="auto"/>
        </w:rPr>
      </w:pPr>
    </w:p>
    <w:p>
      <w:pPr>
        <w:jc w:val="both"/>
        <w:ind w:left="1000" w:right="499" w:hanging="348"/>
        <w:spacing w:after="0" w:line="311"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proposal to re-appoint Scott Gordon and William Healy as Class 1 directors, with each such director to serve until the second annual general meeting following this extraordinary general meeting and, in each case, until his successor is appointed and qualified (the “Director Proposal”); and</w:t>
      </w:r>
    </w:p>
    <w:p>
      <w:pPr>
        <w:spacing w:after="0" w:line="40" w:lineRule="exact"/>
        <w:rPr>
          <w:rFonts w:ascii="Arial" w:cs="Arial" w:eastAsia="Arial" w:hAnsi="Arial"/>
          <w:sz w:val="16"/>
          <w:szCs w:val="16"/>
          <w:color w:val="auto"/>
        </w:rPr>
      </w:pPr>
    </w:p>
    <w:p>
      <w:pPr>
        <w:ind w:left="1000" w:right="319" w:hanging="348"/>
        <w:spacing w:after="0" w:line="25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proposal to approve the adjournment of the Extraordinary General Meeting to a later date or dates, if necessary, to permit further solicitation and vote of proxies in the event that there are insufficient votes for, or otherwise in connection with, the approval of the Extension Amendment Proposal or the Director Proposal (the “Adjournment Proposal”). The Adjournment Proposal will only be presented at the Extraordinary General Meeting if there are not sufficient votes to approve the Extension Amendment Proposal.</w:t>
      </w:r>
    </w:p>
    <w:p>
      <w:pPr>
        <w:spacing w:after="0" w:line="84"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The purpose of the Extension Amendment is to allow us more time to complete our proposed business combination (the “WM business combination”) with WM Holding Company, LLC (“WMH”) pursuant to the Agreement and Plan of Merger, dated as of December 10, 2020 (as it may be amended, the “Merger Agreement”), by and among the Company, Silver Spike Merger Sub LLC (“Merger Sub”), WMH and Ghost Media Group, LLC, solely in its capacity as the initial Holder Representative. The Articles provide that we have until February 12, 2021 to complete a business combination. While we have entered into the Merger Agreement, our board currently believes that there may not be sufficient time before February 12, 2021 to hold an extraordinary general meeting for shareholder approval of the WM business combination and to consummate the WM business combination. Accordingly, our board believes that in order to be able to consummate the WM business combination, we may need to obtain the Extension. Therefore, our board has determined that it is in the best interests of our shareholders to extend the date that we have to consummate a business combination to the Extended Date.</w:t>
      </w:r>
    </w:p>
    <w:p>
      <w:pPr>
        <w:spacing w:after="0" w:line="64"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7"/>
          <w:szCs w:val="17"/>
          <w:color w:val="auto"/>
        </w:rPr>
        <w:t>Approval of the Extension Amendment Proposal is a condition to the implementation of the Extension. We will not proceed with the Extension if redemptions of our public shares would cause us to have less than $5,000,001 of net tangible assets following approval of the Extension Amendment Proposal.</w:t>
      </w:r>
    </w:p>
    <w:p>
      <w:pPr>
        <w:spacing w:after="0" w:line="57" w:lineRule="exact"/>
        <w:rPr>
          <w:sz w:val="20"/>
          <w:szCs w:val="20"/>
          <w:color w:val="auto"/>
        </w:rPr>
      </w:pPr>
    </w:p>
    <w:p>
      <w:pPr>
        <w:ind w:left="300" w:right="519" w:firstLine="360"/>
        <w:spacing w:after="0" w:line="301" w:lineRule="auto"/>
        <w:rPr>
          <w:sz w:val="20"/>
          <w:szCs w:val="20"/>
          <w:color w:val="auto"/>
        </w:rPr>
      </w:pPr>
      <w:r>
        <w:rPr>
          <w:rFonts w:ascii="Arial" w:cs="Arial" w:eastAsia="Arial" w:hAnsi="Arial"/>
          <w:sz w:val="16"/>
          <w:szCs w:val="16"/>
          <w:color w:val="auto"/>
        </w:rPr>
        <w:t>In connection with the Extension Amendment Proposal, public shareholders may elect to redeem their public shares at a per-share price, payable in cash, equal to the aggregate amount then on deposit in the trust account (the “Trust Account”), including interest (which interest shall be net of taxes payable), divided by the number of then outstanding Class A ordinary shares included as part of the units sold in the IPO (the “public shares”), and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86" w:lineRule="auto"/>
        <w:rPr>
          <w:sz w:val="20"/>
          <w:szCs w:val="20"/>
          <w:color w:val="auto"/>
        </w:rPr>
      </w:pPr>
      <w:r>
        <w:rPr>
          <w:rFonts w:ascii="Arial" w:cs="Arial" w:eastAsia="Arial" w:hAnsi="Arial"/>
          <w:sz w:val="16"/>
          <w:szCs w:val="16"/>
          <w:color w:val="auto"/>
        </w:rPr>
        <w:t>which election we refer to as the “Election.” An Election can be made regardless of whether such public shareholders vote “FOR” or “AGAINST” the Extension Amendment Proposal and an Election can also be made by public shareholders who do not vote, or do not instruct their broker or bank how to vote, at the Extraordinary General Meeting. Holders of public shares (the “public shareholders”) may make an Election regardless of whether such public shareholders were holders as of the record date. Public shareholders who do not make the Election would be entitled to have their shares redeemed for cash if we have not completed a business combination by the Extended Date. In addition, regardless of whether public shareholders vote “FOR” or “AGAINST” the Extension Amendment Proposal, or do not vote, or do not instruct their broker or bank how to vote, at the Extraordinary General Meeting, if the Extension is implemented and a public shareholder does not make an Election, they will retain the right to vote on the WM business combination in the future and the right to redeem their public shares at a per-share price, payable in cash, equal to the aggregate amount then on deposit in the Trust Account as of two business days prior to the consummation of such business combination, including interest (which interest shall be net of taxes payable), divided by the number of then outstanding public shares, in the event such business combination is completed. We are not asking you to vote on any business combination at this time.</w:t>
      </w:r>
    </w:p>
    <w:p>
      <w:pPr>
        <w:spacing w:after="0" w:line="63"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The withdrawal of funds from the Trust Account in connection with the Election will reduce the amount held in the Trust Account following the Election, and the amount remaining in the Trust Account may be only a small fraction of the approximately $254,115,791 that was in the Trust Account as of September 30, 2020. In such event, we may need to obtain additional funds to complete the WM business combination, including in order to satisfy a condition under the Merger Agreement to WMH’s obligations to consummate the WM business combination that Silver Spike’s Available Cash (as defined in the Merger Agreement) is greater than or equal to $300,000,000, and there can be no assurance that such funds will be available on terms acceptable or at all.</w:t>
      </w:r>
    </w:p>
    <w:p>
      <w:pPr>
        <w:spacing w:after="0" w:line="69" w:lineRule="exact"/>
        <w:rPr>
          <w:sz w:val="20"/>
          <w:szCs w:val="20"/>
          <w:color w:val="auto"/>
        </w:rPr>
      </w:pPr>
    </w:p>
    <w:p>
      <w:pPr>
        <w:ind w:left="300" w:right="379" w:firstLine="360"/>
        <w:spacing w:after="0" w:line="269" w:lineRule="auto"/>
        <w:rPr>
          <w:sz w:val="20"/>
          <w:szCs w:val="20"/>
          <w:color w:val="auto"/>
        </w:rPr>
      </w:pPr>
      <w:r>
        <w:rPr>
          <w:rFonts w:ascii="Arial" w:cs="Arial" w:eastAsia="Arial" w:hAnsi="Arial"/>
          <w:sz w:val="17"/>
          <w:szCs w:val="17"/>
          <w:color w:val="auto"/>
        </w:rPr>
        <w:t>If the Extension Amendment Proposal is not approved and we do not consummate a business combination by February 12, 2021, as contemplated by our IPO prospectus and in accordance with our Articles,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liquidate and dissolve, subject to our obligations under Cayman Islands law to provide for claims of creditors and other requirements of applicable law.</w:t>
      </w:r>
    </w:p>
    <w:p>
      <w:pPr>
        <w:spacing w:after="0" w:line="74" w:lineRule="exact"/>
        <w:rPr>
          <w:sz w:val="20"/>
          <w:szCs w:val="20"/>
          <w:color w:val="auto"/>
        </w:rPr>
      </w:pPr>
    </w:p>
    <w:p>
      <w:pPr>
        <w:ind w:left="300" w:right="439" w:firstLine="360"/>
        <w:spacing w:after="0" w:line="257" w:lineRule="auto"/>
        <w:rPr>
          <w:sz w:val="20"/>
          <w:szCs w:val="20"/>
          <w:color w:val="auto"/>
        </w:rPr>
      </w:pPr>
      <w:r>
        <w:rPr>
          <w:rFonts w:ascii="Arial" w:cs="Arial" w:eastAsia="Arial" w:hAnsi="Arial"/>
          <w:sz w:val="18"/>
          <w:szCs w:val="18"/>
          <w:color w:val="auto"/>
        </w:rPr>
        <w:t>There will be no redemption rights or liquidating distributions with respect to our warrants, which will expire worthless in the event of our winding up. In the event of a liquidation, holders of our Class B ordinary shares (the “founder shares” and, together with the public shares, the “shares” or “ordinary shares”), including Silver Spike Sponsor, LLC (our “Sponsor”), will not receive any monies held in the Trust Account as a result of their ownership of founder shares.</w:t>
      </w:r>
    </w:p>
    <w:p>
      <w:pPr>
        <w:spacing w:after="0" w:line="80"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Based upon the amount in the Trust Account as of September 30, 2020, which was $254,115,791, we anticipate that the per-share price at which public shares will be redeemed from cash held in the Trust Account will be approximately $[•] at the time of the Extraordinary General Meeting. The closing price of the public shares on The Nasdaq Stock Market LLC (“Nasdaq”) on [•], 202[•], the most recent practicable closing price prior to the mailing of this Proxy Statement, was $[•]. We cannot assure shareholders that they will be able to sell their shares in the open market, even if the market price per share is higher than the redemption price stated above, as there may not be sufficient liquidity in our securities when such shareholders wish to sell their shares.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Approval of the Extension Amendment Proposal will constitute consent for us to instruct the trustee to</w:t>
      </w:r>
    </w:p>
    <w:p>
      <w:pPr>
        <w:spacing w:after="0" w:line="35" w:lineRule="exact"/>
        <w:rPr>
          <w:sz w:val="20"/>
          <w:szCs w:val="20"/>
          <w:color w:val="auto"/>
        </w:rPr>
      </w:pPr>
    </w:p>
    <w:p>
      <w:pPr>
        <w:ind w:left="300" w:right="359" w:hanging="8"/>
        <w:spacing w:after="0" w:line="271" w:lineRule="auto"/>
        <w:tabs>
          <w:tab w:leader="none" w:pos="515" w:val="left"/>
        </w:tabs>
        <w:numPr>
          <w:ilvl w:val="0"/>
          <w:numId w:val="5"/>
        </w:numPr>
        <w:rPr>
          <w:rFonts w:ascii="Arial" w:cs="Arial" w:eastAsia="Arial" w:hAnsi="Arial"/>
          <w:sz w:val="17"/>
          <w:szCs w:val="17"/>
          <w:color w:val="auto"/>
        </w:rPr>
      </w:pPr>
      <w:r>
        <w:rPr>
          <w:rFonts w:ascii="Arial" w:cs="Arial" w:eastAsia="Arial" w:hAnsi="Arial"/>
          <w:sz w:val="17"/>
          <w:szCs w:val="17"/>
          <w:color w:val="auto"/>
        </w:rPr>
        <w:t>remove from the Trust Account an amount (the “Withdrawal Amount”) equal to the number of public shares properly redeemed multiplied by the per-share price, equal to the aggregate amount then on deposit in the Trust Account, including interest (which interest shall be net of taxes payable), divided by the number of then outstanding public shares and (ii) deliver to the holders of such redeemed public shares their pro rata portion of the Withdrawal Amount. The remainder of such funds will remain in the Trust Account and will be available for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311" w:lineRule="auto"/>
        <w:rPr>
          <w:sz w:val="20"/>
          <w:szCs w:val="20"/>
          <w:color w:val="auto"/>
        </w:rPr>
      </w:pPr>
      <w:r>
        <w:rPr>
          <w:rFonts w:ascii="Arial" w:cs="Arial" w:eastAsia="Arial" w:hAnsi="Arial"/>
          <w:sz w:val="16"/>
          <w:szCs w:val="16"/>
          <w:color w:val="auto"/>
        </w:rPr>
        <w:t>use by us in connection with consummating the WM business combination on or before the Extended Date. Holders of public shares who do not redeem their public shares now will retain their redemption rights and their ability to vote on any business combination through the Extended Date if the Extension Amendment Proposal is approved.</w:t>
      </w:r>
    </w:p>
    <w:p>
      <w:pPr>
        <w:spacing w:after="0" w:line="41"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Our board has fixed the close of business on [•], 202[•] as the record date for determining the shareholders entitled to receive notice of and vote at the Extraordinary General Meeting and any adjournment thereof. Only holders of record of the ordinary shares on that date are entitled to have their votes counted at the Extraordinary General Meeting or any adjournment thereof. On the record date of the Extraordinary General Meeting, there were 31,250,000 ordinary shares outstanding, of which 25,000,000 were public shares and 6,250,000 were founder shares. The founder shares carry voting rights in connection with the Extension Amendment Proposal and the Adjournment Proposal, and we have been informed by our Sponsor, which holds all 6,250,000 founder shares, that it intends to vote in favor of the Extension Amendment Proposal and the Adjournment Proposal.</w:t>
      </w:r>
    </w:p>
    <w:p>
      <w:pPr>
        <w:spacing w:after="0" w:line="57" w:lineRule="exact"/>
        <w:rPr>
          <w:sz w:val="20"/>
          <w:szCs w:val="20"/>
          <w:color w:val="auto"/>
        </w:rPr>
      </w:pPr>
    </w:p>
    <w:p>
      <w:pPr>
        <w:ind w:left="300" w:right="499" w:firstLine="360"/>
        <w:spacing w:after="0" w:line="273" w:lineRule="auto"/>
        <w:rPr>
          <w:sz w:val="20"/>
          <w:szCs w:val="20"/>
          <w:color w:val="auto"/>
        </w:rPr>
      </w:pPr>
      <w:r>
        <w:rPr>
          <w:rFonts w:ascii="Arial" w:cs="Arial" w:eastAsia="Arial" w:hAnsi="Arial"/>
          <w:sz w:val="17"/>
          <w:szCs w:val="17"/>
          <w:color w:val="auto"/>
        </w:rPr>
        <w:t>Pursuant to our amended and restated articles of association, until the closing of our initial business combination, only holders of our Class B ordinary shares can appoint or remove directors. Therefore, only holders of Class B ordinary shares will vote on the Director Proposal. The appointment of each director nominee requires the affirmative vote (in person or by proxy) of the holders of a majority of the outstanding Class B ordinary shares entitled to vote and actually cast thereon at the Extraordinary General Meeting, and our Sponsor has informed us that it intends to vote in favor of the Director Proposal.</w:t>
      </w:r>
    </w:p>
    <w:p>
      <w:pPr>
        <w:spacing w:after="0" w:line="70" w:lineRule="exact"/>
        <w:rPr>
          <w:sz w:val="20"/>
          <w:szCs w:val="20"/>
          <w:color w:val="auto"/>
        </w:rPr>
      </w:pPr>
    </w:p>
    <w:p>
      <w:pPr>
        <w:ind w:left="300" w:right="939" w:firstLine="360"/>
        <w:spacing w:after="0" w:line="277" w:lineRule="auto"/>
        <w:rPr>
          <w:sz w:val="20"/>
          <w:szCs w:val="20"/>
          <w:color w:val="auto"/>
        </w:rPr>
      </w:pPr>
      <w:r>
        <w:rPr>
          <w:rFonts w:ascii="Arial" w:cs="Arial" w:eastAsia="Arial" w:hAnsi="Arial"/>
          <w:sz w:val="18"/>
          <w:szCs w:val="18"/>
          <w:color w:val="auto"/>
        </w:rPr>
        <w:t>This Proxy Statement contains important information about the Extraordinary General Meeting and the proposals. Please read it carefully and vote your shares.</w:t>
      </w:r>
    </w:p>
    <w:p>
      <w:pPr>
        <w:spacing w:after="0" w:line="62" w:lineRule="exact"/>
        <w:rPr>
          <w:sz w:val="20"/>
          <w:szCs w:val="20"/>
          <w:color w:val="auto"/>
        </w:rPr>
      </w:pPr>
    </w:p>
    <w:p>
      <w:pPr>
        <w:ind w:left="300" w:right="379" w:firstLine="360"/>
        <w:spacing w:after="0" w:line="291" w:lineRule="auto"/>
        <w:rPr>
          <w:sz w:val="20"/>
          <w:szCs w:val="20"/>
          <w:color w:val="auto"/>
        </w:rPr>
      </w:pPr>
      <w:r>
        <w:rPr>
          <w:rFonts w:ascii="Arial" w:cs="Arial" w:eastAsia="Arial" w:hAnsi="Arial"/>
          <w:sz w:val="16"/>
          <w:szCs w:val="16"/>
          <w:color w:val="auto"/>
        </w:rPr>
        <w:t>We will pay for the entire cost of soliciting proxies. We have engaged D.F. King &amp; Co., Inc. (“D.F. King”), to assist in the solicitation of proxies for the Extraordinary General Meeting. We have agreed to pay D.F. King a fee of $10,000. We will also reimburse D.F. King for reasonable out-of-pocket expenses and will indemnify D.F. King and its affiliates against certain claims, liabilities, losses, damages and expenses. In addition to these mailed proxy materials, our directors and officers may also solicit proxies in person, by telephone or by other means of communication. These parties will not be paid any additional compensation for soliciting proxies. We may also reimburse brokerage firms, banks and other agents for the cost of forwarding proxy materials to beneficial owners.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D.F. King &amp; Co., Inc.</w:t>
      </w:r>
    </w:p>
    <w:p>
      <w:pPr>
        <w:jc w:val="center"/>
        <w:ind w:right="19"/>
        <w:spacing w:after="0" w:line="186" w:lineRule="auto"/>
        <w:rPr>
          <w:sz w:val="20"/>
          <w:szCs w:val="20"/>
          <w:color w:val="auto"/>
        </w:rPr>
      </w:pPr>
      <w:r>
        <w:rPr>
          <w:rFonts w:ascii="Arial" w:cs="Arial" w:eastAsia="Arial" w:hAnsi="Arial"/>
          <w:sz w:val="17"/>
          <w:szCs w:val="17"/>
          <w:color w:val="auto"/>
        </w:rPr>
        <w:t>48 Wall Street, 22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Floor</w:t>
      </w:r>
    </w:p>
    <w:p>
      <w:pPr>
        <w:jc w:val="center"/>
        <w:ind w:right="19"/>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Banks and Brokers Call Collect: (212) 269-5550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Others Call Toll-Free: (877) 478-5045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SSPK@dfking.com</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This Proxy Statement is dated [•], 202[•] and is first being mailed to shareholders on or about [•], 202[•].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 EXTRAORDINARY GENERAL MEETING</w:t>
      </w:r>
    </w:p>
    <w:p>
      <w:pPr>
        <w:spacing w:after="0" w:line="121" w:lineRule="exact"/>
        <w:rPr>
          <w:sz w:val="20"/>
          <w:szCs w:val="20"/>
          <w:color w:val="auto"/>
        </w:rPr>
      </w:pPr>
    </w:p>
    <w:p>
      <w:pPr>
        <w:jc w:val="both"/>
        <w:ind w:left="300" w:right="479" w:firstLine="360"/>
        <w:spacing w:after="0" w:line="263" w:lineRule="auto"/>
        <w:rPr>
          <w:sz w:val="20"/>
          <w:szCs w:val="20"/>
          <w:color w:val="auto"/>
        </w:rPr>
      </w:pPr>
      <w:r>
        <w:rPr>
          <w:rFonts w:ascii="Arial" w:cs="Arial" w:eastAsia="Arial" w:hAnsi="Arial"/>
          <w:sz w:val="18"/>
          <w:szCs w:val="18"/>
          <w:color w:val="auto"/>
        </w:rPr>
        <w:t>These Questions and Answers are only summaries of the matters they discuss. They do not contain all of the information that may be important to you. You should read carefully the entire document, including the annexes to this Proxy Statement.</w:t>
      </w:r>
    </w:p>
    <w:p>
      <w:pPr>
        <w:sectPr>
          <w:pgSz w:w="11900" w:h="16838" w:orient="portrait"/>
          <w:cols w:equalWidth="0" w:num="1">
            <w:col w:w="9019"/>
          </w:cols>
          <w:pgMar w:left="1440" w:top="265" w:right="1440" w:bottom="1440" w:gutter="0" w:footer="0" w:header="0"/>
        </w:sectPr>
      </w:pPr>
    </w:p>
    <w:p>
      <w:pPr>
        <w:spacing w:after="0" w:line="278" w:lineRule="exact"/>
        <w:rPr>
          <w:sz w:val="20"/>
          <w:szCs w:val="20"/>
          <w:color w:val="auto"/>
        </w:rPr>
      </w:pPr>
    </w:p>
    <w:p>
      <w:pPr>
        <w:ind w:left="480" w:right="52" w:hanging="179"/>
        <w:spacing w:after="0" w:line="277" w:lineRule="auto"/>
        <w:rPr>
          <w:sz w:val="20"/>
          <w:szCs w:val="20"/>
          <w:color w:val="auto"/>
        </w:rPr>
      </w:pPr>
      <w:r>
        <w:rPr>
          <w:rFonts w:ascii="Arial" w:cs="Arial" w:eastAsia="Arial" w:hAnsi="Arial"/>
          <w:sz w:val="18"/>
          <w:szCs w:val="18"/>
          <w:b w:val="1"/>
          <w:bCs w:val="1"/>
          <w:i w:val="1"/>
          <w:iCs w:val="1"/>
          <w:color w:val="auto"/>
        </w:rPr>
        <w:t>Q. Why am I receiving this Proxy Statement?</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ind w:left="388" w:right="339" w:hanging="388"/>
        <w:spacing w:after="0" w:line="285" w:lineRule="auto"/>
        <w:tabs>
          <w:tab w:leader="none" w:pos="388"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a blank check company incorporated on June 7, 2019 as a Cayman Islands exempted company and formed for the purpose of effecting a merger, amalgamation, share exchange, asset acquisition, share purchase, reorganization or similar business combination with one or more businesses. On August 12, 2019, we consummated our IPO from which we derived gross proceeds of $250,000,000. Like many blank check companies, our amended and restated memorandum and articles of association (“Articles”) provide for the return of the funds held in trust to the holders of ordinary shares sold in our IPO if there is no qualifying business combination(s) consummated on or before a certain date (in our case, February 12, 2021). Our board has determined that it is in the best interests of our shareholders to extend the date that we have to consummate a business combination to the Extended Date in order to allow us more time to complete the business combination.</w:t>
      </w:r>
    </w:p>
    <w:p>
      <w:pPr>
        <w:spacing w:after="0" w:line="200" w:lineRule="exact"/>
        <w:rPr>
          <w:sz w:val="20"/>
          <w:szCs w:val="20"/>
          <w:color w:val="auto"/>
        </w:rPr>
      </w:pPr>
    </w:p>
    <w:p>
      <w:pPr>
        <w:sectPr>
          <w:pgSz w:w="11900" w:h="16838" w:orient="portrait"/>
          <w:cols w:equalWidth="0" w:num="2">
            <w:col w:w="2812" w:space="720"/>
            <w:col w:w="5487"/>
          </w:cols>
          <w:pgMar w:left="1440" w:top="265" w:right="1440" w:bottom="1440" w:gutter="0" w:footer="0" w:header="0"/>
          <w:type w:val="continuous"/>
        </w:sectPr>
      </w:pPr>
    </w:p>
    <w:p>
      <w:pPr>
        <w:spacing w:after="0" w:line="138"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Q. What is being voted on?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388" w:hanging="388"/>
        <w:spacing w:after="0"/>
        <w:tabs>
          <w:tab w:leader="none" w:pos="388"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are being asked to vote on:</w:t>
      </w:r>
    </w:p>
    <w:p>
      <w:pPr>
        <w:spacing w:after="0" w:line="225" w:lineRule="exact"/>
        <w:rPr>
          <w:rFonts w:ascii="Arial" w:cs="Arial" w:eastAsia="Arial" w:hAnsi="Arial"/>
          <w:sz w:val="18"/>
          <w:szCs w:val="18"/>
          <w:color w:val="auto"/>
        </w:rPr>
      </w:pPr>
    </w:p>
    <w:p>
      <w:pPr>
        <w:ind w:left="648" w:right="479" w:hanging="257"/>
        <w:spacing w:after="0" w:line="263" w:lineRule="auto"/>
        <w:tabs>
          <w:tab w:leader="none" w:pos="628" w:val="left"/>
        </w:tabs>
        <w:numPr>
          <w:ilvl w:val="1"/>
          <w:numId w:val="7"/>
        </w:numPr>
        <w:rPr>
          <w:rFonts w:ascii="Arial" w:cs="Arial" w:eastAsia="Arial" w:hAnsi="Arial"/>
          <w:sz w:val="18"/>
          <w:szCs w:val="18"/>
          <w:color w:val="auto"/>
        </w:rPr>
      </w:pPr>
      <w:r>
        <w:rPr>
          <w:rFonts w:ascii="Arial" w:cs="Arial" w:eastAsia="Arial" w:hAnsi="Arial"/>
          <w:sz w:val="18"/>
          <w:szCs w:val="18"/>
          <w:color w:val="auto"/>
        </w:rPr>
        <w:t>a proposal to amend our Articles to extend the date by which we have to consummate a business combination from February 12, 2021 to July 10, 2021;</w:t>
      </w:r>
    </w:p>
    <w:p>
      <w:pPr>
        <w:spacing w:after="0" w:line="183" w:lineRule="exact"/>
        <w:rPr>
          <w:rFonts w:ascii="Arial" w:cs="Arial" w:eastAsia="Arial" w:hAnsi="Arial"/>
          <w:sz w:val="18"/>
          <w:szCs w:val="18"/>
          <w:color w:val="auto"/>
        </w:rPr>
      </w:pPr>
    </w:p>
    <w:p>
      <w:pPr>
        <w:ind w:left="648" w:right="519" w:hanging="257"/>
        <w:spacing w:after="0" w:line="275" w:lineRule="auto"/>
        <w:tabs>
          <w:tab w:leader="none" w:pos="628" w:val="left"/>
        </w:tabs>
        <w:numPr>
          <w:ilvl w:val="1"/>
          <w:numId w:val="7"/>
        </w:numPr>
        <w:rPr>
          <w:rFonts w:ascii="Arial" w:cs="Arial" w:eastAsia="Arial" w:hAnsi="Arial"/>
          <w:sz w:val="17"/>
          <w:szCs w:val="17"/>
          <w:color w:val="auto"/>
        </w:rPr>
      </w:pPr>
      <w:r>
        <w:rPr>
          <w:rFonts w:ascii="Arial" w:cs="Arial" w:eastAsia="Arial" w:hAnsi="Arial"/>
          <w:sz w:val="17"/>
          <w:szCs w:val="17"/>
          <w:color w:val="auto"/>
        </w:rPr>
        <w:t>a proposal to re-appoint Scott Gordon and William Healy as Class 1 directors, with each such director to serve until the second annual general meeting following this extraordinary general meeting and, in each case, until his successor is appointed and qualified; and</w:t>
      </w:r>
    </w:p>
    <w:p>
      <w:pPr>
        <w:spacing w:after="0" w:line="176" w:lineRule="exact"/>
        <w:rPr>
          <w:rFonts w:ascii="Arial" w:cs="Arial" w:eastAsia="Arial" w:hAnsi="Arial"/>
          <w:sz w:val="17"/>
          <w:szCs w:val="17"/>
          <w:color w:val="auto"/>
        </w:rPr>
      </w:pPr>
    </w:p>
    <w:p>
      <w:pPr>
        <w:ind w:left="648" w:right="319" w:hanging="257"/>
        <w:spacing w:after="0" w:line="273" w:lineRule="auto"/>
        <w:tabs>
          <w:tab w:leader="none" w:pos="628" w:val="left"/>
        </w:tabs>
        <w:numPr>
          <w:ilvl w:val="1"/>
          <w:numId w:val="7"/>
        </w:numPr>
        <w:rPr>
          <w:rFonts w:ascii="Arial" w:cs="Arial" w:eastAsia="Arial" w:hAnsi="Arial"/>
          <w:sz w:val="17"/>
          <w:szCs w:val="17"/>
          <w:color w:val="auto"/>
        </w:rPr>
      </w:pPr>
      <w:r>
        <w:rPr>
          <w:rFonts w:ascii="Arial" w:cs="Arial" w:eastAsia="Arial" w:hAnsi="Arial"/>
          <w:sz w:val="17"/>
          <w:szCs w:val="17"/>
          <w:color w:val="auto"/>
        </w:rPr>
        <w:t>a proposal to approve the adjournment of the Extraordinary General Meeting to a later date or dates, if necessary, to permit further solicitation and vote of proxies in the event that there are insufficient votes for, or otherwise in connection with, the approval of the Extension Amendment Proposal or the Director Proposal.</w:t>
      </w:r>
    </w:p>
    <w:p>
      <w:pPr>
        <w:spacing w:after="0" w:line="340" w:lineRule="exact"/>
        <w:rPr>
          <w:sz w:val="20"/>
          <w:szCs w:val="20"/>
          <w:color w:val="auto"/>
        </w:rPr>
      </w:pPr>
    </w:p>
    <w:p>
      <w:pPr>
        <w:ind w:left="388" w:right="339"/>
        <w:spacing w:after="0" w:line="271" w:lineRule="auto"/>
        <w:rPr>
          <w:sz w:val="20"/>
          <w:szCs w:val="20"/>
          <w:color w:val="auto"/>
        </w:rPr>
      </w:pPr>
      <w:r>
        <w:rPr>
          <w:rFonts w:ascii="Arial" w:cs="Arial" w:eastAsia="Arial" w:hAnsi="Arial"/>
          <w:sz w:val="17"/>
          <w:szCs w:val="17"/>
          <w:color w:val="auto"/>
        </w:rPr>
        <w:t>If the Extension Amendment Proposal is approved, the approval of the Extension Amendment Proposal will constitute consent for us to remove the Withdrawal Amount from the Trust Account and deliver to the holders of redeemed public shares their pro rata portion of the Withdrawal Amount. The remainder of the funds will remain in the Trust Account and will be available for our use in connection with consummating a business combination on or before the Extended Date.</w:t>
      </w:r>
    </w:p>
    <w:p>
      <w:pPr>
        <w:spacing w:after="0" w:line="178" w:lineRule="exact"/>
        <w:rPr>
          <w:sz w:val="20"/>
          <w:szCs w:val="20"/>
          <w:color w:val="auto"/>
        </w:rPr>
      </w:pPr>
    </w:p>
    <w:p>
      <w:pPr>
        <w:ind w:left="388" w:right="459"/>
        <w:spacing w:after="0" w:line="259" w:lineRule="auto"/>
        <w:rPr>
          <w:sz w:val="20"/>
          <w:szCs w:val="20"/>
          <w:color w:val="auto"/>
        </w:rPr>
      </w:pPr>
      <w:r>
        <w:rPr>
          <w:rFonts w:ascii="Arial" w:cs="Arial" w:eastAsia="Arial" w:hAnsi="Arial"/>
          <w:sz w:val="18"/>
          <w:szCs w:val="18"/>
          <w:color w:val="auto"/>
        </w:rPr>
        <w:t>We will not proceed with the Extension if redemptions of our public shares would cause us to have less than $5,000,001 of net tangible assets following approval of the Extension Amendment Proposal.</w:t>
      </w:r>
    </w:p>
    <w:p>
      <w:pPr>
        <w:spacing w:after="0" w:line="187" w:lineRule="exact"/>
        <w:rPr>
          <w:sz w:val="20"/>
          <w:szCs w:val="20"/>
          <w:color w:val="auto"/>
        </w:rPr>
      </w:pPr>
    </w:p>
    <w:p>
      <w:pPr>
        <w:ind w:left="928"/>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134620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812" w:space="720"/>
            <w:col w:w="5487"/>
          </w:cols>
          <w:pgMar w:left="1440" w:top="265" w:right="1440" w:bottom="1440" w:gutter="0" w:footer="0" w:header="0"/>
          <w:type w:val="continuous"/>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0" w:hanging="179"/>
        <w:spacing w:after="0" w:line="381" w:lineRule="auto"/>
        <w:rPr>
          <w:sz w:val="20"/>
          <w:szCs w:val="20"/>
          <w:color w:val="auto"/>
        </w:rPr>
      </w:pPr>
      <w:r>
        <w:rPr>
          <w:rFonts w:ascii="Arial" w:cs="Arial" w:eastAsia="Arial" w:hAnsi="Arial"/>
          <w:sz w:val="15"/>
          <w:szCs w:val="15"/>
          <w:b w:val="1"/>
          <w:bCs w:val="1"/>
          <w:i w:val="1"/>
          <w:iCs w:val="1"/>
          <w:color w:val="auto"/>
        </w:rPr>
        <w:t>Q. Why is the Company proposing the Extension Amendment Proposal?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ind w:left="388" w:right="399"/>
        <w:spacing w:after="0" w:line="269" w:lineRule="auto"/>
        <w:rPr>
          <w:sz w:val="20"/>
          <w:szCs w:val="20"/>
          <w:color w:val="auto"/>
        </w:rPr>
      </w:pPr>
      <w:r>
        <w:rPr>
          <w:rFonts w:ascii="Arial" w:cs="Arial" w:eastAsia="Arial" w:hAnsi="Arial"/>
          <w:sz w:val="17"/>
          <w:szCs w:val="17"/>
          <w:color w:val="auto"/>
        </w:rPr>
        <w:t>If the Extension Amendment Proposal is approved and the Extension is implemented, the removal of the Withdrawal Amount from the Trust Account in connection with the Election will reduce the amount held in the Trust Account following the Election. We cannot predict the amount that will remain in the Trust Account if the Extension Amendment Proposal is approved and the amount remaining in the Trust Account may be only a small fraction of the approximately $254,115,791 that was in the Trust Account as of September 30, 2020. In such event, we may need to obtain additional funds to complete the WM business combination.</w:t>
      </w:r>
    </w:p>
    <w:p>
      <w:pPr>
        <w:spacing w:after="0" w:line="182" w:lineRule="exact"/>
        <w:rPr>
          <w:sz w:val="20"/>
          <w:szCs w:val="20"/>
          <w:color w:val="auto"/>
        </w:rPr>
      </w:pPr>
    </w:p>
    <w:p>
      <w:pPr>
        <w:ind w:left="388" w:right="339"/>
        <w:spacing w:after="0" w:line="284" w:lineRule="auto"/>
        <w:rPr>
          <w:sz w:val="20"/>
          <w:szCs w:val="20"/>
          <w:color w:val="auto"/>
        </w:rPr>
      </w:pPr>
      <w:r>
        <w:rPr>
          <w:rFonts w:ascii="Arial" w:cs="Arial" w:eastAsia="Arial" w:hAnsi="Arial"/>
          <w:sz w:val="16"/>
          <w:szCs w:val="16"/>
          <w:color w:val="auto"/>
        </w:rPr>
        <w:t>If the Extension Amendment Proposal is not approved and we do not consummate a business combination by February 12, 2021, as contemplated by our IPO prospectus and in accordance with our Articles,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liquidate and dissolve, subject to our obligations under Cayman Islands law to provide for claims of creditors and other requirements of applicable law. There will be no redemption rights or liquidating distributions with respect to our warrants, which will expire worthless if we fail to complete a business combination by February 12, 2021. In the event of a liquidation, holders of our founder shares, including our Sponsor, will not receive any monies held in the Trust Account as a result of their ownership of the founder shares.</w:t>
      </w:r>
    </w:p>
    <w:p>
      <w:pPr>
        <w:spacing w:after="0" w:line="337" w:lineRule="exact"/>
        <w:rPr>
          <w:sz w:val="20"/>
          <w:szCs w:val="20"/>
          <w:color w:val="auto"/>
        </w:rPr>
      </w:pPr>
    </w:p>
    <w:p>
      <w:pPr>
        <w:ind w:left="388" w:right="419" w:hanging="388"/>
        <w:spacing w:after="0" w:line="275" w:lineRule="auto"/>
        <w:tabs>
          <w:tab w:leader="none" w:pos="388"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Articles provide for the return of the funds held in the Trust Account to the holders of public shares if there is no qualifying business combination(s) consummated on or before February 12, 2021. As we explain below, we may not be able to complete a business combination by that date.</w:t>
      </w:r>
    </w:p>
    <w:p>
      <w:pPr>
        <w:spacing w:after="0" w:line="176" w:lineRule="exact"/>
        <w:rPr>
          <w:rFonts w:ascii="Arial" w:cs="Arial" w:eastAsia="Arial" w:hAnsi="Arial"/>
          <w:sz w:val="17"/>
          <w:szCs w:val="17"/>
          <w:color w:val="auto"/>
        </w:rPr>
      </w:pPr>
    </w:p>
    <w:p>
      <w:pPr>
        <w:ind w:left="388" w:right="539"/>
        <w:spacing w:after="0" w:line="284" w:lineRule="auto"/>
        <w:rPr>
          <w:rFonts w:ascii="Arial" w:cs="Arial" w:eastAsia="Arial" w:hAnsi="Arial"/>
          <w:sz w:val="17"/>
          <w:szCs w:val="17"/>
          <w:color w:val="auto"/>
        </w:rPr>
      </w:pPr>
      <w:r>
        <w:rPr>
          <w:rFonts w:ascii="Arial" w:cs="Arial" w:eastAsia="Arial" w:hAnsi="Arial"/>
          <w:sz w:val="16"/>
          <w:szCs w:val="16"/>
          <w:color w:val="auto"/>
        </w:rPr>
        <w:t>While we have entered into the Merger Agreement, our board currently believes that there may not be sufficient time before February 12, 2021 to hold an extraordinary general meeting for shareholder approval of the WM business combination and to consummate the WM business combination. Accordingly, our board believes that in order to be able to consummate the</w:t>
      </w:r>
    </w:p>
    <w:p>
      <w:pPr>
        <w:spacing w:after="0" w:line="4" w:lineRule="exact"/>
        <w:rPr>
          <w:rFonts w:ascii="Arial" w:cs="Arial" w:eastAsia="Arial" w:hAnsi="Arial"/>
          <w:sz w:val="17"/>
          <w:szCs w:val="17"/>
          <w:color w:val="auto"/>
        </w:rPr>
      </w:pPr>
    </w:p>
    <w:p>
      <w:pPr>
        <w:ind w:left="388"/>
        <w:spacing w:after="0"/>
        <w:rPr>
          <w:rFonts w:ascii="Arial" w:cs="Arial" w:eastAsia="Arial" w:hAnsi="Arial"/>
          <w:sz w:val="17"/>
          <w:szCs w:val="17"/>
          <w:color w:val="auto"/>
        </w:rPr>
      </w:pPr>
      <w:r>
        <w:rPr>
          <w:rFonts w:ascii="Arial" w:cs="Arial" w:eastAsia="Arial" w:hAnsi="Arial"/>
          <w:sz w:val="16"/>
          <w:szCs w:val="16"/>
          <w:color w:val="auto"/>
        </w:rPr>
        <w:t>WM business combination, we may need to obtain the Extension.</w:t>
      </w:r>
    </w:p>
    <w:p>
      <w:pPr>
        <w:spacing w:after="0" w:line="234" w:lineRule="exact"/>
        <w:rPr>
          <w:sz w:val="20"/>
          <w:szCs w:val="20"/>
          <w:color w:val="auto"/>
        </w:rPr>
      </w:pPr>
    </w:p>
    <w:p>
      <w:pPr>
        <w:ind w:left="928"/>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134620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100" w:space="432"/>
            <w:col w:w="5487"/>
          </w:cols>
          <w:pgMar w:left="1440" w:top="265" w:right="1440" w:bottom="1440" w:gutter="0" w:footer="0" w:header="0"/>
        </w:sectPr>
      </w:pPr>
    </w:p>
    <w:bookmarkStart w:id="10" w:name="page11"/>
    <w:bookmarkEnd w:id="10"/>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0" w:hanging="179"/>
        <w:spacing w:after="0" w:line="381" w:lineRule="auto"/>
        <w:rPr>
          <w:sz w:val="20"/>
          <w:szCs w:val="20"/>
          <w:color w:val="auto"/>
        </w:rPr>
      </w:pPr>
      <w:r>
        <w:rPr>
          <w:rFonts w:ascii="Arial" w:cs="Arial" w:eastAsia="Arial" w:hAnsi="Arial"/>
          <w:sz w:val="15"/>
          <w:szCs w:val="15"/>
          <w:b w:val="1"/>
          <w:bCs w:val="1"/>
          <w:i w:val="1"/>
          <w:iCs w:val="1"/>
          <w:color w:val="auto"/>
        </w:rPr>
        <w:t>Q. Why should I vote “FOR” the Extension Amendment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80" w:right="240" w:hanging="179"/>
        <w:spacing w:after="0" w:line="308" w:lineRule="auto"/>
        <w:rPr>
          <w:sz w:val="20"/>
          <w:szCs w:val="20"/>
          <w:color w:val="auto"/>
        </w:rPr>
      </w:pPr>
      <w:r>
        <w:rPr>
          <w:rFonts w:ascii="Arial" w:cs="Arial" w:eastAsia="Arial" w:hAnsi="Arial"/>
          <w:sz w:val="17"/>
          <w:szCs w:val="17"/>
          <w:b w:val="1"/>
          <w:bCs w:val="1"/>
          <w:i w:val="1"/>
          <w:iCs w:val="1"/>
          <w:color w:val="auto"/>
        </w:rPr>
        <w:t>Q. Why should I vote “FOR” the Adjournment Proposal?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ind w:left="388" w:right="419"/>
        <w:spacing w:after="0" w:line="284" w:lineRule="auto"/>
        <w:rPr>
          <w:sz w:val="20"/>
          <w:szCs w:val="20"/>
          <w:color w:val="auto"/>
        </w:rPr>
      </w:pPr>
      <w:r>
        <w:rPr>
          <w:rFonts w:ascii="Arial" w:cs="Arial" w:eastAsia="Arial" w:hAnsi="Arial"/>
          <w:sz w:val="16"/>
          <w:szCs w:val="16"/>
          <w:color w:val="auto"/>
        </w:rPr>
        <w:t>Accordingly, our board is proposing the Extension Amendment Proposal to amend our Articles in the form set forth in Annex A hereto to extend the date by which we must (i) consummate a business combination; or (ii) if we fail to consummate a business combination, (A) cease all operations except for the purpose of winding up, (B) redeem all of the Company’s public shares and</w:t>
      </w:r>
    </w:p>
    <w:p>
      <w:pPr>
        <w:spacing w:after="0" w:line="4" w:lineRule="exact"/>
        <w:rPr>
          <w:sz w:val="20"/>
          <w:szCs w:val="20"/>
          <w:color w:val="auto"/>
        </w:rPr>
      </w:pPr>
    </w:p>
    <w:p>
      <w:pPr>
        <w:ind w:left="668" w:hanging="277"/>
        <w:spacing w:after="0"/>
        <w:tabs>
          <w:tab w:leader="none" w:pos="668" w:val="left"/>
        </w:tabs>
        <w:numPr>
          <w:ilvl w:val="1"/>
          <w:numId w:val="9"/>
        </w:numPr>
        <w:rPr>
          <w:rFonts w:ascii="Arial" w:cs="Arial" w:eastAsia="Arial" w:hAnsi="Arial"/>
          <w:sz w:val="18"/>
          <w:szCs w:val="18"/>
          <w:color w:val="auto"/>
        </w:rPr>
      </w:pPr>
      <w:r>
        <w:rPr>
          <w:rFonts w:ascii="Arial" w:cs="Arial" w:eastAsia="Arial" w:hAnsi="Arial"/>
          <w:sz w:val="18"/>
          <w:szCs w:val="18"/>
          <w:color w:val="auto"/>
        </w:rPr>
        <w:t>liquidate and dissolve.</w:t>
      </w:r>
    </w:p>
    <w:p>
      <w:pPr>
        <w:spacing w:after="0" w:line="372" w:lineRule="exact"/>
        <w:rPr>
          <w:rFonts w:ascii="Arial" w:cs="Arial" w:eastAsia="Arial" w:hAnsi="Arial"/>
          <w:sz w:val="18"/>
          <w:szCs w:val="18"/>
          <w:color w:val="auto"/>
        </w:rPr>
      </w:pPr>
    </w:p>
    <w:p>
      <w:pPr>
        <w:ind w:left="388" w:right="359" w:hanging="388"/>
        <w:spacing w:after="0" w:line="286" w:lineRule="auto"/>
        <w:tabs>
          <w:tab w:leader="none" w:pos="388"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Articles provide that if our shareholders approve an amendment to our Articles (A) to modify the substance or timing of our obligation to redeem 100% of our public shares if we do not complete a business combination before February 12, 2021 or</w:t>
      </w:r>
    </w:p>
    <w:p>
      <w:pPr>
        <w:spacing w:after="0" w:line="1" w:lineRule="exact"/>
        <w:rPr>
          <w:rFonts w:ascii="Arial" w:cs="Arial" w:eastAsia="Arial" w:hAnsi="Arial"/>
          <w:sz w:val="16"/>
          <w:szCs w:val="16"/>
          <w:color w:val="auto"/>
        </w:rPr>
      </w:pPr>
    </w:p>
    <w:p>
      <w:pPr>
        <w:ind w:left="388" w:right="339" w:firstLine="3"/>
        <w:spacing w:after="0" w:line="285" w:lineRule="auto"/>
        <w:tabs>
          <w:tab w:leader="none" w:pos="673" w:val="left"/>
        </w:tabs>
        <w:numPr>
          <w:ilvl w:val="1"/>
          <w:numId w:val="10"/>
        </w:numPr>
        <w:rPr>
          <w:rFonts w:ascii="Arial" w:cs="Arial" w:eastAsia="Arial" w:hAnsi="Arial"/>
          <w:sz w:val="16"/>
          <w:szCs w:val="16"/>
          <w:color w:val="auto"/>
        </w:rPr>
      </w:pPr>
      <w:r>
        <w:rPr>
          <w:rFonts w:ascii="Arial" w:cs="Arial" w:eastAsia="Arial" w:hAnsi="Arial"/>
          <w:sz w:val="16"/>
          <w:szCs w:val="16"/>
          <w:color w:val="auto"/>
        </w:rPr>
        <w:t>with respect to any other provision relating to shareholders’ rights or pre-initial business combination activity, we will provide our public shareholders with the opportunity to redeem all or a portion of their ordinary shares upon such approval at a per-share price, payable in cash, equal to the aggregate amount then on deposit in the Trust Account, including interest (which interest shall be net of taxes payable), divided by the number of then issued and outstanding public shares. We believe that this provision of the Articles was included to protect our shareholders from having to sustain their investments for an unreasonably long period if we failed to find a suitable business combination in the timeframe contemplated by the Articles.</w:t>
      </w:r>
    </w:p>
    <w:p>
      <w:pPr>
        <w:spacing w:after="0" w:line="172" w:lineRule="exact"/>
        <w:rPr>
          <w:sz w:val="20"/>
          <w:szCs w:val="20"/>
          <w:color w:val="auto"/>
        </w:rPr>
      </w:pPr>
    </w:p>
    <w:p>
      <w:pPr>
        <w:ind w:left="388" w:right="439"/>
        <w:spacing w:after="0" w:line="271" w:lineRule="auto"/>
        <w:rPr>
          <w:sz w:val="20"/>
          <w:szCs w:val="20"/>
          <w:color w:val="auto"/>
        </w:rPr>
      </w:pPr>
      <w:r>
        <w:rPr>
          <w:rFonts w:ascii="Arial" w:cs="Arial" w:eastAsia="Arial" w:hAnsi="Arial"/>
          <w:sz w:val="17"/>
          <w:szCs w:val="17"/>
          <w:color w:val="auto"/>
        </w:rPr>
        <w:t>Our board believes, however, that given our expenditure of time, effort and money on the WM business combination, circumstances warrant providing those who believe the</w:t>
      </w:r>
    </w:p>
    <w:p>
      <w:pPr>
        <w:ind w:left="388" w:right="299"/>
        <w:spacing w:after="0" w:line="288" w:lineRule="auto"/>
        <w:rPr>
          <w:sz w:val="20"/>
          <w:szCs w:val="20"/>
          <w:color w:val="auto"/>
        </w:rPr>
      </w:pPr>
      <w:r>
        <w:rPr>
          <w:rFonts w:ascii="Arial" w:cs="Arial" w:eastAsia="Arial" w:hAnsi="Arial"/>
          <w:sz w:val="16"/>
          <w:szCs w:val="16"/>
          <w:color w:val="auto"/>
        </w:rPr>
        <w:t>WM business combination is an attractive investment with an opportunity to consider such transaction, inasmuch as we are also affording shareholders who wish to redeem their public shares the opportunity to do so, as required under the Articles. If you do not elect to redeem your public shares, you will retain the right to vote on any business combination in the future and the right to redeem your public shares in connection with such business combination.</w:t>
      </w:r>
    </w:p>
    <w:p>
      <w:pPr>
        <w:spacing w:after="0" w:line="168" w:lineRule="exact"/>
        <w:rPr>
          <w:sz w:val="20"/>
          <w:szCs w:val="20"/>
          <w:color w:val="auto"/>
        </w:rPr>
      </w:pPr>
    </w:p>
    <w:p>
      <w:pPr>
        <w:ind w:left="388" w:right="579"/>
        <w:spacing w:after="0" w:line="277" w:lineRule="auto"/>
        <w:rPr>
          <w:sz w:val="20"/>
          <w:szCs w:val="20"/>
          <w:color w:val="auto"/>
        </w:rPr>
      </w:pPr>
      <w:r>
        <w:rPr>
          <w:rFonts w:ascii="Arial" w:cs="Arial" w:eastAsia="Arial" w:hAnsi="Arial"/>
          <w:sz w:val="18"/>
          <w:szCs w:val="18"/>
          <w:color w:val="auto"/>
        </w:rPr>
        <w:t>Our board recommends that you vote in favor of the Extension Amendment Proposal.</w:t>
      </w:r>
    </w:p>
    <w:p>
      <w:pPr>
        <w:spacing w:after="0" w:line="332" w:lineRule="exact"/>
        <w:rPr>
          <w:sz w:val="20"/>
          <w:szCs w:val="20"/>
          <w:color w:val="auto"/>
        </w:rPr>
      </w:pPr>
    </w:p>
    <w:p>
      <w:pPr>
        <w:ind w:left="388" w:right="359" w:hanging="388"/>
        <w:spacing w:after="0" w:line="255" w:lineRule="auto"/>
        <w:tabs>
          <w:tab w:leader="none" w:pos="3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Adjournment Proposal is not approved by our shareholders, our board may not be able to adjourn the Extraordinary General Meeting to a later date or dates in the event that there are insufficient votes for, or otherwise in connection with, the approval of the Extension Amendment Proposal or the Director Proposal.</w:t>
      </w:r>
    </w:p>
    <w:p>
      <w:pPr>
        <w:spacing w:after="0" w:line="200" w:lineRule="exact"/>
        <w:rPr>
          <w:sz w:val="20"/>
          <w:szCs w:val="20"/>
          <w:color w:val="auto"/>
        </w:rPr>
      </w:pPr>
    </w:p>
    <w:p>
      <w:pPr>
        <w:sectPr>
          <w:pgSz w:w="11900" w:h="16838" w:orient="portrait"/>
          <w:cols w:equalWidth="0" w:num="2">
            <w:col w:w="2960" w:space="572"/>
            <w:col w:w="5487"/>
          </w:cols>
          <w:pgMar w:left="1440" w:top="265" w:right="1440" w:bottom="1440" w:gutter="0" w:footer="0" w:header="0"/>
        </w:sectPr>
      </w:pPr>
    </w:p>
    <w:p>
      <w:pPr>
        <w:spacing w:after="0" w:line="154" w:lineRule="exact"/>
        <w:rPr>
          <w:sz w:val="20"/>
          <w:szCs w:val="20"/>
          <w:color w:val="auto"/>
        </w:rPr>
      </w:pPr>
    </w:p>
    <w:p>
      <w:pPr>
        <w:ind w:left="480" w:hanging="179"/>
        <w:spacing w:after="0" w:line="277" w:lineRule="auto"/>
        <w:rPr>
          <w:sz w:val="20"/>
          <w:szCs w:val="20"/>
          <w:color w:val="auto"/>
        </w:rPr>
      </w:pPr>
      <w:r>
        <w:rPr>
          <w:rFonts w:ascii="Arial" w:cs="Arial" w:eastAsia="Arial" w:hAnsi="Arial"/>
          <w:sz w:val="18"/>
          <w:szCs w:val="18"/>
          <w:b w:val="1"/>
          <w:bCs w:val="1"/>
          <w:i w:val="1"/>
          <w:iCs w:val="1"/>
          <w:color w:val="auto"/>
        </w:rPr>
        <w:t>Q. How do the Company insiders intend to vote their shares?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388" w:right="399" w:hanging="388"/>
        <w:spacing w:after="0" w:line="263" w:lineRule="auto"/>
        <w:tabs>
          <w:tab w:leader="none" w:pos="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Sponsor owns an aggregate of 6,250,000 founder shares. Such founder shares represent 20% of our issued and outstanding ordinary shares.</w:t>
      </w:r>
    </w:p>
    <w:p>
      <w:pPr>
        <w:spacing w:after="0" w:line="184" w:lineRule="exact"/>
        <w:rPr>
          <w:sz w:val="20"/>
          <w:szCs w:val="20"/>
          <w:color w:val="auto"/>
        </w:rPr>
      </w:pPr>
    </w:p>
    <w:p>
      <w:pPr>
        <w:ind w:left="388" w:right="559"/>
        <w:spacing w:after="0" w:line="342" w:lineRule="auto"/>
        <w:rPr>
          <w:sz w:val="20"/>
          <w:szCs w:val="20"/>
          <w:color w:val="auto"/>
        </w:rPr>
      </w:pPr>
      <w:r>
        <w:rPr>
          <w:rFonts w:ascii="Arial" w:cs="Arial" w:eastAsia="Arial" w:hAnsi="Arial"/>
          <w:sz w:val="16"/>
          <w:szCs w:val="16"/>
          <w:color w:val="auto"/>
        </w:rPr>
        <w:t>The founder shares carry voting rights in connection with the Extension Amendment Proposal, the Director Proposal and the</w:t>
      </w:r>
    </w:p>
    <w:p>
      <w:pPr>
        <w:spacing w:after="0" w:line="124" w:lineRule="exact"/>
        <w:rPr>
          <w:sz w:val="20"/>
          <w:szCs w:val="20"/>
          <w:color w:val="auto"/>
        </w:rPr>
      </w:pPr>
    </w:p>
    <w:p>
      <w:pPr>
        <w:ind w:left="928"/>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134620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260" w:space="272"/>
            <w:col w:w="5487"/>
          </w:cols>
          <w:pgMar w:left="1440" w:top="265" w:right="1440" w:bottom="1440" w:gutter="0" w:footer="0" w:header="0"/>
          <w:type w:val="continuous"/>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ind w:left="300"/>
        <w:spacing w:after="0" w:line="381" w:lineRule="auto"/>
        <w:rPr>
          <w:sz w:val="20"/>
          <w:szCs w:val="20"/>
          <w:color w:val="auto"/>
        </w:rPr>
      </w:pPr>
      <w:r>
        <w:rPr>
          <w:rFonts w:ascii="Arial" w:cs="Arial" w:eastAsia="Arial" w:hAnsi="Arial"/>
          <w:sz w:val="15"/>
          <w:szCs w:val="15"/>
          <w:b w:val="1"/>
          <w:bCs w:val="1"/>
          <w:i w:val="1"/>
          <w:iCs w:val="1"/>
          <w:color w:val="auto"/>
        </w:rPr>
        <w:t>Q. What vote is required to adopt the Extension Amendment Proposal?</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388" w:right="319"/>
        <w:spacing w:after="0" w:line="259" w:lineRule="auto"/>
        <w:rPr>
          <w:sz w:val="20"/>
          <w:szCs w:val="20"/>
          <w:color w:val="auto"/>
        </w:rPr>
      </w:pPr>
      <w:r>
        <w:rPr>
          <w:rFonts w:ascii="Arial" w:cs="Arial" w:eastAsia="Arial" w:hAnsi="Arial"/>
          <w:sz w:val="18"/>
          <w:szCs w:val="18"/>
          <w:color w:val="auto"/>
        </w:rPr>
        <w:t>Adjournment Proposal, and we have been informed by our Sponsor that it intends to vote in favor of the Extension Amendment Proposal, the Director Proposal and the Adjournment Proposal.</w:t>
      </w:r>
    </w:p>
    <w:p>
      <w:pPr>
        <w:spacing w:after="0" w:line="187" w:lineRule="exact"/>
        <w:rPr>
          <w:sz w:val="20"/>
          <w:szCs w:val="20"/>
          <w:color w:val="auto"/>
        </w:rPr>
      </w:pPr>
    </w:p>
    <w:p>
      <w:pPr>
        <w:ind w:left="388" w:right="319"/>
        <w:spacing w:after="0" w:line="284" w:lineRule="auto"/>
        <w:rPr>
          <w:sz w:val="20"/>
          <w:szCs w:val="20"/>
          <w:color w:val="auto"/>
        </w:rPr>
      </w:pPr>
      <w:r>
        <w:rPr>
          <w:rFonts w:ascii="Arial" w:cs="Arial" w:eastAsia="Arial" w:hAnsi="Arial"/>
          <w:sz w:val="16"/>
          <w:szCs w:val="16"/>
          <w:color w:val="auto"/>
        </w:rPr>
        <w:t>In addition, our Sponsor, directors, officers, advisors or any of their affiliates may purchase public shares in privately negotiated transactions or in the open market prior to the Extraordinary General Meeting. None of our Sponsor, directors, officers, advisors or any of their affiliates have current commitments, plans or intentions to engage in such transactions and have not formulated any terms or conditions for any such transactions. None of the funds in the Trust Account will be used to purchase public shares in such transactions. Any such purchases that are completed after the record date for the Extraordinary General Meeting may include an agreement with a selling shareholder that such shareholder, for so long as it remains the record holder of the shares in question, will vote in favor of the Extension Amendment Proposal and/or will not exercise its redemption rights with respect to the shares so purchased. The purpose of such share purchases and other transactions would be to increase the likelihood that the resolutions to be put to the Extraordinary General Meeting are approved by the requisite number of votes. In the event that such purchases do occur, the purchasers may seek to purchase shares from shareholders who would otherwise have voted against the Extension Amendment Proposal and elected to redeem their shares for a portion of the Trust Account. Any such privately negotiated purchases may be effected at purchase prices that are below or in excess of the per-share pro rata portion of the Trust Account. Any public shares held by or subsequently purchased by our affiliates may be voted in favor of the Extension Amendment Proposal.</w:t>
      </w:r>
    </w:p>
    <w:p>
      <w:pPr>
        <w:spacing w:after="0" w:line="332" w:lineRule="exact"/>
        <w:rPr>
          <w:sz w:val="20"/>
          <w:szCs w:val="20"/>
          <w:color w:val="auto"/>
        </w:rPr>
      </w:pPr>
    </w:p>
    <w:p>
      <w:pPr>
        <w:ind w:left="388" w:right="559" w:hanging="388"/>
        <w:spacing w:after="0" w:line="293" w:lineRule="auto"/>
        <w:tabs>
          <w:tab w:leader="none" w:pos="38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approval of the Extension Amendment Proposal requires a special resolution under Cayman Islands law, being the affirmative vote of the holders of at least two-thirds of the then issued and outstanding ordinary shares who, being present and entitled to vote at the Extraordinary General Meeting, actually vote at the Extraordinary General Meeting.</w:t>
      </w:r>
    </w:p>
    <w:p>
      <w:pPr>
        <w:spacing w:after="0" w:line="200" w:lineRule="exact"/>
        <w:rPr>
          <w:sz w:val="20"/>
          <w:szCs w:val="20"/>
          <w:color w:val="auto"/>
        </w:rPr>
      </w:pPr>
    </w:p>
    <w:p>
      <w:pPr>
        <w:sectPr>
          <w:pgSz w:w="11900" w:h="16838" w:orient="portrait"/>
          <w:cols w:equalWidth="0" w:num="2">
            <w:col w:w="3020" w:space="512"/>
            <w:col w:w="5487"/>
          </w:cols>
          <w:pgMar w:left="1440" w:top="265" w:right="1440" w:bottom="1440" w:gutter="0" w:footer="0" w:header="0"/>
        </w:sectPr>
      </w:pPr>
    </w:p>
    <w:p>
      <w:pPr>
        <w:spacing w:after="0" w:line="126" w:lineRule="exact"/>
        <w:rPr>
          <w:sz w:val="20"/>
          <w:szCs w:val="20"/>
          <w:color w:val="auto"/>
        </w:rPr>
      </w:pPr>
    </w:p>
    <w:p>
      <w:pPr>
        <w:ind w:left="480" w:hanging="179"/>
        <w:spacing w:after="0" w:line="277" w:lineRule="auto"/>
        <w:rPr>
          <w:sz w:val="20"/>
          <w:szCs w:val="20"/>
          <w:color w:val="auto"/>
        </w:rPr>
      </w:pPr>
      <w:r>
        <w:rPr>
          <w:rFonts w:ascii="Arial" w:cs="Arial" w:eastAsia="Arial" w:hAnsi="Arial"/>
          <w:sz w:val="18"/>
          <w:szCs w:val="18"/>
          <w:b w:val="1"/>
          <w:bCs w:val="1"/>
          <w:i w:val="1"/>
          <w:iCs w:val="1"/>
          <w:color w:val="auto"/>
        </w:rPr>
        <w:t>Q. What vote is required to adopt the Director Proposal?</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388" w:right="299" w:hanging="388"/>
        <w:spacing w:after="0" w:line="255" w:lineRule="auto"/>
        <w:tabs>
          <w:tab w:leader="none" w:pos="3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appointment of each director nominee requires the affirmative vote (in person or by proxy) of the holders of a majority of the outstanding Class B ordinary shares entitled to vote and actually cast thereon at the Extraordinary General Meeting, and our Sponsor has informed us that it intends to vote in favor of the Director Proposal.</w:t>
      </w:r>
    </w:p>
    <w:p>
      <w:pPr>
        <w:spacing w:after="0" w:line="200" w:lineRule="exact"/>
        <w:rPr>
          <w:sz w:val="20"/>
          <w:szCs w:val="20"/>
          <w:color w:val="auto"/>
        </w:rPr>
      </w:pPr>
    </w:p>
    <w:p>
      <w:pPr>
        <w:sectPr>
          <w:pgSz w:w="11900" w:h="16838" w:orient="portrait"/>
          <w:cols w:equalWidth="0" w:num="2">
            <w:col w:w="3020" w:space="512"/>
            <w:col w:w="5487"/>
          </w:cols>
          <w:pgMar w:left="1440" w:top="265" w:right="1440" w:bottom="1440" w:gutter="0" w:footer="0" w:header="0"/>
          <w:type w:val="continuous"/>
        </w:sectPr>
      </w:pPr>
    </w:p>
    <w:p>
      <w:pPr>
        <w:spacing w:after="0" w:line="154" w:lineRule="exact"/>
        <w:rPr>
          <w:sz w:val="20"/>
          <w:szCs w:val="20"/>
          <w:color w:val="auto"/>
        </w:rPr>
      </w:pPr>
    </w:p>
    <w:p>
      <w:pPr>
        <w:ind w:left="480" w:hanging="179"/>
        <w:spacing w:after="0" w:line="308" w:lineRule="auto"/>
        <w:rPr>
          <w:sz w:val="20"/>
          <w:szCs w:val="20"/>
          <w:color w:val="auto"/>
        </w:rPr>
      </w:pPr>
      <w:r>
        <w:rPr>
          <w:rFonts w:ascii="Arial" w:cs="Arial" w:eastAsia="Arial" w:hAnsi="Arial"/>
          <w:sz w:val="17"/>
          <w:szCs w:val="17"/>
          <w:b w:val="1"/>
          <w:bCs w:val="1"/>
          <w:i w:val="1"/>
          <w:iCs w:val="1"/>
          <w:color w:val="auto"/>
        </w:rPr>
        <w:t>Q. What vote is required to approve the Adjournment Proposal?</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388" w:right="339" w:hanging="388"/>
        <w:spacing w:after="0" w:line="255" w:lineRule="auto"/>
        <w:tabs>
          <w:tab w:leader="none" w:pos="3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approval of the Adjournment Proposal requires an ordinary resolution under Cayman Islands law, being the affirmative vote of the holders of a majority of the then issued and outstanding ordinary shares who, being present and entitled to vote at the Extraordinary General Meeting, vote at the Extraordinary General Meeting.</w:t>
      </w:r>
    </w:p>
    <w:p>
      <w:pPr>
        <w:spacing w:after="0" w:line="200" w:lineRule="exact"/>
        <w:rPr>
          <w:sz w:val="20"/>
          <w:szCs w:val="20"/>
          <w:color w:val="auto"/>
        </w:rPr>
      </w:pPr>
    </w:p>
    <w:p>
      <w:pPr>
        <w:spacing w:after="0" w:line="289" w:lineRule="exact"/>
        <w:rPr>
          <w:sz w:val="20"/>
          <w:szCs w:val="20"/>
          <w:color w:val="auto"/>
        </w:rPr>
      </w:pPr>
    </w:p>
    <w:p>
      <w:pPr>
        <w:ind w:left="928"/>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134620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200" w:space="332"/>
            <w:col w:w="5487"/>
          </w:cols>
          <w:pgMar w:left="1440" w:top="265" w:right="1440" w:bottom="1440" w:gutter="0" w:footer="0" w:header="0"/>
          <w:type w:val="continuous"/>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p>
      <w:pPr>
        <w:ind w:left="480" w:right="120" w:hanging="179"/>
        <w:spacing w:after="0" w:line="381" w:lineRule="auto"/>
        <w:rPr>
          <w:sz w:val="20"/>
          <w:szCs w:val="20"/>
          <w:color w:val="auto"/>
        </w:rPr>
      </w:pPr>
      <w:r>
        <w:rPr>
          <w:rFonts w:ascii="Arial" w:cs="Arial" w:eastAsia="Arial" w:hAnsi="Arial"/>
          <w:sz w:val="15"/>
          <w:szCs w:val="15"/>
          <w:b w:val="1"/>
          <w:bCs w:val="1"/>
          <w:i w:val="1"/>
          <w:iCs w:val="1"/>
          <w:color w:val="auto"/>
        </w:rPr>
        <w:t>Q. What if I do not want to vote “FOR” the Extension Agreement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0" w:hanging="179"/>
        <w:spacing w:after="0" w:line="381" w:lineRule="auto"/>
        <w:rPr>
          <w:sz w:val="20"/>
          <w:szCs w:val="20"/>
          <w:color w:val="auto"/>
        </w:rPr>
      </w:pPr>
      <w:r>
        <w:rPr>
          <w:rFonts w:ascii="Arial" w:cs="Arial" w:eastAsia="Arial" w:hAnsi="Arial"/>
          <w:sz w:val="15"/>
          <w:szCs w:val="15"/>
          <w:b w:val="1"/>
          <w:bCs w:val="1"/>
          <w:i w:val="1"/>
          <w:iCs w:val="1"/>
          <w:color w:val="auto"/>
        </w:rPr>
        <w:t>Q. What happens if the Extension Amendment Proposal is not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0" w:right="200" w:hanging="179"/>
        <w:spacing w:after="0" w:line="263" w:lineRule="auto"/>
        <w:rPr>
          <w:sz w:val="20"/>
          <w:szCs w:val="20"/>
          <w:color w:val="auto"/>
        </w:rPr>
      </w:pPr>
      <w:r>
        <w:rPr>
          <w:rFonts w:ascii="Arial" w:cs="Arial" w:eastAsia="Arial" w:hAnsi="Arial"/>
          <w:sz w:val="18"/>
          <w:szCs w:val="18"/>
          <w:b w:val="1"/>
          <w:bCs w:val="1"/>
          <w:i w:val="1"/>
          <w:iCs w:val="1"/>
          <w:color w:val="auto"/>
        </w:rPr>
        <w:t>Q. If the Extension Amendment Proposal is approved, what happens next?</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388" w:right="339" w:hanging="388"/>
        <w:spacing w:after="0" w:line="254" w:lineRule="auto"/>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you do not want the Extension Amendment Proposal to be approved, you must vote “AGAINST” the proposal. If the Extension Amendment Proposal is approved, and the Extension is implemented, then the Withdrawal Amount will be withdrawn from the Trust Account and paid pro rata to the redeeming holders. You will still be entitled to make the Election if you vote against, abstain or do not vote on the Extension Amendment Proposal.</w:t>
      </w:r>
    </w:p>
    <w:p>
      <w:pPr>
        <w:spacing w:after="0" w:line="191" w:lineRule="exact"/>
        <w:rPr>
          <w:rFonts w:ascii="Arial" w:cs="Arial" w:eastAsia="Arial" w:hAnsi="Arial"/>
          <w:sz w:val="18"/>
          <w:szCs w:val="18"/>
          <w:color w:val="auto"/>
        </w:rPr>
      </w:pPr>
    </w:p>
    <w:p>
      <w:pPr>
        <w:ind w:left="388" w:right="659"/>
        <w:spacing w:after="0" w:line="263" w:lineRule="auto"/>
        <w:rPr>
          <w:rFonts w:ascii="Arial" w:cs="Arial" w:eastAsia="Arial" w:hAnsi="Arial"/>
          <w:sz w:val="18"/>
          <w:szCs w:val="18"/>
          <w:color w:val="auto"/>
        </w:rPr>
      </w:pPr>
      <w:r>
        <w:rPr>
          <w:rFonts w:ascii="Arial" w:cs="Arial" w:eastAsia="Arial" w:hAnsi="Arial"/>
          <w:sz w:val="18"/>
          <w:szCs w:val="18"/>
          <w:color w:val="auto"/>
        </w:rPr>
        <w:t>An abstention or broker non-vote will be counted towards the quorum requirement but will not count as a vote cast at the Extraordinary General Meeting.</w:t>
      </w:r>
    </w:p>
    <w:p>
      <w:pPr>
        <w:spacing w:after="0" w:line="345" w:lineRule="exact"/>
        <w:rPr>
          <w:rFonts w:ascii="Arial" w:cs="Arial" w:eastAsia="Arial" w:hAnsi="Arial"/>
          <w:sz w:val="18"/>
          <w:szCs w:val="18"/>
          <w:color w:val="auto"/>
        </w:rPr>
      </w:pPr>
    </w:p>
    <w:p>
      <w:pPr>
        <w:ind w:left="388" w:right="339" w:hanging="388"/>
        <w:spacing w:after="0" w:line="285" w:lineRule="auto"/>
        <w:tabs>
          <w:tab w:leader="none" w:pos="388"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the Extension Amendment Proposal is not approved and we do not consummate a business combination by February 12, 2021, as contemplated by our IPO prospectus and in accordance with our Articles,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liquidate and dissolve, subject to our obligations under Cayman Islands law to provide for claims of creditors and other requirements of applicable law.</w:t>
      </w:r>
    </w:p>
    <w:p>
      <w:pPr>
        <w:spacing w:after="0" w:line="171" w:lineRule="exact"/>
        <w:rPr>
          <w:rFonts w:ascii="Arial" w:cs="Arial" w:eastAsia="Arial" w:hAnsi="Arial"/>
          <w:sz w:val="16"/>
          <w:szCs w:val="16"/>
          <w:color w:val="auto"/>
        </w:rPr>
      </w:pPr>
    </w:p>
    <w:p>
      <w:pPr>
        <w:ind w:left="388" w:right="379"/>
        <w:spacing w:after="0" w:line="273" w:lineRule="auto"/>
        <w:rPr>
          <w:rFonts w:ascii="Arial" w:cs="Arial" w:eastAsia="Arial" w:hAnsi="Arial"/>
          <w:sz w:val="16"/>
          <w:szCs w:val="16"/>
          <w:color w:val="auto"/>
        </w:rPr>
      </w:pPr>
      <w:r>
        <w:rPr>
          <w:rFonts w:ascii="Arial" w:cs="Arial" w:eastAsia="Arial" w:hAnsi="Arial"/>
          <w:sz w:val="17"/>
          <w:szCs w:val="17"/>
          <w:color w:val="auto"/>
        </w:rPr>
        <w:t>There will be no redemption rights or liquidating distributions with respect to our warrants, which will expire worthless in the event of our winding up. In the event of a liquidation, holders of our founder shares, including our Sponsor, will not receive any monies held in the Trust Account as a result of their ownership of the founder shares.</w:t>
      </w:r>
    </w:p>
    <w:p>
      <w:pPr>
        <w:spacing w:after="0" w:line="339" w:lineRule="exact"/>
        <w:rPr>
          <w:rFonts w:ascii="Arial" w:cs="Arial" w:eastAsia="Arial" w:hAnsi="Arial"/>
          <w:sz w:val="16"/>
          <w:szCs w:val="16"/>
          <w:color w:val="auto"/>
        </w:rPr>
      </w:pPr>
    </w:p>
    <w:p>
      <w:pPr>
        <w:ind w:left="388" w:right="339" w:hanging="388"/>
        <w:spacing w:after="0" w:line="273" w:lineRule="auto"/>
        <w:tabs>
          <w:tab w:leader="none" w:pos="388" w:val="left"/>
        </w:tabs>
        <w:numPr>
          <w:ilvl w:val="0"/>
          <w:numId w:val="18"/>
        </w:numPr>
        <w:rPr>
          <w:rFonts w:ascii="Arial" w:cs="Arial" w:eastAsia="Arial" w:hAnsi="Arial"/>
          <w:sz w:val="17"/>
          <w:szCs w:val="17"/>
          <w:color w:val="auto"/>
        </w:rPr>
      </w:pPr>
      <w:r>
        <w:rPr>
          <w:rFonts w:ascii="Arial" w:cs="Arial" w:eastAsia="Arial" w:hAnsi="Arial"/>
          <w:sz w:val="17"/>
          <w:szCs w:val="17"/>
          <w:color w:val="auto"/>
        </w:rPr>
        <w:t>Upon approval of the Extension Amendment Proposal by the requisite number of votes, the amendments to our Articles that are set forth in Annex A hereto will become effective. We will remain a reporting company under the Securities Exchange Act of 1934 (the “Exchange Act”) and our units, public shares and warrants will remain publicly traded.</w:t>
      </w:r>
    </w:p>
    <w:p>
      <w:pPr>
        <w:spacing w:after="0" w:line="177" w:lineRule="exact"/>
        <w:rPr>
          <w:rFonts w:ascii="Arial" w:cs="Arial" w:eastAsia="Arial" w:hAnsi="Arial"/>
          <w:sz w:val="17"/>
          <w:szCs w:val="17"/>
          <w:color w:val="auto"/>
        </w:rPr>
      </w:pPr>
    </w:p>
    <w:p>
      <w:pPr>
        <w:ind w:left="388" w:right="319"/>
        <w:spacing w:after="0" w:line="275" w:lineRule="auto"/>
        <w:rPr>
          <w:rFonts w:ascii="Arial" w:cs="Arial" w:eastAsia="Arial" w:hAnsi="Arial"/>
          <w:sz w:val="17"/>
          <w:szCs w:val="17"/>
          <w:color w:val="auto"/>
        </w:rPr>
      </w:pPr>
      <w:r>
        <w:rPr>
          <w:rFonts w:ascii="Arial" w:cs="Arial" w:eastAsia="Arial" w:hAnsi="Arial"/>
          <w:sz w:val="17"/>
          <w:szCs w:val="17"/>
          <w:color w:val="auto"/>
        </w:rPr>
        <w:t>If the Extension Amendment Proposal is approved, the removal of the Withdrawal Amount from the Trust Account will reduce the amount remaining in the Trust Account and increase the percentage interest of our ordinary shares held by our Sponsor as a result of its ownership of the founder shares.</w:t>
      </w:r>
    </w:p>
    <w:p>
      <w:pPr>
        <w:spacing w:after="0" w:line="200" w:lineRule="exact"/>
        <w:rPr>
          <w:sz w:val="20"/>
          <w:szCs w:val="20"/>
          <w:color w:val="auto"/>
        </w:rPr>
      </w:pPr>
    </w:p>
    <w:p>
      <w:pPr>
        <w:sectPr>
          <w:pgSz w:w="11900" w:h="16838" w:orient="portrait"/>
          <w:cols w:equalWidth="0" w:num="2">
            <w:col w:w="3340" w:space="192"/>
            <w:col w:w="5487"/>
          </w:cols>
          <w:pgMar w:left="1440" w:top="265" w:right="1440"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80" w:hanging="179"/>
        <w:spacing w:after="0" w:line="340" w:lineRule="auto"/>
        <w:rPr>
          <w:sz w:val="20"/>
          <w:szCs w:val="20"/>
          <w:color w:val="auto"/>
        </w:rPr>
      </w:pPr>
      <w:r>
        <w:rPr>
          <w:rFonts w:ascii="Arial" w:cs="Arial" w:eastAsia="Arial" w:hAnsi="Arial"/>
          <w:sz w:val="15"/>
          <w:szCs w:val="15"/>
          <w:b w:val="1"/>
          <w:bCs w:val="1"/>
          <w:i w:val="1"/>
          <w:iCs w:val="1"/>
          <w:color w:val="auto"/>
        </w:rPr>
        <w:t>Q. What happens to the Company warrants if the Extension Amendment Proposal is not approved?</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388" w:right="419"/>
        <w:spacing w:after="0" w:line="291" w:lineRule="auto"/>
        <w:rPr>
          <w:sz w:val="20"/>
          <w:szCs w:val="20"/>
          <w:color w:val="auto"/>
        </w:rPr>
      </w:pPr>
      <w:r>
        <w:rPr>
          <w:rFonts w:ascii="Arial" w:cs="Arial" w:eastAsia="Arial" w:hAnsi="Arial"/>
          <w:sz w:val="16"/>
          <w:szCs w:val="16"/>
          <w:color w:val="auto"/>
        </w:rPr>
        <w:t>If the Extension Amendment Proposal is approved but we do not complete a business combination by the Extended Date, we will</w:t>
      </w:r>
    </w:p>
    <w:p>
      <w:pPr>
        <w:ind w:left="608" w:hanging="217"/>
        <w:spacing w:after="0"/>
        <w:tabs>
          <w:tab w:leader="none" w:pos="608" w:val="left"/>
        </w:tabs>
        <w:numPr>
          <w:ilvl w:val="0"/>
          <w:numId w:val="19"/>
        </w:numPr>
        <w:rPr>
          <w:rFonts w:ascii="Arial" w:cs="Arial" w:eastAsia="Arial" w:hAnsi="Arial"/>
          <w:sz w:val="17"/>
          <w:szCs w:val="17"/>
          <w:color w:val="auto"/>
        </w:rPr>
      </w:pPr>
      <w:r>
        <w:rPr>
          <w:rFonts w:ascii="Arial" w:cs="Arial" w:eastAsia="Arial" w:hAnsi="Arial"/>
          <w:sz w:val="17"/>
          <w:szCs w:val="17"/>
          <w:color w:val="auto"/>
        </w:rPr>
        <w:t>cease all operations except for the purpose of winding up;</w:t>
      </w:r>
    </w:p>
    <w:p>
      <w:pPr>
        <w:spacing w:after="0" w:line="20" w:lineRule="exact"/>
        <w:rPr>
          <w:rFonts w:ascii="Arial" w:cs="Arial" w:eastAsia="Arial" w:hAnsi="Arial"/>
          <w:sz w:val="17"/>
          <w:szCs w:val="17"/>
          <w:color w:val="auto"/>
        </w:rPr>
      </w:pPr>
    </w:p>
    <w:p>
      <w:pPr>
        <w:ind w:left="388" w:right="339" w:firstLine="3"/>
        <w:spacing w:after="0" w:line="284" w:lineRule="auto"/>
        <w:tabs>
          <w:tab w:leader="none" w:pos="653"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liquidate and dissolve, subject to our obligations under Cayman Islands law to provide for claims of creditors and other requirements of applicable law.</w:t>
      </w:r>
    </w:p>
    <w:p>
      <w:pPr>
        <w:spacing w:after="0" w:line="178" w:lineRule="exact"/>
        <w:rPr>
          <w:sz w:val="20"/>
          <w:szCs w:val="20"/>
          <w:color w:val="auto"/>
        </w:rPr>
      </w:pPr>
    </w:p>
    <w:p>
      <w:pPr>
        <w:ind w:left="388" w:right="379"/>
        <w:spacing w:after="0" w:line="273" w:lineRule="auto"/>
        <w:rPr>
          <w:sz w:val="20"/>
          <w:szCs w:val="20"/>
          <w:color w:val="auto"/>
        </w:rPr>
      </w:pPr>
      <w:r>
        <w:rPr>
          <w:rFonts w:ascii="Arial" w:cs="Arial" w:eastAsia="Arial" w:hAnsi="Arial"/>
          <w:sz w:val="17"/>
          <w:szCs w:val="17"/>
          <w:color w:val="auto"/>
        </w:rPr>
        <w:t>There will be no redemption rights or liquidating distributions with respect to our warrants, which will expire worthless in the event of our winding up. In the event of a liquidation, holders of our founder shares, including our Sponsor, will not receive any monies held in the Trust Account as a result of their ownership of the founder shares.</w:t>
      </w:r>
    </w:p>
    <w:p>
      <w:pPr>
        <w:spacing w:after="0" w:line="340" w:lineRule="exact"/>
        <w:rPr>
          <w:sz w:val="20"/>
          <w:szCs w:val="20"/>
          <w:color w:val="auto"/>
        </w:rPr>
      </w:pPr>
    </w:p>
    <w:p>
      <w:pPr>
        <w:ind w:left="388" w:right="339" w:hanging="388"/>
        <w:spacing w:after="0" w:line="285" w:lineRule="auto"/>
        <w:tabs>
          <w:tab w:leader="none" w:pos="388"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the Extension Amendment Proposal is not approved and we have not consummated a business combination by February 12, 2021,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liquidate and dissolve, subject to our obligations under Cayman Islands law to provide for claims of creditors and other requirements of applicable law.</w:t>
      </w:r>
    </w:p>
    <w:p>
      <w:pPr>
        <w:spacing w:after="0" w:line="173" w:lineRule="exact"/>
        <w:rPr>
          <w:rFonts w:ascii="Arial" w:cs="Arial" w:eastAsia="Arial" w:hAnsi="Arial"/>
          <w:sz w:val="16"/>
          <w:szCs w:val="16"/>
          <w:color w:val="auto"/>
        </w:rPr>
      </w:pPr>
    </w:p>
    <w:p>
      <w:pPr>
        <w:ind w:left="388" w:right="379"/>
        <w:spacing w:after="0" w:line="273" w:lineRule="auto"/>
        <w:rPr>
          <w:rFonts w:ascii="Arial" w:cs="Arial" w:eastAsia="Arial" w:hAnsi="Arial"/>
          <w:sz w:val="16"/>
          <w:szCs w:val="16"/>
          <w:color w:val="auto"/>
        </w:rPr>
      </w:pPr>
      <w:r>
        <w:rPr>
          <w:rFonts w:ascii="Arial" w:cs="Arial" w:eastAsia="Arial" w:hAnsi="Arial"/>
          <w:sz w:val="17"/>
          <w:szCs w:val="17"/>
          <w:color w:val="auto"/>
        </w:rPr>
        <w:t>There will be no redemption rights or liquidating distributions with respect to our warrants, which will expire worthless in the event of our winding up. In the event of a liquidation, holders of our founder shares, including our Sponsor, will not receive any monies held in the Trust Account as a result of their ownership of the founder shares.</w:t>
      </w:r>
    </w:p>
    <w:p>
      <w:pPr>
        <w:spacing w:after="0" w:line="200" w:lineRule="exact"/>
        <w:rPr>
          <w:sz w:val="20"/>
          <w:szCs w:val="20"/>
          <w:color w:val="auto"/>
        </w:rPr>
      </w:pPr>
    </w:p>
    <w:p>
      <w:pPr>
        <w:sectPr>
          <w:pgSz w:w="11900" w:h="16838" w:orient="portrait"/>
          <w:cols w:equalWidth="0" w:num="2">
            <w:col w:w="3300" w:space="232"/>
            <w:col w:w="5487"/>
          </w:cols>
          <w:pgMar w:left="1440" w:top="265" w:right="1440" w:bottom="1440" w:gutter="0" w:footer="0" w:header="0"/>
        </w:sect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p>
      <w:pPr>
        <w:ind w:left="480" w:hanging="179"/>
        <w:spacing w:after="0" w:line="311" w:lineRule="auto"/>
        <w:rPr>
          <w:sz w:val="20"/>
          <w:szCs w:val="20"/>
          <w:color w:val="auto"/>
        </w:rPr>
      </w:pPr>
      <w:r>
        <w:rPr>
          <w:rFonts w:ascii="Arial" w:cs="Arial" w:eastAsia="Arial" w:hAnsi="Arial"/>
          <w:sz w:val="16"/>
          <w:szCs w:val="16"/>
          <w:b w:val="1"/>
          <w:bCs w:val="1"/>
          <w:i w:val="1"/>
          <w:iCs w:val="1"/>
          <w:color w:val="auto"/>
        </w:rPr>
        <w:t>Q. What happens to the Company warrants if the Extension Amendment Proposal is approved?</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388" w:right="339" w:hanging="388"/>
        <w:spacing w:after="0" w:line="269" w:lineRule="auto"/>
        <w:tabs>
          <w:tab w:leader="none" w:pos="388"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the Extension Amendment Proposal is approved, we will retain the blank check company restrictions previously applicable to us and continue to attempt to consummate the WM business combination until the Extended Date. The public warrants will remain outstanding and only become exercisable 30 days after the completion of a business combination, provided we have an effective registration statement under the Securities Act of 1933 (the “Securities Act”) covering the ordinary shares issuable upon exercise of the warrants and a current prospectus relating to them is available (or we permit holders to exercise warrants on a cashless basis).</w:t>
      </w:r>
    </w:p>
    <w:p>
      <w:pPr>
        <w:spacing w:after="0" w:line="200" w:lineRule="exact"/>
        <w:rPr>
          <w:sz w:val="20"/>
          <w:szCs w:val="20"/>
          <w:color w:val="auto"/>
        </w:rPr>
      </w:pPr>
    </w:p>
    <w:p>
      <w:pPr>
        <w:sectPr>
          <w:pgSz w:w="11900" w:h="16838" w:orient="portrait"/>
          <w:cols w:equalWidth="0" w:num="2">
            <w:col w:w="3300" w:space="232"/>
            <w:col w:w="5487"/>
          </w:cols>
          <w:pgMar w:left="1440" w:top="265" w:right="1440" w:bottom="1440" w:gutter="0" w:footer="0" w:header="0"/>
        </w:sectPr>
      </w:pPr>
    </w:p>
    <w:p>
      <w:pPr>
        <w:spacing w:after="0" w:line="144" w:lineRule="exact"/>
        <w:rPr>
          <w:sz w:val="20"/>
          <w:szCs w:val="20"/>
          <w:color w:val="auto"/>
        </w:rPr>
      </w:pPr>
    </w:p>
    <w:p>
      <w:pPr>
        <w:ind w:left="480" w:hanging="179"/>
        <w:spacing w:after="0" w:line="293" w:lineRule="auto"/>
        <w:rPr>
          <w:sz w:val="20"/>
          <w:szCs w:val="20"/>
          <w:color w:val="auto"/>
        </w:rPr>
      </w:pPr>
      <w:r>
        <w:rPr>
          <w:rFonts w:ascii="Arial" w:cs="Arial" w:eastAsia="Arial" w:hAnsi="Arial"/>
          <w:sz w:val="16"/>
          <w:szCs w:val="16"/>
          <w:b w:val="1"/>
          <w:bCs w:val="1"/>
          <w:i w:val="1"/>
          <w:iCs w:val="1"/>
          <w:color w:val="auto"/>
        </w:rPr>
        <w:t>Q. If I do not exercise my redemption rights now, would I still be able to exercise my redemption rights in connection with any future initial business combination, including the WM business combination?</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Q. How do I change my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Q. How are votes counted?</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388" w:right="479" w:hanging="388"/>
        <w:spacing w:after="0" w:line="301" w:lineRule="auto"/>
        <w:tabs>
          <w:tab w:leader="none" w:pos="388"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Unless you elect to redeem your shares at this time, you will be able to exercise redemption rights in respect of any future business combination, including the WM business combination, subject to any limitations set forth in our Articles.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51" w:lineRule="exact"/>
        <w:rPr>
          <w:rFonts w:ascii="Arial" w:cs="Arial" w:eastAsia="Arial" w:hAnsi="Arial"/>
          <w:sz w:val="16"/>
          <w:szCs w:val="16"/>
          <w:color w:val="auto"/>
        </w:rPr>
      </w:pPr>
    </w:p>
    <w:p>
      <w:pPr>
        <w:ind w:left="388" w:right="379" w:hanging="388"/>
        <w:spacing w:after="0" w:line="290" w:lineRule="auto"/>
        <w:tabs>
          <w:tab w:leader="none" w:pos="388" w:val="left"/>
        </w:tabs>
        <w:numPr>
          <w:ilvl w:val="0"/>
          <w:numId w:val="23"/>
        </w:numPr>
        <w:rPr>
          <w:rFonts w:ascii="Arial" w:cs="Arial" w:eastAsia="Arial" w:hAnsi="Arial"/>
          <w:sz w:val="16"/>
          <w:szCs w:val="16"/>
          <w:color w:val="auto"/>
        </w:rPr>
      </w:pPr>
      <w:r>
        <w:rPr>
          <w:rFonts w:ascii="Arial" w:cs="Arial" w:eastAsia="Arial" w:hAnsi="Arial"/>
          <w:sz w:val="16"/>
          <w:szCs w:val="16"/>
          <w:color w:val="auto"/>
        </w:rPr>
        <w:t>You may change your vote by sending a later-dated, signed proxy card to our General Counsel at Silver Spike Acquisition Corp., 660 Madison Ave., Suite 1600, New York, New York 10065, so that it is received prior to the Extraordinary General Meeting or by attending the Extraordinary General Meeting in person and voting. You also may revoke your proxy by sending a notice of revocation to the same address, which must be received by our General Counsel prior to the Extraordinary General Meeting.</w:t>
      </w:r>
    </w:p>
    <w:p>
      <w:pPr>
        <w:spacing w:after="0" w:line="165" w:lineRule="exact"/>
        <w:rPr>
          <w:rFonts w:ascii="Arial" w:cs="Arial" w:eastAsia="Arial" w:hAnsi="Arial"/>
          <w:sz w:val="16"/>
          <w:szCs w:val="16"/>
          <w:color w:val="auto"/>
        </w:rPr>
      </w:pPr>
    </w:p>
    <w:p>
      <w:pPr>
        <w:ind w:left="388" w:right="319"/>
        <w:spacing w:after="0" w:line="287" w:lineRule="auto"/>
        <w:rPr>
          <w:rFonts w:ascii="Arial" w:cs="Arial" w:eastAsia="Arial" w:hAnsi="Arial"/>
          <w:sz w:val="16"/>
          <w:szCs w:val="16"/>
          <w:color w:val="auto"/>
        </w:rPr>
      </w:pPr>
      <w:r>
        <w:rPr>
          <w:rFonts w:ascii="Arial" w:cs="Arial" w:eastAsia="Arial" w:hAnsi="Arial"/>
          <w:sz w:val="16"/>
          <w:szCs w:val="16"/>
          <w:color w:val="auto"/>
        </w:rPr>
        <w:t>Please note, however, that if on the record date your shares were held, not in your name, but rather in an account at a brokerage firm, custodian bank, or other nominee then you are the beneficial owner of shares held in “street name” and these proxy materials are being forwarded to you by that organization. If your shares are held in street name, and you wish to attend the Extraordinary General Meeting and vote at the Extraordinary General Meeting, you must bring to the Extraordinary General Meeting a legal proxy from the broker, bank or other nominee holding your shares, confirming your beneficial ownership of the shares and giving you the right to vote your shares.</w:t>
      </w:r>
    </w:p>
    <w:p>
      <w:pPr>
        <w:spacing w:after="0" w:line="333" w:lineRule="exact"/>
        <w:rPr>
          <w:rFonts w:ascii="Arial" w:cs="Arial" w:eastAsia="Arial" w:hAnsi="Arial"/>
          <w:sz w:val="16"/>
          <w:szCs w:val="16"/>
          <w:color w:val="auto"/>
        </w:rPr>
      </w:pPr>
    </w:p>
    <w:p>
      <w:pPr>
        <w:ind w:left="388" w:right="339" w:hanging="388"/>
        <w:spacing w:after="0" w:line="268" w:lineRule="auto"/>
        <w:tabs>
          <w:tab w:leader="none" w:pos="388" w:val="left"/>
        </w:tabs>
        <w:numPr>
          <w:ilvl w:val="0"/>
          <w:numId w:val="24"/>
        </w:numPr>
        <w:rPr>
          <w:rFonts w:ascii="Arial" w:cs="Arial" w:eastAsia="Arial" w:hAnsi="Arial"/>
          <w:sz w:val="17"/>
          <w:szCs w:val="17"/>
          <w:color w:val="auto"/>
        </w:rPr>
      </w:pPr>
      <w:r>
        <w:rPr>
          <w:rFonts w:ascii="Arial" w:cs="Arial" w:eastAsia="Arial" w:hAnsi="Arial"/>
          <w:sz w:val="17"/>
          <w:szCs w:val="17"/>
          <w:color w:val="auto"/>
        </w:rPr>
        <w:t>Votes will be counted by the inspector of election appointed for the Extraordinary General Meeting, who will separately count “FOR” and “AGAINST” votes, abstentions and broker non-votes. The Extension Amendment Proposal must be approved as a special resolution under Cayman Islands law, being the affirmative vote of the holders of at least two-thirds of the then issued and outstanding ordinary shares who, being present and entitled to vote at the Extraordinary General Meeting, actually vote at the Extraordinary General Meeting. The appointment of each director nominee requires the affirmative vote (in person or by proxy) of the holders of a majority of the outstanding Class B ordinary shares entitled to vote and actually cast thereon at the Extraordinary General Meeting.</w:t>
      </w:r>
    </w:p>
    <w:p>
      <w:pPr>
        <w:spacing w:after="0" w:line="186" w:lineRule="exact"/>
        <w:rPr>
          <w:sz w:val="20"/>
          <w:szCs w:val="20"/>
          <w:color w:val="auto"/>
        </w:rPr>
      </w:pPr>
    </w:p>
    <w:p>
      <w:pPr>
        <w:ind w:left="888"/>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134620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160" w:space="372"/>
            <w:col w:w="5487"/>
          </w:cols>
          <w:pgMar w:left="1440" w:top="265" w:right="1440" w:bottom="1440" w:gutter="0" w:footer="0" w:header="0"/>
          <w:type w:val="continuous"/>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p>
      <w:pPr>
        <w:ind w:left="3920" w:right="319"/>
        <w:spacing w:after="0" w:line="285" w:lineRule="auto"/>
        <w:rPr>
          <w:sz w:val="20"/>
          <w:szCs w:val="20"/>
          <w:color w:val="auto"/>
        </w:rPr>
      </w:pPr>
      <w:r>
        <w:rPr>
          <w:rFonts w:ascii="Arial" w:cs="Arial" w:eastAsia="Arial" w:hAnsi="Arial"/>
          <w:sz w:val="16"/>
          <w:szCs w:val="16"/>
          <w:color w:val="auto"/>
        </w:rPr>
        <w:t>Accordingly, a Company shareholder’s failure to vote by proxy or to vote in person at the Extraordinary General Meeting means that such shareholder’s ordinary shares will not count towards the quorum requirement for the Extraordinary General Meeting and will not be voted. An abstention or broker non-vote will be counted towards the quorum requirement but will not count as a vote cast at the Extraordinary General Meeting. The approval of the Adjournment Proposal requires the affirmative vote of holders of a majority of the ordinary shares represented in person or by proxy and entitled to vote thereon at the Extraordinary General Meeting. Accordingly, a Company shareholder’s failure to vote by proxy or to vote in person at the Extraordinary General Meeting will not be counted towards the number of ordinary shares required to validly establish a quorum, and if a valid quorum is otherwise established, it will have no effect on the outcome of any vote on the Adjournment Proposal. An abstention or broker non-vote will be counted towards the quorum requirement but will not count as a vote cast at the Extraordinary General Meeting.</w:t>
      </w:r>
    </w:p>
    <w:p>
      <w:pPr>
        <w:sectPr>
          <w:pgSz w:w="11900" w:h="16838" w:orient="portrait"/>
          <w:cols w:equalWidth="0" w:num="1">
            <w:col w:w="9019"/>
          </w:cols>
          <w:pgMar w:left="1440" w:top="265" w:right="1440" w:bottom="1440" w:gutter="0" w:footer="0" w:header="0"/>
        </w:sectPr>
      </w:pPr>
    </w:p>
    <w:p>
      <w:pPr>
        <w:spacing w:after="0" w:line="333" w:lineRule="exact"/>
        <w:rPr>
          <w:sz w:val="20"/>
          <w:szCs w:val="20"/>
          <w:color w:val="auto"/>
        </w:rPr>
      </w:pPr>
    </w:p>
    <w:p>
      <w:pPr>
        <w:ind w:left="480" w:hanging="179"/>
        <w:spacing w:after="0" w:line="286" w:lineRule="auto"/>
        <w:rPr>
          <w:sz w:val="20"/>
          <w:szCs w:val="20"/>
          <w:color w:val="auto"/>
        </w:rPr>
      </w:pPr>
      <w:r>
        <w:rPr>
          <w:rFonts w:ascii="Arial" w:cs="Arial" w:eastAsia="Arial" w:hAnsi="Arial"/>
          <w:sz w:val="17"/>
          <w:szCs w:val="17"/>
          <w:b w:val="1"/>
          <w:bCs w:val="1"/>
          <w:i w:val="1"/>
          <w:iCs w:val="1"/>
          <w:color w:val="auto"/>
        </w:rPr>
        <w:t>Q. If my shares are held in “street name,” will my broker automatically vote them for me?</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388" w:right="299" w:hanging="388"/>
        <w:spacing w:after="0" w:line="286" w:lineRule="auto"/>
        <w:tabs>
          <w:tab w:leader="none" w:pos="388"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Your bank, broker, or other nominee can vote your shares only if you provide instructions on how to vote. You should instruct your broker to vote your shares in accordance with directions you provide. If your shares are held by your broker as your nominee, which we refer to as being held in “street name,” you may need to obtain a proxy form from the institution that holds your shares and follow the instructions included on that form regarding how to instruct your broker to vote your shares.</w:t>
      </w:r>
    </w:p>
    <w:p>
      <w:pPr>
        <w:spacing w:after="0" w:line="200" w:lineRule="exact"/>
        <w:rPr>
          <w:sz w:val="20"/>
          <w:szCs w:val="20"/>
          <w:color w:val="auto"/>
        </w:rPr>
      </w:pPr>
    </w:p>
    <w:p>
      <w:pPr>
        <w:sectPr>
          <w:pgSz w:w="11900" w:h="16838" w:orient="portrait"/>
          <w:cols w:equalWidth="0" w:num="2">
            <w:col w:w="3180" w:space="352"/>
            <w:col w:w="5487"/>
          </w:cols>
          <w:pgMar w:left="1440" w:top="265" w:right="1440" w:bottom="1440" w:gutter="0" w:footer="0" w:header="0"/>
          <w:type w:val="continuous"/>
        </w:sectPr>
      </w:pPr>
    </w:p>
    <w:p>
      <w:pPr>
        <w:spacing w:after="0" w:line="13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Q. What is a Quorum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80" w:hanging="179"/>
        <w:spacing w:after="0" w:line="308" w:lineRule="auto"/>
        <w:rPr>
          <w:sz w:val="20"/>
          <w:szCs w:val="20"/>
          <w:color w:val="auto"/>
        </w:rPr>
      </w:pPr>
      <w:r>
        <w:rPr>
          <w:rFonts w:ascii="Arial" w:cs="Arial" w:eastAsia="Arial" w:hAnsi="Arial"/>
          <w:sz w:val="17"/>
          <w:szCs w:val="17"/>
          <w:b w:val="1"/>
          <w:bCs w:val="1"/>
          <w:i w:val="1"/>
          <w:iCs w:val="1"/>
          <w:color w:val="auto"/>
        </w:rPr>
        <w:t>Q. Who can vote at the Extraordinary General Meeting?</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left="388" w:right="359" w:hanging="388"/>
        <w:spacing w:after="0" w:line="271" w:lineRule="auto"/>
        <w:tabs>
          <w:tab w:leader="none" w:pos="388"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quorum of our shareholders is necessary to hold a valid Extraordinary General Meeting. A quorum will be present at the Extraordinary General Meeting if the holders of a majority of the issued and outstanding ordinary shares entitled to vote at the Extraordinary General Meeting are represented in person or by proxy. As of the record date for the Extraordinary General Meeting, the holders of at least 15,625,000 ordinary shares would be required to achieve a quorum.</w:t>
      </w:r>
    </w:p>
    <w:p>
      <w:pPr>
        <w:spacing w:after="0" w:line="178" w:lineRule="exact"/>
        <w:rPr>
          <w:rFonts w:ascii="Arial" w:cs="Arial" w:eastAsia="Arial" w:hAnsi="Arial"/>
          <w:sz w:val="17"/>
          <w:szCs w:val="17"/>
          <w:color w:val="auto"/>
        </w:rPr>
      </w:pPr>
    </w:p>
    <w:p>
      <w:pPr>
        <w:ind w:left="388" w:right="339"/>
        <w:spacing w:after="0" w:line="290" w:lineRule="auto"/>
        <w:rPr>
          <w:rFonts w:ascii="Arial" w:cs="Arial" w:eastAsia="Arial" w:hAnsi="Arial"/>
          <w:sz w:val="17"/>
          <w:szCs w:val="17"/>
          <w:color w:val="auto"/>
        </w:rPr>
      </w:pPr>
      <w:r>
        <w:rPr>
          <w:rFonts w:ascii="Arial" w:cs="Arial" w:eastAsia="Arial" w:hAnsi="Arial"/>
          <w:sz w:val="16"/>
          <w:szCs w:val="16"/>
          <w:color w:val="auto"/>
        </w:rPr>
        <w:t>Your shares will be counted towards the quorum only if you submit a valid proxy (or one is submitted on your behalf by your broker, bank or other nominee) or if you vote in person at the Extraordinary General Meeting. An abstention or broker non-vote will be counted towards the quorum requirement but will not count as a vote cast at the Extraordinary General Meeting. In the absence of a quorum, the chairman of the meeting has power to adjourn the Extraordinary General Meeting.</w:t>
      </w:r>
    </w:p>
    <w:p>
      <w:pPr>
        <w:spacing w:after="0" w:line="327" w:lineRule="exact"/>
        <w:rPr>
          <w:rFonts w:ascii="Arial" w:cs="Arial" w:eastAsia="Arial" w:hAnsi="Arial"/>
          <w:sz w:val="17"/>
          <w:szCs w:val="17"/>
          <w:color w:val="auto"/>
        </w:rPr>
      </w:pPr>
    </w:p>
    <w:p>
      <w:pPr>
        <w:ind w:left="388" w:right="559" w:hanging="388"/>
        <w:spacing w:after="0" w:line="311" w:lineRule="auto"/>
        <w:tabs>
          <w:tab w:leader="none" w:pos="388"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Only holders of record of our ordinary shares at the close of business on [•], 202[•] are entitled to have their vote counted at the Extraordinary General Meeting and any adjournments or</w:t>
      </w:r>
    </w:p>
    <w:p>
      <w:pPr>
        <w:spacing w:after="0" w:line="149" w:lineRule="exact"/>
        <w:rPr>
          <w:sz w:val="20"/>
          <w:szCs w:val="20"/>
          <w:color w:val="auto"/>
        </w:rPr>
      </w:pPr>
    </w:p>
    <w:p>
      <w:pPr>
        <w:ind w:left="888"/>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134620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080" w:space="452"/>
            <w:col w:w="5487"/>
          </w:cols>
          <w:pgMar w:left="1440" w:top="265" w:right="1440" w:bottom="1440" w:gutter="0" w:footer="0" w:header="0"/>
          <w:type w:val="continuous"/>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80" w:hanging="179"/>
        <w:spacing w:after="0" w:line="259" w:lineRule="auto"/>
        <w:rPr>
          <w:sz w:val="20"/>
          <w:szCs w:val="20"/>
          <w:color w:val="auto"/>
        </w:rPr>
      </w:pPr>
      <w:r>
        <w:rPr>
          <w:rFonts w:ascii="Arial" w:cs="Arial" w:eastAsia="Arial" w:hAnsi="Arial"/>
          <w:sz w:val="18"/>
          <w:szCs w:val="18"/>
          <w:b w:val="1"/>
          <w:bCs w:val="1"/>
          <w:i w:val="1"/>
          <w:iCs w:val="1"/>
          <w:color w:val="auto"/>
        </w:rPr>
        <w:t>Q. Does the board recommend voting for the approval of the Extension Amendment Proposal and the Adjournment Proposal?</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388" w:right="439"/>
        <w:spacing w:after="0" w:line="277" w:lineRule="auto"/>
        <w:rPr>
          <w:sz w:val="20"/>
          <w:szCs w:val="20"/>
          <w:color w:val="auto"/>
        </w:rPr>
      </w:pPr>
      <w:r>
        <w:rPr>
          <w:rFonts w:ascii="Arial" w:cs="Arial" w:eastAsia="Arial" w:hAnsi="Arial"/>
          <w:sz w:val="18"/>
          <w:szCs w:val="18"/>
          <w:color w:val="auto"/>
        </w:rPr>
        <w:t>postponements thereof. On this record date, 31,250,000 ordinary shares were outstanding and entitled to vote.</w:t>
      </w:r>
    </w:p>
    <w:p>
      <w:pPr>
        <w:spacing w:after="0" w:line="170" w:lineRule="exact"/>
        <w:rPr>
          <w:sz w:val="20"/>
          <w:szCs w:val="20"/>
          <w:color w:val="auto"/>
        </w:rPr>
      </w:pPr>
    </w:p>
    <w:p>
      <w:pPr>
        <w:ind w:left="388" w:right="319"/>
        <w:spacing w:after="0" w:line="290" w:lineRule="auto"/>
        <w:rPr>
          <w:sz w:val="20"/>
          <w:szCs w:val="20"/>
          <w:color w:val="auto"/>
        </w:rPr>
      </w:pPr>
      <w:r>
        <w:rPr>
          <w:rFonts w:ascii="Arial" w:cs="Arial" w:eastAsia="Arial" w:hAnsi="Arial"/>
          <w:sz w:val="16"/>
          <w:szCs w:val="16"/>
          <w:i w:val="1"/>
          <w:iCs w:val="1"/>
          <w:color w:val="auto"/>
        </w:rPr>
        <w:t>Shareholder of Record: Shares Registered in Your Name</w:t>
      </w:r>
      <w:r>
        <w:rPr>
          <w:rFonts w:ascii="Arial" w:cs="Arial" w:eastAsia="Arial" w:hAnsi="Arial"/>
          <w:sz w:val="16"/>
          <w:szCs w:val="16"/>
          <w:color w:val="auto"/>
        </w:rPr>
        <w:t>. If on the</w:t>
      </w:r>
      <w:r>
        <w:rPr>
          <w:rFonts w:ascii="Arial" w:cs="Arial" w:eastAsia="Arial" w:hAnsi="Arial"/>
          <w:sz w:val="16"/>
          <w:szCs w:val="16"/>
          <w:i w:val="1"/>
          <w:iCs w:val="1"/>
          <w:color w:val="auto"/>
        </w:rPr>
        <w:t xml:space="preserve"> </w:t>
      </w:r>
      <w:r>
        <w:rPr>
          <w:rFonts w:ascii="Arial" w:cs="Arial" w:eastAsia="Arial" w:hAnsi="Arial"/>
          <w:sz w:val="16"/>
          <w:szCs w:val="16"/>
          <w:color w:val="auto"/>
        </w:rPr>
        <w:t>record date your shares were registered directly in your name with our transfer agent, Continental Stock Transfer &amp; Trust Company, then you are a shareholder of record. As a shareholder of record, you may vote in person at the Extraordinary General Meeting or vote by proxy. Whether or not you plan to attend the Extraordinary General Meeting in person, we urge you to fill out and return the enclosed proxy card to ensure your vote is counted.</w:t>
      </w:r>
    </w:p>
    <w:p>
      <w:pPr>
        <w:spacing w:after="0" w:line="165" w:lineRule="exact"/>
        <w:rPr>
          <w:sz w:val="20"/>
          <w:szCs w:val="20"/>
          <w:color w:val="auto"/>
        </w:rPr>
      </w:pPr>
    </w:p>
    <w:p>
      <w:pPr>
        <w:ind w:left="388" w:right="359"/>
        <w:spacing w:after="0" w:line="287" w:lineRule="auto"/>
        <w:rPr>
          <w:sz w:val="20"/>
          <w:szCs w:val="20"/>
          <w:color w:val="auto"/>
        </w:rPr>
      </w:pPr>
      <w:r>
        <w:rPr>
          <w:rFonts w:ascii="Arial" w:cs="Arial" w:eastAsia="Arial" w:hAnsi="Arial"/>
          <w:sz w:val="16"/>
          <w:szCs w:val="16"/>
          <w:i w:val="1"/>
          <w:iCs w:val="1"/>
          <w:color w:val="auto"/>
        </w:rPr>
        <w:t>Beneficial Owner</w:t>
      </w:r>
      <w:r>
        <w:rPr>
          <w:rFonts w:ascii="Arial" w:cs="Arial" w:eastAsia="Arial" w:hAnsi="Arial"/>
          <w:sz w:val="16"/>
          <w:szCs w:val="16"/>
          <w:color w:val="auto"/>
        </w:rPr>
        <w:t>:</w:t>
      </w:r>
      <w:r>
        <w:rPr>
          <w:rFonts w:ascii="Arial" w:cs="Arial" w:eastAsia="Arial" w:hAnsi="Arial"/>
          <w:sz w:val="16"/>
          <w:szCs w:val="16"/>
          <w:i w:val="1"/>
          <w:iCs w:val="1"/>
          <w:color w:val="auto"/>
        </w:rPr>
        <w:t xml:space="preserve"> Shares Registered in the Name of a Broker or Bank</w:t>
      </w:r>
      <w:r>
        <w:rPr>
          <w:rFonts w:ascii="Arial" w:cs="Arial" w:eastAsia="Arial" w:hAnsi="Arial"/>
          <w:sz w:val="16"/>
          <w:szCs w:val="16"/>
          <w:color w:val="auto"/>
        </w:rPr>
        <w:t>. If on the record date your shares were held, not in your</w:t>
      </w:r>
      <w:r>
        <w:rPr>
          <w:rFonts w:ascii="Arial" w:cs="Arial" w:eastAsia="Arial" w:hAnsi="Arial"/>
          <w:sz w:val="16"/>
          <w:szCs w:val="16"/>
          <w:i w:val="1"/>
          <w:iCs w:val="1"/>
          <w:color w:val="auto"/>
        </w:rPr>
        <w:t xml:space="preserve"> </w:t>
      </w:r>
      <w:r>
        <w:rPr>
          <w:rFonts w:ascii="Arial" w:cs="Arial" w:eastAsia="Arial" w:hAnsi="Arial"/>
          <w:sz w:val="16"/>
          <w:szCs w:val="16"/>
          <w:color w:val="auto"/>
        </w:rPr>
        <w:t>name, but 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Extraordinary General Meeting. However, since you are not the shareholder of record, you may not vote your shares in person at the Extraordinary General Meeting unless you request and obtain a valid proxy from your broker or other agent.</w:t>
      </w:r>
    </w:p>
    <w:p>
      <w:pPr>
        <w:spacing w:after="0" w:line="330" w:lineRule="exact"/>
        <w:rPr>
          <w:sz w:val="20"/>
          <w:szCs w:val="20"/>
          <w:color w:val="auto"/>
        </w:rPr>
      </w:pPr>
    </w:p>
    <w:p>
      <w:pPr>
        <w:ind w:left="388" w:right="319" w:hanging="388"/>
        <w:spacing w:after="0" w:line="272" w:lineRule="auto"/>
        <w:tabs>
          <w:tab w:leader="none" w:pos="388" w:val="left"/>
        </w:tabs>
        <w:numPr>
          <w:ilvl w:val="0"/>
          <w:numId w:val="28"/>
        </w:numPr>
        <w:rPr>
          <w:rFonts w:ascii="Arial" w:cs="Arial" w:eastAsia="Arial" w:hAnsi="Arial"/>
          <w:sz w:val="17"/>
          <w:szCs w:val="17"/>
          <w:color w:val="auto"/>
        </w:rPr>
      </w:pPr>
      <w:r>
        <w:rPr>
          <w:rFonts w:ascii="Arial" w:cs="Arial" w:eastAsia="Arial" w:hAnsi="Arial"/>
          <w:sz w:val="17"/>
          <w:szCs w:val="17"/>
          <w:color w:val="auto"/>
        </w:rPr>
        <w:t>Yes. After careful consideration of the terms and conditions of these proposals, our board has determined that the Extension Amendment, the Director Proposal and, if presented, the Adjournment Proposal are in the best interests of the Company and its shareholders. The board recommends that our shareholders vote “FOR” the Extension Amendment Proposal, the Director Proposal and the Adjournment Proposal.</w:t>
      </w:r>
    </w:p>
    <w:p>
      <w:pPr>
        <w:spacing w:after="0" w:line="200" w:lineRule="exact"/>
        <w:rPr>
          <w:sz w:val="20"/>
          <w:szCs w:val="20"/>
          <w:color w:val="auto"/>
        </w:rPr>
      </w:pPr>
    </w:p>
    <w:p>
      <w:pPr>
        <w:sectPr>
          <w:pgSz w:w="11900" w:h="16838" w:orient="portrait"/>
          <w:cols w:equalWidth="0" w:num="2">
            <w:col w:w="3320" w:space="212"/>
            <w:col w:w="5487"/>
          </w:cols>
          <w:pgMar w:left="1440" w:top="265" w:right="1440" w:bottom="1440" w:gutter="0" w:footer="0" w:header="0"/>
        </w:sectPr>
      </w:pPr>
    </w:p>
    <w:p>
      <w:pPr>
        <w:spacing w:after="0" w:line="139" w:lineRule="exact"/>
        <w:rPr>
          <w:sz w:val="20"/>
          <w:szCs w:val="20"/>
          <w:color w:val="auto"/>
        </w:rPr>
      </w:pPr>
    </w:p>
    <w:p>
      <w:pPr>
        <w:ind w:left="480" w:hanging="179"/>
        <w:spacing w:after="0" w:line="311" w:lineRule="auto"/>
        <w:rPr>
          <w:sz w:val="20"/>
          <w:szCs w:val="20"/>
          <w:color w:val="auto"/>
        </w:rPr>
      </w:pPr>
      <w:r>
        <w:rPr>
          <w:rFonts w:ascii="Arial" w:cs="Arial" w:eastAsia="Arial" w:hAnsi="Arial"/>
          <w:sz w:val="16"/>
          <w:szCs w:val="16"/>
          <w:b w:val="1"/>
          <w:bCs w:val="1"/>
          <w:i w:val="1"/>
          <w:iCs w:val="1"/>
          <w:color w:val="auto"/>
        </w:rPr>
        <w:t>Q. What interests do the Company’s Sponsor, directors and officers have in the approval of the proposals?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388" w:right="339" w:hanging="388"/>
        <w:spacing w:after="0" w:line="287" w:lineRule="auto"/>
        <w:tabs>
          <w:tab w:leader="none" w:pos="388"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Sponsor, directors and officers have interests in the proposals that may be different from, or in addition to, your interests as a shareholder. These interests include (i) in the case of the Sponsor, ownership of founder shares and warrants that may become exercisable in the future, (ii) in the event any funds are loaned to fund working capital deficiencies or finance transaction costs in connection with the WM business combination, loans by them, a portion of which may not be repaid in the event of our winding up and (iii) the possibility of future compensatory arrangements. See the section entitled “The Extension Amendment Proposal — Interests of our Sponsor, Directors and Officers.”</w:t>
      </w:r>
    </w:p>
    <w:p>
      <w:pPr>
        <w:spacing w:after="0" w:line="200" w:lineRule="exact"/>
        <w:rPr>
          <w:sz w:val="20"/>
          <w:szCs w:val="20"/>
          <w:color w:val="auto"/>
        </w:rPr>
      </w:pPr>
    </w:p>
    <w:p>
      <w:pPr>
        <w:sectPr>
          <w:pgSz w:w="11900" w:h="16838" w:orient="portrait"/>
          <w:cols w:equalWidth="0" w:num="2">
            <w:col w:w="3320" w:space="212"/>
            <w:col w:w="5487"/>
          </w:cols>
          <w:pgMar w:left="1440" w:top="265" w:right="1440" w:bottom="1440" w:gutter="0" w:footer="0" w:header="0"/>
          <w:type w:val="continuous"/>
        </w:sectPr>
      </w:pPr>
    </w:p>
    <w:p>
      <w:pPr>
        <w:spacing w:after="0" w:line="134" w:lineRule="exact"/>
        <w:rPr>
          <w:sz w:val="20"/>
          <w:szCs w:val="20"/>
          <w:color w:val="auto"/>
        </w:rPr>
      </w:pPr>
    </w:p>
    <w:p>
      <w:pPr>
        <w:ind w:left="480" w:hanging="179"/>
        <w:spacing w:after="0" w:line="263" w:lineRule="auto"/>
        <w:rPr>
          <w:sz w:val="20"/>
          <w:szCs w:val="20"/>
          <w:color w:val="auto"/>
        </w:rPr>
      </w:pPr>
      <w:r>
        <w:rPr>
          <w:rFonts w:ascii="Arial" w:cs="Arial" w:eastAsia="Arial" w:hAnsi="Arial"/>
          <w:sz w:val="18"/>
          <w:szCs w:val="18"/>
          <w:b w:val="1"/>
          <w:bCs w:val="1"/>
          <w:i w:val="1"/>
          <w:iCs w:val="1"/>
          <w:color w:val="auto"/>
        </w:rPr>
        <w:t>Q. Do I have appraisal rights if I object to the Extension Amendment Proposal?</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Q. What do I need to do now?</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388" w:right="439" w:hanging="388"/>
        <w:spacing w:after="0" w:line="342" w:lineRule="auto"/>
        <w:tabs>
          <w:tab w:leader="none" w:pos="388"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shareholders do not have appraisal rights in connection with the Extension Amendment Proposal under Cayman Islands law.</w:t>
      </w:r>
    </w:p>
    <w:p>
      <w:pPr>
        <w:spacing w:after="0" w:line="200" w:lineRule="exact"/>
        <w:rPr>
          <w:rFonts w:ascii="Arial" w:cs="Arial" w:eastAsia="Arial" w:hAnsi="Arial"/>
          <w:sz w:val="16"/>
          <w:szCs w:val="16"/>
          <w:color w:val="auto"/>
        </w:rPr>
      </w:pPr>
    </w:p>
    <w:p>
      <w:pPr>
        <w:spacing w:after="0" w:line="301" w:lineRule="exact"/>
        <w:rPr>
          <w:rFonts w:ascii="Arial" w:cs="Arial" w:eastAsia="Arial" w:hAnsi="Arial"/>
          <w:sz w:val="16"/>
          <w:szCs w:val="16"/>
          <w:color w:val="auto"/>
        </w:rPr>
      </w:pPr>
    </w:p>
    <w:p>
      <w:pPr>
        <w:ind w:left="388" w:right="459" w:hanging="388"/>
        <w:spacing w:after="0" w:line="301" w:lineRule="auto"/>
        <w:tabs>
          <w:tab w:leader="none" w:pos="388"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urge you to read carefully and consider the information contained in this Proxy Statement, including the annexes, and to consider how the proposals will affect you as a shareholder. You should then vote as soon as possible in accordance with the</w:t>
      </w:r>
    </w:p>
    <w:p>
      <w:pPr>
        <w:spacing w:after="0" w:line="157" w:lineRule="exact"/>
        <w:rPr>
          <w:sz w:val="20"/>
          <w:szCs w:val="20"/>
          <w:color w:val="auto"/>
        </w:rPr>
      </w:pPr>
    </w:p>
    <w:p>
      <w:pPr>
        <w:ind w:left="888"/>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200" w:space="332"/>
            <w:col w:w="5487"/>
          </w:cols>
          <w:pgMar w:left="1440" w:top="265" w:right="1440" w:bottom="1440" w:gutter="0" w:footer="0" w:header="0"/>
          <w:type w:val="continuous"/>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Q. How do I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0" w:right="72" w:hanging="179"/>
        <w:spacing w:after="0" w:line="277" w:lineRule="auto"/>
        <w:rPr>
          <w:sz w:val="20"/>
          <w:szCs w:val="20"/>
          <w:color w:val="auto"/>
        </w:rPr>
      </w:pPr>
      <w:r>
        <w:rPr>
          <w:rFonts w:ascii="Arial" w:cs="Arial" w:eastAsia="Arial" w:hAnsi="Arial"/>
          <w:sz w:val="18"/>
          <w:szCs w:val="18"/>
          <w:b w:val="1"/>
          <w:bCs w:val="1"/>
          <w:i w:val="1"/>
          <w:iCs w:val="1"/>
          <w:color w:val="auto"/>
        </w:rPr>
        <w:t>Q. How do I redeem my ordinary shares?</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388" w:right="379"/>
        <w:spacing w:after="0" w:line="277" w:lineRule="auto"/>
        <w:rPr>
          <w:sz w:val="20"/>
          <w:szCs w:val="20"/>
          <w:color w:val="auto"/>
        </w:rPr>
      </w:pPr>
      <w:r>
        <w:rPr>
          <w:rFonts w:ascii="Arial" w:cs="Arial" w:eastAsia="Arial" w:hAnsi="Arial"/>
          <w:sz w:val="18"/>
          <w:szCs w:val="18"/>
          <w:color w:val="auto"/>
        </w:rPr>
        <w:t>instructions provided in this Proxy Statement and on the enclosed proxy card.</w:t>
      </w:r>
    </w:p>
    <w:p>
      <w:pPr>
        <w:spacing w:after="0" w:line="332" w:lineRule="exact"/>
        <w:rPr>
          <w:sz w:val="20"/>
          <w:szCs w:val="20"/>
          <w:color w:val="auto"/>
        </w:rPr>
      </w:pPr>
    </w:p>
    <w:p>
      <w:pPr>
        <w:ind w:left="388" w:right="319" w:hanging="388"/>
        <w:spacing w:after="0" w:line="269" w:lineRule="auto"/>
        <w:tabs>
          <w:tab w:leader="none" w:pos="388"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you are a holder of record of our ordinary shares, you may vote in person at the Extraordinary General Meeting or by submitting a proxy for the Extraordinary General Meeting. Whether or not you plan to attend the Extraordinary General Meeting in person, we urge you to vote by proxy to ensure your vote is counted. You may submit your proxy by completing, signing, dating and returning the enclosed proxy card in the accompanying pre-addressed postage paid envelope. You may still attend the Extraordinary General Meeting and vote in person if you have already voted by proxy.</w:t>
      </w:r>
    </w:p>
    <w:p>
      <w:pPr>
        <w:spacing w:after="0" w:line="185" w:lineRule="exact"/>
        <w:rPr>
          <w:rFonts w:ascii="Arial" w:cs="Arial" w:eastAsia="Arial" w:hAnsi="Arial"/>
          <w:sz w:val="17"/>
          <w:szCs w:val="17"/>
          <w:color w:val="auto"/>
        </w:rPr>
      </w:pPr>
    </w:p>
    <w:p>
      <w:pPr>
        <w:ind w:left="388" w:right="299"/>
        <w:spacing w:after="0" w:line="291" w:lineRule="auto"/>
        <w:rPr>
          <w:rFonts w:ascii="Arial" w:cs="Arial" w:eastAsia="Arial" w:hAnsi="Arial"/>
          <w:sz w:val="17"/>
          <w:szCs w:val="17"/>
          <w:color w:val="auto"/>
        </w:rPr>
      </w:pPr>
      <w:r>
        <w:rPr>
          <w:rFonts w:ascii="Arial" w:cs="Arial" w:eastAsia="Arial" w:hAnsi="Arial"/>
          <w:sz w:val="16"/>
          <w:szCs w:val="16"/>
          <w:color w:val="auto"/>
        </w:rPr>
        <w:t>If your ordinary shares are held in “street name” by a broker or other agent, you have the right to direct your broker or other agent on how to vote the shares in your account. You are also invited to attend the Extraordinary General Meeting. However, since you are not the shareholder of record, you may not vote your shares in person at the Extraordinary General Meeting unless you request and obtain a valid proxy from your broker or other agent.</w:t>
      </w:r>
    </w:p>
    <w:p>
      <w:pPr>
        <w:spacing w:after="0" w:line="328" w:lineRule="exact"/>
        <w:rPr>
          <w:rFonts w:ascii="Arial" w:cs="Arial" w:eastAsia="Arial" w:hAnsi="Arial"/>
          <w:sz w:val="17"/>
          <w:szCs w:val="17"/>
          <w:color w:val="auto"/>
        </w:rPr>
      </w:pPr>
    </w:p>
    <w:p>
      <w:pPr>
        <w:ind w:left="388" w:right="359" w:hanging="388"/>
        <w:spacing w:after="0" w:line="269" w:lineRule="auto"/>
        <w:tabs>
          <w:tab w:leader="none" w:pos="388" w:val="left"/>
        </w:tabs>
        <w:numPr>
          <w:ilvl w:val="0"/>
          <w:numId w:val="33"/>
        </w:numPr>
        <w:rPr>
          <w:rFonts w:ascii="Arial" w:cs="Arial" w:eastAsia="Arial" w:hAnsi="Arial"/>
          <w:sz w:val="17"/>
          <w:szCs w:val="17"/>
          <w:color w:val="auto"/>
        </w:rPr>
      </w:pPr>
      <w:r>
        <w:rPr>
          <w:rFonts w:ascii="Arial" w:cs="Arial" w:eastAsia="Arial" w:hAnsi="Arial"/>
          <w:sz w:val="17"/>
          <w:szCs w:val="17"/>
          <w:color w:val="auto"/>
        </w:rPr>
        <w:t>Each of our public shareholders who are not founders, officers or directors may submit an election that, if the Extension is implemented, such public shareholder elects to redeem all or a portion of such public shareholder’s public shares upon such approval at a per-share price, payable in cash, equal to the aggregate amount then on deposit in the Trust Account, including interest (which interest shall be net of taxes payable), divided by the number of then issued and outstanding public shares. You will also be able to redeem your public shares in connection with any business combination, or if we have not consummated a business combination by the Extended Date.</w:t>
      </w:r>
    </w:p>
    <w:p>
      <w:pPr>
        <w:spacing w:after="0" w:line="181" w:lineRule="exact"/>
        <w:rPr>
          <w:rFonts w:ascii="Arial" w:cs="Arial" w:eastAsia="Arial" w:hAnsi="Arial"/>
          <w:sz w:val="17"/>
          <w:szCs w:val="17"/>
          <w:color w:val="auto"/>
        </w:rPr>
      </w:pPr>
    </w:p>
    <w:p>
      <w:pPr>
        <w:ind w:left="388" w:right="339"/>
        <w:spacing w:after="0" w:line="268" w:lineRule="auto"/>
        <w:rPr>
          <w:rFonts w:ascii="Arial" w:cs="Arial" w:eastAsia="Arial" w:hAnsi="Arial"/>
          <w:sz w:val="17"/>
          <w:szCs w:val="17"/>
          <w:color w:val="auto"/>
        </w:rPr>
      </w:pPr>
      <w:r>
        <w:rPr>
          <w:rFonts w:ascii="Arial" w:cs="Arial" w:eastAsia="Arial" w:hAnsi="Arial"/>
          <w:sz w:val="17"/>
          <w:szCs w:val="17"/>
          <w:color w:val="auto"/>
        </w:rPr>
        <w:t>In order to tender your ordinary shares for redemption, you must elect either to physically tender your share certificates to Continental Stock Transfer &amp; Trust Company, the Company’s transfer agent, at Continental Stock Transfer &amp; Trust Company, 1 State Street 30th Floor, New York, New York, 10004, Attn: Mark Zimkind, mzimkind@continentalstock.com, or to deliver your shares to the transfer agent electronically using DTC’s DWAC (Deposit/Withdrawal At Custodian) system, which election would likely be determined based on the manner in which you hold your shares. You should tender your ordinary shares in the manner described above prior to [•] [a.m./p.m.] Eastern Time on [•], 202[•] (two business days before the Extraordinary General Meeting).</w:t>
      </w:r>
    </w:p>
    <w:p>
      <w:pPr>
        <w:spacing w:after="0" w:line="200" w:lineRule="exact"/>
        <w:rPr>
          <w:sz w:val="20"/>
          <w:szCs w:val="20"/>
          <w:color w:val="auto"/>
        </w:rPr>
      </w:pPr>
    </w:p>
    <w:p>
      <w:pPr>
        <w:spacing w:after="0" w:line="283" w:lineRule="exact"/>
        <w:rPr>
          <w:sz w:val="20"/>
          <w:szCs w:val="20"/>
          <w:color w:val="auto"/>
        </w:rPr>
      </w:pPr>
    </w:p>
    <w:p>
      <w:pPr>
        <w:ind w:left="888"/>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134620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812" w:space="720"/>
            <w:col w:w="5487"/>
          </w:cols>
          <w:pgMar w:left="1440" w:top="265" w:right="1440" w:bottom="1440" w:gutter="0" w:footer="0" w:header="0"/>
        </w:sectPr>
      </w:pPr>
    </w:p>
    <w:bookmarkStart w:id="18" w:name="page19"/>
    <w:bookmarkEnd w:id="18"/>
    <w:p>
      <w:pPr>
        <w:ind w:left="1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p>
      <w:pPr>
        <w:ind w:left="1480" w:hanging="179"/>
        <w:spacing w:after="0" w:line="381" w:lineRule="auto"/>
        <w:rPr>
          <w:sz w:val="20"/>
          <w:szCs w:val="20"/>
          <w:color w:val="auto"/>
        </w:rPr>
      </w:pPr>
      <w:r>
        <w:rPr>
          <w:rFonts w:ascii="Arial" w:cs="Arial" w:eastAsia="Arial" w:hAnsi="Arial"/>
          <w:sz w:val="15"/>
          <w:szCs w:val="15"/>
          <w:b w:val="1"/>
          <w:bCs w:val="1"/>
          <w:i w:val="1"/>
          <w:iCs w:val="1"/>
          <w:color w:val="auto"/>
        </w:rPr>
        <w:t>Q. What should I do if I receive more than one set of voting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80" w:right="440" w:hanging="179"/>
        <w:spacing w:after="0" w:line="277" w:lineRule="auto"/>
        <w:rPr>
          <w:sz w:val="20"/>
          <w:szCs w:val="20"/>
          <w:color w:val="auto"/>
        </w:rPr>
      </w:pPr>
      <w:r>
        <w:rPr>
          <w:rFonts w:ascii="Arial" w:cs="Arial" w:eastAsia="Arial" w:hAnsi="Arial"/>
          <w:sz w:val="18"/>
          <w:szCs w:val="18"/>
          <w:b w:val="1"/>
          <w:bCs w:val="1"/>
          <w:i w:val="1"/>
          <w:iCs w:val="1"/>
          <w:color w:val="auto"/>
        </w:rPr>
        <w:t>Q. Who is paying for this proxy solicitation?</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388" w:right="1400" w:hanging="388"/>
        <w:spacing w:after="0" w:line="269" w:lineRule="auto"/>
        <w:tabs>
          <w:tab w:leader="none" w:pos="388" w:val="left"/>
        </w:tabs>
        <w:numPr>
          <w:ilvl w:val="0"/>
          <w:numId w:val="34"/>
        </w:numPr>
        <w:rPr>
          <w:rFonts w:ascii="Arial" w:cs="Arial" w:eastAsia="Arial" w:hAnsi="Arial"/>
          <w:sz w:val="17"/>
          <w:szCs w:val="17"/>
          <w:color w:val="auto"/>
        </w:rPr>
      </w:pPr>
      <w:r>
        <w:rPr>
          <w:rFonts w:ascii="Arial" w:cs="Arial" w:eastAsia="Arial" w:hAnsi="Arial"/>
          <w:sz w:val="17"/>
          <w:szCs w:val="17"/>
          <w:color w:val="auto"/>
        </w:rPr>
        <w:t>You may receive more than one set of voting materials, including multiple copies of this Proxy Statement and multiple proxy cards or voting instruction cards, if your shares are registered in more than one name or are registered in different accounts. For example, if you hold your shares in more than one brokerage account, you will receive a separate voting instruction card for each brokerage account in which you hold shares. Please complete, sign, date and return each proxy card and voting instruction card that you receive in order to cast a vote with respect to all of your shares.</w:t>
      </w:r>
    </w:p>
    <w:p>
      <w:pPr>
        <w:spacing w:after="0" w:line="347" w:lineRule="exact"/>
        <w:rPr>
          <w:rFonts w:ascii="Arial" w:cs="Arial" w:eastAsia="Arial" w:hAnsi="Arial"/>
          <w:sz w:val="17"/>
          <w:szCs w:val="17"/>
          <w:color w:val="auto"/>
        </w:rPr>
      </w:pPr>
    </w:p>
    <w:p>
      <w:pPr>
        <w:ind w:left="388" w:right="1320" w:hanging="388"/>
        <w:spacing w:after="0" w:line="287" w:lineRule="auto"/>
        <w:tabs>
          <w:tab w:leader="none" w:pos="388"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will pay for the entire cost of soliciting proxies. We have engaged D.F. King to assist in the solicitation of proxies for the Extraordinary General Meeting. We have agreed to pay D.F. King a fee of $10,000. We will also reimburse D.F. King for reasonable out-of-pocket expenses and will indemnify D.F. King and its affiliates against certain claims, liabilities, losses, damages and expenses. In addition to these mailed proxy materials, our directors and officers may also solicit proxies in person, by telephone or by other means of communication. These parties will not be paid any additional compensation for soliciting proxies. We may also reimburse brokerage firms, banks and other agents for the cost of forwarding proxy materials to beneficial owners.</w:t>
      </w:r>
    </w:p>
    <w:p>
      <w:pPr>
        <w:spacing w:after="0" w:line="200" w:lineRule="exact"/>
        <w:rPr>
          <w:sz w:val="20"/>
          <w:szCs w:val="20"/>
          <w:color w:val="auto"/>
        </w:rPr>
      </w:pPr>
    </w:p>
    <w:p>
      <w:pPr>
        <w:sectPr>
          <w:pgSz w:w="11900" w:h="16838" w:orient="portrait"/>
          <w:cols w:equalWidth="0" w:num="2">
            <w:col w:w="4060" w:space="472"/>
            <w:col w:w="6488"/>
          </w:cols>
          <w:pgMar w:left="440" w:top="265" w:right="439" w:bottom="1440" w:gutter="0" w:footer="0" w:header="0"/>
        </w:sectPr>
      </w:pP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ind w:left="1300"/>
              <w:spacing w:after="0"/>
              <w:rPr>
                <w:sz w:val="20"/>
                <w:szCs w:val="20"/>
                <w:color w:val="auto"/>
              </w:rPr>
            </w:pPr>
            <w:r>
              <w:rPr>
                <w:rFonts w:ascii="Arial" w:cs="Arial" w:eastAsia="Arial" w:hAnsi="Arial"/>
                <w:sz w:val="18"/>
                <w:szCs w:val="18"/>
                <w:b w:val="1"/>
                <w:bCs w:val="1"/>
                <w:i w:val="1"/>
                <w:iCs w:val="1"/>
                <w:color w:val="auto"/>
                <w:w w:val="89"/>
              </w:rPr>
              <w:t>Q. Who can help answer my questions?</w:t>
            </w:r>
          </w:p>
        </w:tc>
        <w:tc>
          <w:tcPr>
            <w:tcW w:w="6640" w:type="dxa"/>
            <w:vAlign w:val="bottom"/>
          </w:tcPr>
          <w:p>
            <w:pPr>
              <w:ind w:left="160"/>
              <w:spacing w:after="0"/>
              <w:rPr>
                <w:sz w:val="20"/>
                <w:szCs w:val="20"/>
                <w:color w:val="auto"/>
              </w:rPr>
            </w:pPr>
            <w:r>
              <w:rPr>
                <w:rFonts w:ascii="Arial" w:cs="Arial" w:eastAsia="Arial" w:hAnsi="Arial"/>
                <w:sz w:val="18"/>
                <w:szCs w:val="18"/>
                <w:color w:val="auto"/>
              </w:rPr>
              <w:t>A.   If you have questions about the proposals or if you need</w:t>
            </w:r>
          </w:p>
        </w:tc>
      </w:tr>
      <w:tr>
        <w:trPr>
          <w:trHeight w:val="216"/>
        </w:trPr>
        <w:tc>
          <w:tcPr>
            <w:tcW w:w="438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Arial" w:cs="Arial" w:eastAsia="Arial" w:hAnsi="Arial"/>
                <w:sz w:val="18"/>
                <w:szCs w:val="18"/>
                <w:color w:val="auto"/>
              </w:rPr>
              <w:t>additional copies of the Proxy Statement or the enclosed proxy</w:t>
            </w:r>
          </w:p>
        </w:tc>
      </w:tr>
      <w:tr>
        <w:trPr>
          <w:trHeight w:val="230"/>
        </w:trPr>
        <w:tc>
          <w:tcPr>
            <w:tcW w:w="4380" w:type="dxa"/>
            <w:vAlign w:val="bottom"/>
          </w:tcPr>
          <w:p>
            <w:pPr>
              <w:spacing w:after="0"/>
              <w:rPr>
                <w:sz w:val="20"/>
                <w:szCs w:val="20"/>
                <w:color w:val="auto"/>
              </w:rPr>
            </w:pPr>
          </w:p>
        </w:tc>
        <w:tc>
          <w:tcPr>
            <w:tcW w:w="6640" w:type="dxa"/>
            <w:vAlign w:val="bottom"/>
          </w:tcPr>
          <w:p>
            <w:pPr>
              <w:ind w:left="540"/>
              <w:spacing w:after="0"/>
              <w:rPr>
                <w:sz w:val="20"/>
                <w:szCs w:val="20"/>
                <w:color w:val="auto"/>
              </w:rPr>
            </w:pPr>
            <w:r>
              <w:rPr>
                <w:rFonts w:ascii="Arial" w:cs="Arial" w:eastAsia="Arial" w:hAnsi="Arial"/>
                <w:sz w:val="18"/>
                <w:szCs w:val="18"/>
                <w:color w:val="auto"/>
              </w:rPr>
              <w:t>card you should contact our proxy solicitor:</w:t>
            </w:r>
          </w:p>
        </w:tc>
      </w:tr>
      <w:tr>
        <w:trPr>
          <w:trHeight w:val="408"/>
        </w:trPr>
        <w:tc>
          <w:tcPr>
            <w:tcW w:w="4380" w:type="dxa"/>
            <w:vAlign w:val="bottom"/>
          </w:tcPr>
          <w:p>
            <w:pPr>
              <w:spacing w:after="0"/>
              <w:rPr>
                <w:sz w:val="24"/>
                <w:szCs w:val="24"/>
                <w:color w:val="auto"/>
              </w:rPr>
            </w:pPr>
          </w:p>
        </w:tc>
        <w:tc>
          <w:tcPr>
            <w:tcW w:w="6640" w:type="dxa"/>
            <w:vAlign w:val="bottom"/>
          </w:tcPr>
          <w:p>
            <w:pPr>
              <w:ind w:left="540"/>
              <w:spacing w:after="0"/>
              <w:rPr>
                <w:sz w:val="20"/>
                <w:szCs w:val="20"/>
                <w:color w:val="auto"/>
              </w:rPr>
            </w:pPr>
            <w:r>
              <w:rPr>
                <w:rFonts w:ascii="Arial" w:cs="Arial" w:eastAsia="Arial" w:hAnsi="Arial"/>
                <w:sz w:val="18"/>
                <w:szCs w:val="18"/>
                <w:color w:val="auto"/>
              </w:rPr>
              <w:t>D.F. King &amp; Co., Inc.</w:t>
            </w:r>
          </w:p>
        </w:tc>
      </w:tr>
      <w:tr>
        <w:trPr>
          <w:trHeight w:val="226"/>
        </w:trPr>
        <w:tc>
          <w:tcPr>
            <w:tcW w:w="4380" w:type="dxa"/>
            <w:vAlign w:val="bottom"/>
          </w:tcPr>
          <w:p>
            <w:pPr>
              <w:spacing w:after="0"/>
              <w:rPr>
                <w:sz w:val="19"/>
                <w:szCs w:val="19"/>
                <w:color w:val="auto"/>
              </w:rPr>
            </w:pPr>
          </w:p>
        </w:tc>
        <w:tc>
          <w:tcPr>
            <w:tcW w:w="6640" w:type="dxa"/>
            <w:vAlign w:val="bottom"/>
          </w:tcPr>
          <w:p>
            <w:pPr>
              <w:ind w:left="540"/>
              <w:spacing w:after="0" w:line="226" w:lineRule="exact"/>
              <w:rPr>
                <w:sz w:val="20"/>
                <w:szCs w:val="20"/>
                <w:color w:val="auto"/>
              </w:rPr>
            </w:pPr>
            <w:r>
              <w:rPr>
                <w:rFonts w:ascii="Arial" w:cs="Arial" w:eastAsia="Arial" w:hAnsi="Arial"/>
                <w:sz w:val="16"/>
                <w:szCs w:val="16"/>
                <w:color w:val="auto"/>
              </w:rPr>
              <w:t>48 Wall Street, 22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w:t>
            </w:r>
          </w:p>
        </w:tc>
      </w:tr>
      <w:tr>
        <w:trPr>
          <w:trHeight w:val="216"/>
        </w:trPr>
        <w:tc>
          <w:tcPr>
            <w:tcW w:w="438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Arial" w:cs="Arial" w:eastAsia="Arial" w:hAnsi="Arial"/>
                <w:sz w:val="18"/>
                <w:szCs w:val="18"/>
                <w:color w:val="auto"/>
              </w:rPr>
              <w:t>New York, NY 10005</w:t>
            </w:r>
          </w:p>
        </w:tc>
      </w:tr>
      <w:tr>
        <w:trPr>
          <w:trHeight w:val="216"/>
        </w:trPr>
        <w:tc>
          <w:tcPr>
            <w:tcW w:w="438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Arial" w:cs="Arial" w:eastAsia="Arial" w:hAnsi="Arial"/>
                <w:sz w:val="18"/>
                <w:szCs w:val="18"/>
                <w:color w:val="auto"/>
              </w:rPr>
              <w:t>Banks and Brokers Call Collect: (212) 269-5550</w:t>
            </w:r>
          </w:p>
        </w:tc>
      </w:tr>
      <w:tr>
        <w:trPr>
          <w:trHeight w:val="216"/>
        </w:trPr>
        <w:tc>
          <w:tcPr>
            <w:tcW w:w="438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Arial" w:cs="Arial" w:eastAsia="Arial" w:hAnsi="Arial"/>
                <w:sz w:val="18"/>
                <w:szCs w:val="18"/>
                <w:color w:val="auto"/>
              </w:rPr>
              <w:t>All Others Call Toll-Free: (877) 478-5045</w:t>
            </w:r>
          </w:p>
        </w:tc>
      </w:tr>
      <w:tr>
        <w:trPr>
          <w:trHeight w:val="230"/>
        </w:trPr>
        <w:tc>
          <w:tcPr>
            <w:tcW w:w="4380" w:type="dxa"/>
            <w:vAlign w:val="bottom"/>
          </w:tcPr>
          <w:p>
            <w:pPr>
              <w:spacing w:after="0"/>
              <w:rPr>
                <w:sz w:val="20"/>
                <w:szCs w:val="20"/>
                <w:color w:val="auto"/>
              </w:rPr>
            </w:pPr>
          </w:p>
        </w:tc>
        <w:tc>
          <w:tcPr>
            <w:tcW w:w="6640" w:type="dxa"/>
            <w:vAlign w:val="bottom"/>
          </w:tcPr>
          <w:p>
            <w:pPr>
              <w:ind w:left="540"/>
              <w:spacing w:after="0"/>
              <w:rPr>
                <w:sz w:val="20"/>
                <w:szCs w:val="20"/>
                <w:color w:val="auto"/>
              </w:rPr>
            </w:pPr>
            <w:r>
              <w:rPr>
                <w:rFonts w:ascii="Arial" w:cs="Arial" w:eastAsia="Arial" w:hAnsi="Arial"/>
                <w:sz w:val="18"/>
                <w:szCs w:val="18"/>
                <w:color w:val="auto"/>
              </w:rPr>
              <w:t>Email: SSPK@dfking.com</w:t>
            </w:r>
          </w:p>
        </w:tc>
      </w:tr>
      <w:tr>
        <w:trPr>
          <w:trHeight w:val="418"/>
        </w:trPr>
        <w:tc>
          <w:tcPr>
            <w:tcW w:w="4380" w:type="dxa"/>
            <w:vAlign w:val="bottom"/>
          </w:tcPr>
          <w:p>
            <w:pPr>
              <w:spacing w:after="0"/>
              <w:rPr>
                <w:sz w:val="24"/>
                <w:szCs w:val="24"/>
                <w:color w:val="auto"/>
              </w:rPr>
            </w:pPr>
          </w:p>
        </w:tc>
        <w:tc>
          <w:tcPr>
            <w:tcW w:w="6640" w:type="dxa"/>
            <w:vAlign w:val="bottom"/>
          </w:tcPr>
          <w:p>
            <w:pPr>
              <w:ind w:left="540"/>
              <w:spacing w:after="0"/>
              <w:rPr>
                <w:sz w:val="20"/>
                <w:szCs w:val="20"/>
                <w:color w:val="auto"/>
              </w:rPr>
            </w:pPr>
            <w:r>
              <w:rPr>
                <w:rFonts w:ascii="Arial" w:cs="Arial" w:eastAsia="Arial" w:hAnsi="Arial"/>
                <w:sz w:val="18"/>
                <w:szCs w:val="18"/>
                <w:color w:val="auto"/>
              </w:rPr>
              <w:t>If you have questions regarding the certification of your position</w:t>
            </w:r>
          </w:p>
        </w:tc>
      </w:tr>
      <w:tr>
        <w:trPr>
          <w:trHeight w:val="230"/>
        </w:trPr>
        <w:tc>
          <w:tcPr>
            <w:tcW w:w="4380" w:type="dxa"/>
            <w:vAlign w:val="bottom"/>
          </w:tcPr>
          <w:p>
            <w:pPr>
              <w:spacing w:after="0"/>
              <w:rPr>
                <w:sz w:val="20"/>
                <w:szCs w:val="20"/>
                <w:color w:val="auto"/>
              </w:rPr>
            </w:pPr>
          </w:p>
        </w:tc>
        <w:tc>
          <w:tcPr>
            <w:tcW w:w="6640" w:type="dxa"/>
            <w:vAlign w:val="bottom"/>
          </w:tcPr>
          <w:p>
            <w:pPr>
              <w:ind w:left="540"/>
              <w:spacing w:after="0"/>
              <w:rPr>
                <w:sz w:val="20"/>
                <w:szCs w:val="20"/>
                <w:color w:val="auto"/>
              </w:rPr>
            </w:pPr>
            <w:r>
              <w:rPr>
                <w:rFonts w:ascii="Arial" w:cs="Arial" w:eastAsia="Arial" w:hAnsi="Arial"/>
                <w:sz w:val="18"/>
                <w:szCs w:val="18"/>
                <w:color w:val="auto"/>
              </w:rPr>
              <w:t>or delivery of your ordinary shares, please contact:</w:t>
            </w:r>
          </w:p>
        </w:tc>
      </w:tr>
      <w:tr>
        <w:trPr>
          <w:trHeight w:val="418"/>
        </w:trPr>
        <w:tc>
          <w:tcPr>
            <w:tcW w:w="4380" w:type="dxa"/>
            <w:vAlign w:val="bottom"/>
          </w:tcPr>
          <w:p>
            <w:pPr>
              <w:spacing w:after="0"/>
              <w:rPr>
                <w:sz w:val="24"/>
                <w:szCs w:val="24"/>
                <w:color w:val="auto"/>
              </w:rPr>
            </w:pPr>
          </w:p>
        </w:tc>
        <w:tc>
          <w:tcPr>
            <w:tcW w:w="6640" w:type="dxa"/>
            <w:vAlign w:val="bottom"/>
          </w:tcPr>
          <w:p>
            <w:pPr>
              <w:ind w:left="540"/>
              <w:spacing w:after="0"/>
              <w:rPr>
                <w:sz w:val="20"/>
                <w:szCs w:val="20"/>
                <w:color w:val="auto"/>
              </w:rPr>
            </w:pPr>
            <w:r>
              <w:rPr>
                <w:rFonts w:ascii="Arial" w:cs="Arial" w:eastAsia="Arial" w:hAnsi="Arial"/>
                <w:sz w:val="18"/>
                <w:szCs w:val="18"/>
                <w:color w:val="auto"/>
              </w:rPr>
              <w:t>Continental Stock Transfer &amp; Trust Company</w:t>
            </w:r>
          </w:p>
        </w:tc>
      </w:tr>
      <w:tr>
        <w:trPr>
          <w:trHeight w:val="216"/>
        </w:trPr>
        <w:tc>
          <w:tcPr>
            <w:tcW w:w="438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Arial" w:cs="Arial" w:eastAsia="Arial" w:hAnsi="Arial"/>
                <w:sz w:val="18"/>
                <w:szCs w:val="18"/>
                <w:color w:val="auto"/>
              </w:rPr>
              <w:t>1 State Street 30th Floor</w:t>
            </w:r>
          </w:p>
        </w:tc>
      </w:tr>
      <w:tr>
        <w:trPr>
          <w:trHeight w:val="216"/>
        </w:trPr>
        <w:tc>
          <w:tcPr>
            <w:tcW w:w="438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Arial" w:cs="Arial" w:eastAsia="Arial" w:hAnsi="Arial"/>
                <w:sz w:val="18"/>
                <w:szCs w:val="18"/>
                <w:color w:val="auto"/>
              </w:rPr>
              <w:t>New York, New York 10004</w:t>
            </w:r>
          </w:p>
        </w:tc>
      </w:tr>
      <w:tr>
        <w:trPr>
          <w:trHeight w:val="216"/>
        </w:trPr>
        <w:tc>
          <w:tcPr>
            <w:tcW w:w="438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Arial" w:cs="Arial" w:eastAsia="Arial" w:hAnsi="Arial"/>
                <w:sz w:val="18"/>
                <w:szCs w:val="18"/>
                <w:color w:val="auto"/>
              </w:rPr>
              <w:t>Attention: Mark Zimkind</w:t>
            </w:r>
          </w:p>
        </w:tc>
      </w:tr>
      <w:tr>
        <w:trPr>
          <w:trHeight w:val="230"/>
        </w:trPr>
        <w:tc>
          <w:tcPr>
            <w:tcW w:w="4380" w:type="dxa"/>
            <w:vAlign w:val="bottom"/>
          </w:tcPr>
          <w:p>
            <w:pPr>
              <w:spacing w:after="0"/>
              <w:rPr>
                <w:sz w:val="20"/>
                <w:szCs w:val="20"/>
                <w:color w:val="auto"/>
              </w:rPr>
            </w:pPr>
          </w:p>
        </w:tc>
        <w:tc>
          <w:tcPr>
            <w:tcW w:w="6640" w:type="dxa"/>
            <w:vAlign w:val="bottom"/>
          </w:tcPr>
          <w:p>
            <w:pPr>
              <w:ind w:left="540"/>
              <w:spacing w:after="0"/>
              <w:rPr>
                <w:sz w:val="20"/>
                <w:szCs w:val="20"/>
                <w:color w:val="auto"/>
              </w:rPr>
            </w:pPr>
            <w:r>
              <w:rPr>
                <w:rFonts w:ascii="Arial" w:cs="Arial" w:eastAsia="Arial" w:hAnsi="Arial"/>
                <w:sz w:val="18"/>
                <w:szCs w:val="18"/>
                <w:color w:val="auto"/>
              </w:rPr>
              <w:t>E-mail: mzimkind@continentalstock.com</w:t>
            </w:r>
          </w:p>
        </w:tc>
      </w:tr>
      <w:tr>
        <w:trPr>
          <w:trHeight w:val="418"/>
        </w:trPr>
        <w:tc>
          <w:tcPr>
            <w:tcW w:w="4380" w:type="dxa"/>
            <w:vAlign w:val="bottom"/>
          </w:tcPr>
          <w:p>
            <w:pPr>
              <w:spacing w:after="0"/>
              <w:rPr>
                <w:sz w:val="24"/>
                <w:szCs w:val="24"/>
                <w:color w:val="auto"/>
              </w:rPr>
            </w:pPr>
          </w:p>
        </w:tc>
        <w:tc>
          <w:tcPr>
            <w:tcW w:w="6640" w:type="dxa"/>
            <w:vAlign w:val="bottom"/>
          </w:tcPr>
          <w:p>
            <w:pPr>
              <w:ind w:left="540"/>
              <w:spacing w:after="0"/>
              <w:rPr>
                <w:sz w:val="20"/>
                <w:szCs w:val="20"/>
                <w:color w:val="auto"/>
              </w:rPr>
            </w:pPr>
            <w:r>
              <w:rPr>
                <w:rFonts w:ascii="Arial" w:cs="Arial" w:eastAsia="Arial" w:hAnsi="Arial"/>
                <w:sz w:val="18"/>
                <w:szCs w:val="18"/>
                <w:color w:val="auto"/>
              </w:rPr>
              <w:t>You may also obtain additional information about us from</w:t>
            </w:r>
          </w:p>
        </w:tc>
      </w:tr>
      <w:tr>
        <w:trPr>
          <w:trHeight w:val="216"/>
        </w:trPr>
        <w:tc>
          <w:tcPr>
            <w:tcW w:w="4380" w:type="dxa"/>
            <w:vAlign w:val="bottom"/>
          </w:tcPr>
          <w:p>
            <w:pPr>
              <w:spacing w:after="0"/>
              <w:rPr>
                <w:sz w:val="18"/>
                <w:szCs w:val="18"/>
                <w:color w:val="auto"/>
              </w:rPr>
            </w:pPr>
          </w:p>
        </w:tc>
        <w:tc>
          <w:tcPr>
            <w:tcW w:w="6640" w:type="dxa"/>
            <w:vAlign w:val="bottom"/>
          </w:tcPr>
          <w:p>
            <w:pPr>
              <w:ind w:left="540"/>
              <w:spacing w:after="0"/>
              <w:rPr>
                <w:sz w:val="20"/>
                <w:szCs w:val="20"/>
                <w:color w:val="auto"/>
              </w:rPr>
            </w:pPr>
            <w:r>
              <w:rPr>
                <w:rFonts w:ascii="Arial" w:cs="Arial" w:eastAsia="Arial" w:hAnsi="Arial"/>
                <w:sz w:val="18"/>
                <w:szCs w:val="18"/>
                <w:color w:val="auto"/>
              </w:rPr>
              <w:t>documents we file with the SEC by following the instructions in</w:t>
            </w:r>
          </w:p>
        </w:tc>
      </w:tr>
      <w:tr>
        <w:trPr>
          <w:trHeight w:val="230"/>
        </w:trPr>
        <w:tc>
          <w:tcPr>
            <w:tcW w:w="4380" w:type="dxa"/>
            <w:vAlign w:val="bottom"/>
          </w:tcPr>
          <w:p>
            <w:pPr>
              <w:spacing w:after="0"/>
              <w:rPr>
                <w:sz w:val="20"/>
                <w:szCs w:val="20"/>
                <w:color w:val="auto"/>
              </w:rPr>
            </w:pPr>
          </w:p>
        </w:tc>
        <w:tc>
          <w:tcPr>
            <w:tcW w:w="6640" w:type="dxa"/>
            <w:vAlign w:val="bottom"/>
          </w:tcPr>
          <w:p>
            <w:pPr>
              <w:ind w:left="540"/>
              <w:spacing w:after="0"/>
              <w:rPr>
                <w:sz w:val="20"/>
                <w:szCs w:val="20"/>
                <w:color w:val="auto"/>
              </w:rPr>
            </w:pPr>
            <w:r>
              <w:rPr>
                <w:rFonts w:ascii="Arial" w:cs="Arial" w:eastAsia="Arial" w:hAnsi="Arial"/>
                <w:sz w:val="18"/>
                <w:szCs w:val="18"/>
                <w:color w:val="auto"/>
              </w:rPr>
              <w:t>the section entitled “Where You Can Find More Information”</w:t>
            </w:r>
          </w:p>
        </w:tc>
      </w:tr>
      <w:tr>
        <w:trPr>
          <w:trHeight w:val="432"/>
        </w:trPr>
        <w:tc>
          <w:tcPr>
            <w:tcW w:w="4380" w:type="dxa"/>
            <w:vAlign w:val="bottom"/>
          </w:tcPr>
          <w:p>
            <w:pPr>
              <w:spacing w:after="0"/>
              <w:rPr>
                <w:sz w:val="24"/>
                <w:szCs w:val="24"/>
                <w:color w:val="auto"/>
              </w:rPr>
            </w:pPr>
          </w:p>
        </w:tc>
        <w:tc>
          <w:tcPr>
            <w:tcW w:w="6640" w:type="dxa"/>
            <w:vAlign w:val="bottom"/>
          </w:tcPr>
          <w:p>
            <w:pPr>
              <w:ind w:left="1040"/>
              <w:spacing w:after="0"/>
              <w:rPr>
                <w:sz w:val="20"/>
                <w:szCs w:val="20"/>
                <w:color w:val="auto"/>
              </w:rPr>
            </w:pPr>
            <w:r>
              <w:rPr>
                <w:rFonts w:ascii="Arial" w:cs="Arial" w:eastAsia="Arial" w:hAnsi="Arial"/>
                <w:sz w:val="18"/>
                <w:szCs w:val="18"/>
                <w:color w:val="auto"/>
              </w:rPr>
              <w:t>14</w:t>
            </w:r>
          </w:p>
        </w:tc>
      </w:tr>
      <w:tr>
        <w:trPr>
          <w:trHeight w:val="196"/>
        </w:trPr>
        <w:tc>
          <w:tcPr>
            <w:tcW w:w="4380" w:type="dxa"/>
            <w:vAlign w:val="bottom"/>
            <w:tcBorders>
              <w:bottom w:val="single" w:sz="8" w:color="auto"/>
            </w:tcBorders>
          </w:tcPr>
          <w:p>
            <w:pPr>
              <w:spacing w:after="0"/>
              <w:rPr>
                <w:sz w:val="17"/>
                <w:szCs w:val="17"/>
                <w:color w:val="auto"/>
              </w:rPr>
            </w:pPr>
          </w:p>
        </w:tc>
        <w:tc>
          <w:tcPr>
            <w:tcW w:w="66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type w:val="continuous"/>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300" w:right="359" w:firstLine="360"/>
        <w:spacing w:after="0" w:line="267" w:lineRule="auto"/>
        <w:rPr>
          <w:sz w:val="20"/>
          <w:szCs w:val="20"/>
          <w:color w:val="auto"/>
        </w:rPr>
      </w:pPr>
      <w:r>
        <w:rPr>
          <w:rFonts w:ascii="Arial" w:cs="Arial" w:eastAsia="Arial" w:hAnsi="Arial"/>
          <w:sz w:val="17"/>
          <w:szCs w:val="17"/>
          <w:color w:val="auto"/>
        </w:rPr>
        <w:t>This Proxy Statement and the documents to which we refer you in this Proxy Statement contain “forward-looking statements” as that term is defined by the Private Securities Litigation Reform Act of 1995 and the federal securities laws. Any statements that do not relate to historical or current facts or matters are forward-looking statements. You can identify some of the forward-looking statements by the use of forward-looking words such as “anticipate,” “believe,” “plan,” “could,” “estimate,” “expect,” “intend,” “may,” “might,” “plan,” “possible,” “potential,” “predict,” “project,” “should,” “strive,” “would,” “may” and other similar expressions, although not all forward-looking statements contain these identifying words. There can be no assurance that actual results will not materially differ from expectations. Such statements include, but are not limited to, any statements relating to our ability to consummate a business combination, and any other statements that are not statements of current or historical facts. These forward-looking statements are based on information available to the Company as of the date of the proxy materials and current expectations, forecasts and assumptions and involve a number of risks and uncertainties. Accordingly, forward-looking statements should not be relied upon as representing the Company’s views as of any subsequent date and the Company undertakes no obligation to update forward-looking statements to reflect events or circumstances after the date they were made. These forward-looking statements involve a number of known and unknown risks and uncertainties or other assumptions that may cause actual results or performance to be materially different from those expressed or implied by these forward-looking statements. Some factors that could cause actual results to differ include:</w:t>
      </w:r>
    </w:p>
    <w:p>
      <w:pPr>
        <w:spacing w:after="0" w:line="83" w:lineRule="exact"/>
        <w:rPr>
          <w:sz w:val="20"/>
          <w:szCs w:val="20"/>
          <w:color w:val="auto"/>
        </w:rPr>
      </w:pPr>
    </w:p>
    <w:p>
      <w:pPr>
        <w:ind w:left="1000" w:right="121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Company’s ability to effect the Extension Amendment Proposal or consummate a business combination, including the WM business combination;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unanticipated delays in the distribution of the funds from the trust account;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claims by third parties against the trust account;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Company’s ability to finance and consummate a business combination.</w:t>
      </w:r>
    </w:p>
    <w:p>
      <w:pPr>
        <w:spacing w:after="0" w:line="117" w:lineRule="exact"/>
        <w:rPr>
          <w:sz w:val="20"/>
          <w:szCs w:val="20"/>
          <w:color w:val="auto"/>
        </w:rPr>
      </w:pPr>
    </w:p>
    <w:p>
      <w:pPr>
        <w:ind w:left="300" w:right="379" w:firstLine="360"/>
        <w:spacing w:after="0" w:line="255" w:lineRule="auto"/>
        <w:rPr>
          <w:sz w:val="20"/>
          <w:szCs w:val="20"/>
          <w:color w:val="auto"/>
        </w:rPr>
      </w:pPr>
      <w:r>
        <w:rPr>
          <w:rFonts w:ascii="Arial" w:cs="Arial" w:eastAsia="Arial" w:hAnsi="Arial"/>
          <w:sz w:val="18"/>
          <w:szCs w:val="18"/>
          <w:color w:val="auto"/>
        </w:rPr>
        <w:t>You should carefully consider these risks, in addition to the risk factors set forth in our other filings with the SEC, including the final prospectus related to the IPO dated August 7, 2019 (File No. 333-232734) and the Company’s Annual Report on Form 10-K for the fiscal year ended December 31, 2019. The documents we file with the SEC, including those referred to above, also discuss some of the risks that could cause actual results to differ from those contained or implied in the forward-looking statements. See “Where You Can Find More Information” for additional information about our filings.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Silver Spike</w:t>
      </w:r>
    </w:p>
    <w:p>
      <w:pPr>
        <w:spacing w:after="0" w:line="121" w:lineRule="exact"/>
        <w:rPr>
          <w:sz w:val="20"/>
          <w:szCs w:val="20"/>
          <w:color w:val="auto"/>
        </w:rPr>
      </w:pPr>
    </w:p>
    <w:p>
      <w:pPr>
        <w:jc w:val="both"/>
        <w:ind w:left="300" w:right="499" w:firstLine="360"/>
        <w:spacing w:after="0" w:line="263" w:lineRule="auto"/>
        <w:rPr>
          <w:sz w:val="20"/>
          <w:szCs w:val="20"/>
          <w:color w:val="auto"/>
        </w:rPr>
      </w:pPr>
      <w:r>
        <w:rPr>
          <w:rFonts w:ascii="Arial" w:cs="Arial" w:eastAsia="Arial" w:hAnsi="Arial"/>
          <w:sz w:val="18"/>
          <w:szCs w:val="18"/>
          <w:color w:val="auto"/>
        </w:rPr>
        <w:t>We are a blank check company incorporated on June 7, 2019 as a Cayman Islands exempted company for the purpose of effecting a merger, amalgamation, share exchange, asset acquisition, share purchase, reorganization or similar business combination with one or more businesses.</w:t>
      </w:r>
    </w:p>
    <w:p>
      <w:pPr>
        <w:spacing w:after="0" w:line="76"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On August 12, 2019, we consummated the IPO of our units (the “units”), with each unit consisting of one Class A ordinary share, par value $0.0001 per share, which we refer to as the “public shares,” and one-half of one warrant. Simultaneously with the closing of the IPO, we completed the private sale of 7,000,000 warrants (the “private placement warrants”) at a purchase price of $1.00 per private placement warrant, to our Sponsor generating gross proceeds to us of $7,000,000. The private placement warrants are substantially identical to the warrants sold as part of the units in the IPO, except that our Sponsor has agreed not to transfer, assign or sell any of the private placement warrants (except to certain permitted transferees) until 30 days after the completion of our business combination. The private placement warrants are also not redeemable by us so long as they are held by our Sponsor or its permitted transferees, and they may be exercised by our Sponsor and its permitted transferees on a cashless basis.</w:t>
      </w:r>
    </w:p>
    <w:p>
      <w:pPr>
        <w:spacing w:after="0" w:line="77"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Following the closing of the IPO, a total of $250,000,000 from the net proceeds of the sale of the units in the IPO and the private placement warrants was placed in a Trust Account. The Trust Account may be invested only in U.S. government treasury bills with a maturity of one hundred and eighty-five (185) days or less or in money market funds investing solely in United States Treasuries and meeting certain conditions under Rule 2a-7 under the Investment Company Act of 1940, as amended, which invest only in direct U.S. government obligations. At September 30, 2020, funds in the Trust Account totaled $254,115,791 and were held in money market funds.</w:t>
      </w:r>
    </w:p>
    <w:p>
      <w:pPr>
        <w:spacing w:after="0" w:line="56" w:lineRule="exact"/>
        <w:rPr>
          <w:sz w:val="20"/>
          <w:szCs w:val="20"/>
          <w:color w:val="auto"/>
        </w:rPr>
      </w:pPr>
    </w:p>
    <w:p>
      <w:pPr>
        <w:ind w:left="300" w:right="399" w:firstLine="360"/>
        <w:spacing w:after="0" w:line="254" w:lineRule="auto"/>
        <w:rPr>
          <w:sz w:val="20"/>
          <w:szCs w:val="20"/>
          <w:color w:val="auto"/>
        </w:rPr>
      </w:pPr>
      <w:r>
        <w:rPr>
          <w:rFonts w:ascii="Arial" w:cs="Arial" w:eastAsia="Arial" w:hAnsi="Arial"/>
          <w:sz w:val="18"/>
          <w:szCs w:val="18"/>
          <w:color w:val="auto"/>
        </w:rPr>
        <w:t>Our Sponsor, directors and officers have interests in the proposals that may be different from, or in addition to, your interests as a shareholder. These interests include (i) in the case of the Sponsor, ownership of founder shares and warrants that may become exercisable in the future, (ii) in the event any funds are loaned to fund working capital deficiencies or finance transaction costs in connection with the WM business combination, loans by them, a portion of which may not be repaid in the event of our winding up and (iii) the possibility of future compensatory arrangements. See the section entitled “The Extension Amendment Proposal — Interests of our Sponsor, Directors and Officers.”</w:t>
      </w:r>
    </w:p>
    <w:p>
      <w:pPr>
        <w:spacing w:after="0" w:line="87"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On the record date of the Extraordinary General Meeting, there were 31,250,000 ordinary shares outstanding, of which 25,000,000 were public shares and 6,250,000 were founder shares. The founder shares carry voting rights in connection with the Extension Amendment Proposal and the Adjournment Proposal, and we have been informed by our Sponsor, which holds all 6,250,000 founder shares, that it intends to vote in favor of the Extension Amendment Proposal and the Adjournment Proposal.</w:t>
      </w:r>
    </w:p>
    <w:p>
      <w:pPr>
        <w:spacing w:after="0" w:line="80"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Our principal executive offices are located at 660 Madison Ave., Suite 1600, New York, New York 10065 and our telephone number is (212) 905-4923.</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WM Business Combination</w:t>
      </w:r>
    </w:p>
    <w:p>
      <w:pPr>
        <w:spacing w:after="0" w:line="121" w:lineRule="exact"/>
        <w:rPr>
          <w:sz w:val="20"/>
          <w:szCs w:val="20"/>
          <w:color w:val="auto"/>
        </w:rPr>
      </w:pPr>
    </w:p>
    <w:p>
      <w:pPr>
        <w:ind w:left="300" w:right="359" w:firstLine="360"/>
        <w:spacing w:after="0" w:line="271" w:lineRule="auto"/>
        <w:rPr>
          <w:sz w:val="20"/>
          <w:szCs w:val="20"/>
          <w:color w:val="auto"/>
        </w:rPr>
      </w:pPr>
      <w:r>
        <w:rPr>
          <w:rFonts w:ascii="Arial" w:cs="Arial" w:eastAsia="Arial" w:hAnsi="Arial"/>
          <w:sz w:val="17"/>
          <w:szCs w:val="17"/>
          <w:color w:val="auto"/>
        </w:rPr>
        <w:t>The WM business combination qualifies as an initial business combination under our Articles, but Silver Spike believes it may not be able to complete the WM business combination by February 12, 2021. The Extension Amendment Proposal is essential to allowing Silver Spike more time to obtain approval for the WM business combination at an extraordinary general meeting of its shareholders and consummate the WM business combination prior to the Extended Date. Approval of the Extension Amendment Proposal is a condition to the implementation of the Extension. Silver Spike believes that, given Silver Spike’s expenditure of time, effort and money on the WM business combination, circumstances warrant providing public shareholders an opportunity to consider the WM business combination.</w:t>
      </w:r>
    </w:p>
    <w:p>
      <w:pPr>
        <w:spacing w:after="0" w:line="66" w:lineRule="exact"/>
        <w:rPr>
          <w:sz w:val="20"/>
          <w:szCs w:val="20"/>
          <w:color w:val="auto"/>
        </w:rPr>
      </w:pPr>
    </w:p>
    <w:p>
      <w:pPr>
        <w:ind w:left="300" w:right="399" w:firstLine="360"/>
        <w:spacing w:after="0" w:line="274" w:lineRule="auto"/>
        <w:rPr>
          <w:sz w:val="20"/>
          <w:szCs w:val="20"/>
          <w:color w:val="auto"/>
        </w:rPr>
      </w:pPr>
      <w:r>
        <w:rPr>
          <w:rFonts w:ascii="Arial" w:cs="Arial" w:eastAsia="Arial" w:hAnsi="Arial"/>
          <w:sz w:val="17"/>
          <w:szCs w:val="17"/>
          <w:b w:val="1"/>
          <w:bCs w:val="1"/>
          <w:color w:val="auto"/>
        </w:rPr>
        <w:t>You are not being asked to vote on the WM business combination or any other business combination at this time. If the Extension is implemented and you do not elect to redeem your public shares, you will retain the right to vote on the WM business combination (or any other proposed business combination) if and when it is submitted to shareholders and the right to redeem your public shares for a pro rata portion of the Trust Account in the event such business combination is approved and completed or Silver Spike has not consummated a business combination by the Extended Date.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EXTENSION AMENDMENT</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Extension Amendment Proposal</w:t>
      </w:r>
    </w:p>
    <w:p>
      <w:pPr>
        <w:spacing w:after="0" w:line="121" w:lineRule="exact"/>
        <w:rPr>
          <w:sz w:val="20"/>
          <w:szCs w:val="20"/>
          <w:color w:val="auto"/>
        </w:rPr>
      </w:pPr>
    </w:p>
    <w:p>
      <w:pPr>
        <w:ind w:left="300" w:right="899" w:firstLine="360"/>
        <w:spacing w:after="0" w:line="277" w:lineRule="auto"/>
        <w:rPr>
          <w:sz w:val="20"/>
          <w:szCs w:val="20"/>
          <w:color w:val="auto"/>
        </w:rPr>
      </w:pPr>
      <w:r>
        <w:rPr>
          <w:rFonts w:ascii="Arial" w:cs="Arial" w:eastAsia="Arial" w:hAnsi="Arial"/>
          <w:sz w:val="18"/>
          <w:szCs w:val="18"/>
          <w:color w:val="auto"/>
        </w:rPr>
        <w:t>We are proposing to amend our Articles to extend the date by which we have to consummate a business combination to the Extended Date.</w:t>
      </w:r>
    </w:p>
    <w:p>
      <w:pPr>
        <w:spacing w:after="0" w:line="62" w:lineRule="exact"/>
        <w:rPr>
          <w:sz w:val="20"/>
          <w:szCs w:val="20"/>
          <w:color w:val="auto"/>
        </w:rPr>
      </w:pPr>
    </w:p>
    <w:p>
      <w:pPr>
        <w:ind w:left="300" w:right="459" w:firstLine="360"/>
        <w:spacing w:after="0" w:line="284" w:lineRule="auto"/>
        <w:rPr>
          <w:sz w:val="20"/>
          <w:szCs w:val="20"/>
          <w:color w:val="auto"/>
        </w:rPr>
      </w:pPr>
      <w:r>
        <w:rPr>
          <w:rFonts w:ascii="Arial" w:cs="Arial" w:eastAsia="Arial" w:hAnsi="Arial"/>
          <w:sz w:val="16"/>
          <w:szCs w:val="16"/>
          <w:color w:val="auto"/>
        </w:rPr>
        <w:t>If the Extension Amendment Proposal is not approved and we have not consummated a business combination by February 12, 2021,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w:t>
      </w:r>
    </w:p>
    <w:p>
      <w:pPr>
        <w:spacing w:after="0" w:line="2" w:lineRule="exact"/>
        <w:rPr>
          <w:sz w:val="20"/>
          <w:szCs w:val="20"/>
          <w:color w:val="auto"/>
        </w:rPr>
      </w:pPr>
    </w:p>
    <w:p>
      <w:pPr>
        <w:ind w:left="300" w:right="339" w:hanging="8"/>
        <w:spacing w:after="0" w:line="270" w:lineRule="auto"/>
        <w:tabs>
          <w:tab w:leader="none" w:pos="615" w:val="left"/>
        </w:tabs>
        <w:numPr>
          <w:ilvl w:val="0"/>
          <w:numId w:val="37"/>
        </w:numPr>
        <w:rPr>
          <w:rFonts w:ascii="Arial" w:cs="Arial" w:eastAsia="Arial" w:hAnsi="Arial"/>
          <w:sz w:val="17"/>
          <w:szCs w:val="17"/>
          <w:color w:val="auto"/>
        </w:rPr>
      </w:pPr>
      <w:r>
        <w:rPr>
          <w:rFonts w:ascii="Arial" w:cs="Arial" w:eastAsia="Arial" w:hAnsi="Arial"/>
          <w:sz w:val="17"/>
          <w:szCs w:val="17"/>
          <w:color w:val="auto"/>
        </w:rPr>
        <w:t>as promptly as reasonably possible following such redemption, subject to the approval of our remaining shareholders and our board, liquidate and dissolve, subject to our obligations under Cayman Islands law to provide for claims of creditors and other requirements of applicable law. There will be no redemption rights or liquidating distributions with respect to our warrants, which will expire worthless in the event of our winding up. In the event of a liquidation, holders of our founder shares, including our Sponsor, will not receive any monies held in the Trust Account as a result of their ownership of the founder shares.</w:t>
      </w:r>
    </w:p>
    <w:p>
      <w:pPr>
        <w:spacing w:after="0" w:line="70"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The purpose of the Extension Amendment is to allow the Company more time to complete the WM business combination pursuant to the Merger Agreement. The Articles provide that we have until February 12, 2021 to complete a business combination. While we have entered into the Merger Agreement, our board currently believes that there may not be sufficient time before February 12, 2021 to hold an extraordinary general meeting for shareholder approval of the WM business combination and to consummate the WM business combination. Accordingly, our board believes that in order to be able to consummate the WM business combination, we may need to obtain the Extension. Therefore, our board has determined that it is in the best interests of our shareholders to extend the date that we have to consummate a business combination to the Extended Date.</w:t>
      </w:r>
    </w:p>
    <w:p>
      <w:pPr>
        <w:spacing w:after="0" w:line="57" w:lineRule="exact"/>
        <w:rPr>
          <w:sz w:val="20"/>
          <w:szCs w:val="20"/>
          <w:color w:val="auto"/>
        </w:rPr>
      </w:pPr>
    </w:p>
    <w:p>
      <w:pPr>
        <w:ind w:left="300" w:right="739" w:firstLine="360"/>
        <w:spacing w:after="0" w:line="277" w:lineRule="auto"/>
        <w:rPr>
          <w:sz w:val="20"/>
          <w:szCs w:val="20"/>
          <w:color w:val="auto"/>
        </w:rPr>
      </w:pPr>
      <w:r>
        <w:rPr>
          <w:rFonts w:ascii="Arial" w:cs="Arial" w:eastAsia="Arial" w:hAnsi="Arial"/>
          <w:sz w:val="18"/>
          <w:szCs w:val="18"/>
          <w:color w:val="auto"/>
        </w:rPr>
        <w:t>A copy of the proposed amendments to the Articles of the Company is attached to this Proxy Statement in Annex A.</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Reasons for Redemption Rights</w:t>
      </w:r>
    </w:p>
    <w:p>
      <w:pPr>
        <w:spacing w:after="0" w:line="121" w:lineRule="exact"/>
        <w:rPr>
          <w:sz w:val="20"/>
          <w:szCs w:val="20"/>
          <w:color w:val="auto"/>
        </w:rPr>
      </w:pPr>
    </w:p>
    <w:p>
      <w:pPr>
        <w:ind w:left="300" w:right="299" w:firstLine="360"/>
        <w:spacing w:after="0" w:line="289" w:lineRule="auto"/>
        <w:rPr>
          <w:sz w:val="20"/>
          <w:szCs w:val="20"/>
          <w:color w:val="auto"/>
        </w:rPr>
      </w:pPr>
      <w:r>
        <w:rPr>
          <w:rFonts w:ascii="Arial" w:cs="Arial" w:eastAsia="Arial" w:hAnsi="Arial"/>
          <w:sz w:val="16"/>
          <w:szCs w:val="16"/>
          <w:color w:val="auto"/>
        </w:rPr>
        <w:t>Our Articles provide that if our shareholders approve an amendment to our Articles (A) to modify the substance or timing of our obligation to redeem 100% of our public shares if we do not complete a business combination before February 12, 2021 (B) with respect to any other provision relating to shareholders’ rights or pre-business combination activity, we will provide our public shareholders with the opportunity to redeem all or a portion of their ordinary shares upon such approval at a per-share price, payable in cash, equal to the aggregate amount then on deposit in the Trust Account, including interest (which interest shall be net of taxes payable), divided by the number of then issued and outstanding public shares. We believe that this provision of the Articles was included to protect our shareholders from having to sustain their investments for an unreasonably long period if we failed to find a suitable business combination in the timeframe contemplated by the Articles.</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If the Extension Amendment Proposal is Not Approved</w:t>
      </w:r>
    </w:p>
    <w:p>
      <w:pPr>
        <w:spacing w:after="0" w:line="121" w:lineRule="exact"/>
        <w:rPr>
          <w:sz w:val="20"/>
          <w:szCs w:val="20"/>
          <w:color w:val="auto"/>
        </w:rPr>
      </w:pPr>
    </w:p>
    <w:p>
      <w:pPr>
        <w:ind w:left="300" w:right="379" w:firstLine="360"/>
        <w:spacing w:after="0" w:line="269" w:lineRule="auto"/>
        <w:rPr>
          <w:sz w:val="20"/>
          <w:szCs w:val="20"/>
          <w:color w:val="auto"/>
        </w:rPr>
      </w:pPr>
      <w:r>
        <w:rPr>
          <w:rFonts w:ascii="Arial" w:cs="Arial" w:eastAsia="Arial" w:hAnsi="Arial"/>
          <w:sz w:val="17"/>
          <w:szCs w:val="17"/>
          <w:color w:val="auto"/>
        </w:rPr>
        <w:t>If the Extension Amendment Proposal is not approved and we do not consummate a business combination by February 12, 2021, as contemplated by our IPO prospectus and in accordance with our Articles,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liquidate and dissolve, subject to our obligations under Cayman Islands law to provide for claims of creditors and other requirements of applicable law.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459" w:firstLine="360"/>
        <w:spacing w:after="0" w:line="311" w:lineRule="auto"/>
        <w:rPr>
          <w:sz w:val="20"/>
          <w:szCs w:val="20"/>
          <w:color w:val="auto"/>
        </w:rPr>
      </w:pPr>
      <w:r>
        <w:rPr>
          <w:rFonts w:ascii="Arial" w:cs="Arial" w:eastAsia="Arial" w:hAnsi="Arial"/>
          <w:sz w:val="16"/>
          <w:szCs w:val="16"/>
          <w:color w:val="auto"/>
        </w:rPr>
        <w:t>There will be no redemption rights or liquidating distributions with respect to our warrants, which will expire worthless in the event of our winding up. In the event of a liquidation, holders of our founder shares, including our Sponsor, will not receive any monies held in the Trust Account as a result of their ownership of the founder shares.</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If the Extension Amendment Proposal is Approved</w:t>
      </w:r>
    </w:p>
    <w:p>
      <w:pPr>
        <w:spacing w:after="0" w:line="121"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7"/>
          <w:szCs w:val="17"/>
          <w:color w:val="auto"/>
        </w:rPr>
        <w:t>Upon approval of the Extension Amendment Proposal by the requisite number of votes, the amendments to our Articles that are set forth in Annex A hereto will become effective. We will remain a reporting company under the Exchange Act, and our units, public shares and warrants will remain publicly traded.</w:t>
      </w:r>
    </w:p>
    <w:p>
      <w:pPr>
        <w:spacing w:after="0" w:line="57" w:lineRule="exact"/>
        <w:rPr>
          <w:sz w:val="20"/>
          <w:szCs w:val="20"/>
          <w:color w:val="auto"/>
        </w:rPr>
      </w:pPr>
    </w:p>
    <w:p>
      <w:pPr>
        <w:ind w:left="300" w:right="459" w:firstLine="360"/>
        <w:spacing w:after="0" w:line="289" w:lineRule="auto"/>
        <w:rPr>
          <w:sz w:val="20"/>
          <w:szCs w:val="20"/>
          <w:color w:val="auto"/>
        </w:rPr>
      </w:pPr>
      <w:r>
        <w:rPr>
          <w:rFonts w:ascii="Arial" w:cs="Arial" w:eastAsia="Arial" w:hAnsi="Arial"/>
          <w:sz w:val="16"/>
          <w:szCs w:val="16"/>
          <w:color w:val="auto"/>
        </w:rPr>
        <w:t>If the Extension Amendment Proposal is approved and the Extension is implemented, the removal of the Withdrawal Amount from the Trust Account in connection with the Election will reduce the amount held in the Trust Account following the Election. We cannot predict the amount that will remain in the Trust Account if the Extension Amendment Proposal is approved and the amount remaining in the Trust Account may be only a small fraction of the approximately $254,115,791 that was in the Trust Account as of September 30, 2020. In such event, we may need to obtain additional funds to complete the WM business combination, including in order to satisfy a condition under the Merger Agreement to WMH’s obligations to consummate the WM business combination that Silver Spike’s Available Cash (as defined in the Merger Agreement) is greater than or equal to $300,000,000, and there can be no assurance that such funds will be available on terms acceptable or at all.</w:t>
      </w:r>
    </w:p>
    <w:p>
      <w:pPr>
        <w:spacing w:after="0" w:line="58"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If the Extension Amendment Proposal is approved but we do not consummate a business combination by the Extended Date,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liquidate and dissolve, subject to our obligations under Cayman Islands law to provide for claims of creditors and other requirements of applicable law.</w:t>
      </w:r>
    </w:p>
    <w:p>
      <w:pPr>
        <w:spacing w:after="0" w:line="77"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We cannot assure you that the per share distribution from the Trust Account, if we liquidate, will not be less than $10.00 due to unforeseen claims of creditors. There will be no redemption rights or liquidating distributions with respect to our warrants, which will expire worthless in the event of our winding up. In the event of a liquidation, our Sponsor, the sole holder of our founder shares, will not receive any monies held in the Trust Account as a result of its ownership of the founder shares.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300" w:right="399" w:firstLine="360"/>
        <w:spacing w:after="0" w:line="293" w:lineRule="auto"/>
        <w:rPr>
          <w:sz w:val="20"/>
          <w:szCs w:val="20"/>
          <w:color w:val="auto"/>
        </w:rPr>
      </w:pPr>
      <w:r>
        <w:rPr>
          <w:rFonts w:ascii="Arial" w:cs="Arial" w:eastAsia="Arial" w:hAnsi="Arial"/>
          <w:sz w:val="16"/>
          <w:szCs w:val="16"/>
          <w:color w:val="auto"/>
        </w:rPr>
        <w:t>If the Extension Amendment Proposal is approved and the Extension is implemented, each of our public shareholders may submit an election that, if the Extension is implemented, such public shareholder elects to redeem all or a portion of his public shares at a per-share price, payable in cash, equal to the aggregate amount then on deposit in the Trust Account, including interest earned (net of taxes payable, if any), divided by the number of then outstanding public shares. You will also be able to redeem your public shares in connection with any business combination, or if we have not consummated a business combination by the Extended Date.</w:t>
      </w:r>
    </w:p>
    <w:p>
      <w:pPr>
        <w:spacing w:after="0" w:line="52" w:lineRule="exact"/>
        <w:rPr>
          <w:sz w:val="20"/>
          <w:szCs w:val="20"/>
          <w:color w:val="auto"/>
        </w:rPr>
      </w:pPr>
    </w:p>
    <w:p>
      <w:pPr>
        <w:ind w:left="300" w:right="479" w:firstLine="360"/>
        <w:spacing w:after="0" w:line="255" w:lineRule="auto"/>
        <w:rPr>
          <w:sz w:val="20"/>
          <w:szCs w:val="20"/>
          <w:color w:val="auto"/>
        </w:rPr>
      </w:pPr>
      <w:r>
        <w:rPr>
          <w:rFonts w:ascii="Arial" w:cs="Arial" w:eastAsia="Arial" w:hAnsi="Arial"/>
          <w:sz w:val="18"/>
          <w:szCs w:val="18"/>
          <w:b w:val="1"/>
          <w:bCs w:val="1"/>
          <w:color w:val="auto"/>
        </w:rPr>
        <w:t>TO DEMAND REDEMPTION, PRIOR TO [•] [A.M./P.M.] EASTERN TIME ON [•], 202[•] (TWO BUSINESS DAYS BEFORE THE EXTRAORDINARY GENERAL MEETING), YOU SHOULD ELECT EITHER TO PHYSICALLY TENDER YOUR SHARE CERTIFICATES TO CONTINENTAL STOCK TRANSFER &amp; TRUST COMPANY OR TO DELIVER YOUR SHARES TO THE TRANSFER AGENT ELECTRONICALLY USING DTC’S DWAC (DEPOSIT/WITHDRAWAL AT CUSTODIAN), AS DESCRIBED HEREIN. YOU SHOULD ENSURE THAT YOUR BANK OR BROKER COMPLIES WITH THE REQUIREMENTS IDENTIFIED ELSEWHERE HEREIN.</w:t>
      </w:r>
    </w:p>
    <w:p>
      <w:pPr>
        <w:spacing w:after="0" w:line="85" w:lineRule="exact"/>
        <w:rPr>
          <w:sz w:val="20"/>
          <w:szCs w:val="20"/>
          <w:color w:val="auto"/>
        </w:rPr>
      </w:pPr>
    </w:p>
    <w:p>
      <w:pPr>
        <w:ind w:left="300" w:right="619" w:firstLine="360"/>
        <w:spacing w:after="0" w:line="301" w:lineRule="auto"/>
        <w:rPr>
          <w:sz w:val="20"/>
          <w:szCs w:val="20"/>
          <w:color w:val="auto"/>
        </w:rPr>
      </w:pPr>
      <w:r>
        <w:rPr>
          <w:rFonts w:ascii="Arial" w:cs="Arial" w:eastAsia="Arial" w:hAnsi="Arial"/>
          <w:sz w:val="16"/>
          <w:szCs w:val="16"/>
          <w:color w:val="auto"/>
        </w:rPr>
        <w:t>In order to tender your ordinary shares for redemption, you must elect either to physically tender your share certificates to Continental Stock Transfer &amp; Trust Company, the Company’s transfer agent, at Continental Stock Transfer &amp; Trust Company, 1 State Street 30th Floor, New York, New York, 10004, Attn: Mark Zimkind, mzimkind@continentalstock.com, or to deliver your shares to the transfer agent electronically using DTC’s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39"/>
        <w:spacing w:after="0" w:line="311" w:lineRule="auto"/>
        <w:rPr>
          <w:sz w:val="20"/>
          <w:szCs w:val="20"/>
          <w:color w:val="auto"/>
        </w:rPr>
      </w:pPr>
      <w:r>
        <w:rPr>
          <w:rFonts w:ascii="Arial" w:cs="Arial" w:eastAsia="Arial" w:hAnsi="Arial"/>
          <w:sz w:val="16"/>
          <w:szCs w:val="16"/>
          <w:color w:val="auto"/>
        </w:rPr>
        <w:t xml:space="preserve">DWAC (Deposit/Withdrawal At Custodian) system, which election would likely be determined based on the manner in which you hold your shares. </w:t>
      </w:r>
      <w:r>
        <w:rPr>
          <w:rFonts w:ascii="Arial" w:cs="Arial" w:eastAsia="Arial" w:hAnsi="Arial"/>
          <w:sz w:val="16"/>
          <w:szCs w:val="16"/>
          <w:b w:val="1"/>
          <w:bCs w:val="1"/>
          <w:color w:val="auto"/>
        </w:rPr>
        <w:t>You should tender your ordinary shares in the manner described above prior to</w:t>
      </w:r>
      <w:r>
        <w:rPr>
          <w:rFonts w:ascii="Arial" w:cs="Arial" w:eastAsia="Arial" w:hAnsi="Arial"/>
          <w:sz w:val="16"/>
          <w:szCs w:val="16"/>
          <w:color w:val="auto"/>
        </w:rPr>
        <w:t xml:space="preserve"> </w:t>
      </w:r>
      <w:r>
        <w:rPr>
          <w:rFonts w:ascii="Arial" w:cs="Arial" w:eastAsia="Arial" w:hAnsi="Arial"/>
          <w:sz w:val="16"/>
          <w:szCs w:val="16"/>
          <w:b w:val="1"/>
          <w:bCs w:val="1"/>
          <w:color w:val="auto"/>
        </w:rPr>
        <w:t>[•] [a.m./p.m.] Eastern Time on [•], 202[•] (two business days before the Extraordinary General Meeting).</w:t>
      </w:r>
    </w:p>
    <w:p>
      <w:pPr>
        <w:spacing w:after="0" w:line="41" w:lineRule="exact"/>
        <w:rPr>
          <w:sz w:val="20"/>
          <w:szCs w:val="20"/>
          <w:color w:val="auto"/>
        </w:rPr>
      </w:pPr>
    </w:p>
    <w:p>
      <w:pPr>
        <w:ind w:left="300" w:right="359" w:firstLine="360"/>
        <w:spacing w:after="0" w:line="268" w:lineRule="auto"/>
        <w:rPr>
          <w:sz w:val="20"/>
          <w:szCs w:val="20"/>
          <w:color w:val="auto"/>
        </w:rPr>
      </w:pPr>
      <w:r>
        <w:rPr>
          <w:rFonts w:ascii="Arial" w:cs="Arial" w:eastAsia="Arial" w:hAnsi="Arial"/>
          <w:sz w:val="17"/>
          <w:szCs w:val="17"/>
          <w:color w:val="auto"/>
        </w:rPr>
        <w:t>Through the DWAC system, this electronic delivery process can be accomplished by the shareholder, whether or not it is a record holder or its shares are held in “street name,” by contacting the transfer agent or its broker and requesting delivery of its shares through the DWAC system. Delivering shares physically may take significantly longer. In order to obtain a physical share certificate, a shareholder’s broker and/or clearing broker, DTC, and our transfer agent will need to act together to facilitate this request. There is a nominal cost associated with the above-referenced tendering process and the act of certificating the shares or delivering them through the DWAC system. The transfer agent will typically charge the tendering broker $80 and the broker would determine whether or not to pass this cost on to the redeeming holder. It is our understanding that shareholders should generally allot at least two weeks to obtain physical certificates from the transfer agent. We do not have any control over this process or over the brokers or DTC, and it may take longer than two weeks to obtain a physical share certificate. Such shareholders will have less time to make their investment decision than those shareholders that deliver their shares through the DWAC system. Shareholders who request physical share certificates and wish to redeem may be unable to meet the deadline for tendering their shares before exercising their redemption rights and thus will be unable to redeem their shares.</w:t>
      </w:r>
    </w:p>
    <w:p>
      <w:pPr>
        <w:spacing w:after="0" w:line="76"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Certificates that have not been tendered in accordance with these procedures prior to the vote on the Extension Amendment Proposal at the Extraordinary General Meeting will not be redeemed for cash held in the Trust Account on the redemption date. In the event that a public shareholder tenders its shares and decides prior to the vote at the Extraordinary General Meeting that it does not want to redeem its shares, the shareholder may withdraw the tender. If you delivered your ordinary shares for redemption to our transfer agent and decide prior to the vote at the Extraordinary General Meeting not to redeem your shares, you may request that our transfer agent return the shares (physically or electronically). You may make such request by contacting our transfer agent at the address listed above. In the event that a public shareholder tenders shares and the Extension Amendment Proposal is not approved, these shares will not be redeemed and the physical certificates representing these shares will be returned to the shareholder promptly following the determination that the Extension Amendment Proposal will not be approved. The transfer agent will hold the certificates of public shareholders that make the Election until such shares are redeemed for cash or returned to such shareholders.</w:t>
      </w:r>
    </w:p>
    <w:p>
      <w:pPr>
        <w:spacing w:after="0" w:line="60" w:lineRule="exact"/>
        <w:rPr>
          <w:sz w:val="20"/>
          <w:szCs w:val="20"/>
          <w:color w:val="auto"/>
        </w:rPr>
      </w:pPr>
    </w:p>
    <w:p>
      <w:pPr>
        <w:ind w:left="300" w:right="479" w:firstLine="360"/>
        <w:spacing w:after="0" w:line="289" w:lineRule="auto"/>
        <w:rPr>
          <w:sz w:val="20"/>
          <w:szCs w:val="20"/>
          <w:color w:val="auto"/>
        </w:rPr>
      </w:pPr>
      <w:r>
        <w:rPr>
          <w:rFonts w:ascii="Arial" w:cs="Arial" w:eastAsia="Arial" w:hAnsi="Arial"/>
          <w:sz w:val="16"/>
          <w:szCs w:val="16"/>
          <w:color w:val="auto"/>
        </w:rPr>
        <w:t>If properly demanded, we will redeem each public share for a per-share price, payable in cash, equal to the aggregate amount then on deposit in the Trust Account, including interest earned (net of taxes payable, if any), divided by the number of then outstanding public shares. Based upon the amount in the Trust Account as of September 30, 2020 which was $254,115,791, we anticipate that the per-share price at which public shares will be redeemed from cash held in the Trust Account will be approximately $[•] at the time of the Extraordinary General Meeting. The closing price of the public shares on Nasdaq on [•], 202[•], the most recent practicable closing price prior to the mailing of this Proxy Statement, was $[•]. We cannot assure shareholders that they will be able to sell their shares in the open market, even if the market price per share is higher than the redemption price stated above, as there may not be sufficient liquidity in our securities when such shareholders wish to sell their shares.</w:t>
      </w:r>
    </w:p>
    <w:p>
      <w:pPr>
        <w:spacing w:after="0" w:line="58"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If you exercise your redemption rights, you will be exchanging your ordinary shares for cash and will no longer own the shares. You will be entitled to receive cash for these shares only if you properly demand redemption and tender your share certificate(s) to our transfer agent prior to the vote on the Extension Amendment Proposal at the Extraordinary General Meeting. We anticipate that a public shareholder who tenders ordinary shares for redemption in connection with the vote to approve the Extension Amendment Proposal would receive payment of the redemption price for such shares soon after the completion of the Extension Amendment.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319"/>
        <w:spacing w:after="0" w:line="282" w:lineRule="auto"/>
        <w:rPr>
          <w:sz w:val="20"/>
          <w:szCs w:val="20"/>
          <w:color w:val="auto"/>
        </w:rPr>
      </w:pPr>
      <w:r>
        <w:rPr>
          <w:rFonts w:ascii="Arial" w:cs="Arial" w:eastAsia="Arial" w:hAnsi="Arial"/>
          <w:sz w:val="18"/>
          <w:szCs w:val="18"/>
          <w:b w:val="1"/>
          <w:bCs w:val="1"/>
          <w:color w:val="auto"/>
        </w:rPr>
        <w:t>UNITED STATES FEDERAL INCOME TAX CONSIDERATIONS FOR SHAREHOLDERS EXERCISING REDEMPTION RIGHTS</w:t>
      </w:r>
    </w:p>
    <w:p>
      <w:pPr>
        <w:spacing w:after="0" w:line="58" w:lineRule="exact"/>
        <w:rPr>
          <w:sz w:val="20"/>
          <w:szCs w:val="20"/>
          <w:color w:val="auto"/>
        </w:rPr>
      </w:pPr>
    </w:p>
    <w:p>
      <w:pPr>
        <w:ind w:left="300" w:right="639" w:firstLine="360"/>
        <w:spacing w:after="0" w:line="286" w:lineRule="auto"/>
        <w:rPr>
          <w:sz w:val="20"/>
          <w:szCs w:val="20"/>
          <w:color w:val="auto"/>
        </w:rPr>
      </w:pPr>
      <w:r>
        <w:rPr>
          <w:rFonts w:ascii="Arial" w:cs="Arial" w:eastAsia="Arial" w:hAnsi="Arial"/>
          <w:sz w:val="17"/>
          <w:szCs w:val="17"/>
          <w:color w:val="auto"/>
        </w:rPr>
        <w:t>The following discussion summarizes certain United States federal income tax considerations generally applicable to U.S. Holders (as defined below) who elect to have their Class A ordinary shares redeemed for cash pursuant to the exercise of a right to redemption in connection with an Election.</w:t>
      </w:r>
    </w:p>
    <w:p>
      <w:pPr>
        <w:spacing w:after="0" w:line="57" w:lineRule="exact"/>
        <w:rPr>
          <w:sz w:val="20"/>
          <w:szCs w:val="20"/>
          <w:color w:val="auto"/>
        </w:rPr>
      </w:pPr>
    </w:p>
    <w:p>
      <w:pPr>
        <w:ind w:left="300" w:right="439" w:firstLine="360"/>
        <w:spacing w:after="0" w:line="257" w:lineRule="auto"/>
        <w:rPr>
          <w:sz w:val="20"/>
          <w:szCs w:val="20"/>
          <w:color w:val="auto"/>
        </w:rPr>
      </w:pPr>
      <w:r>
        <w:rPr>
          <w:rFonts w:ascii="Arial" w:cs="Arial" w:eastAsia="Arial" w:hAnsi="Arial"/>
          <w:sz w:val="18"/>
          <w:szCs w:val="18"/>
          <w:color w:val="auto"/>
        </w:rPr>
        <w:t>This discussion is limited to certain United States federal income tax considerations to such U.S. Holders who hold Class A ordinary shares as a capital asset under the U.S. Internal Revenue Code of 1986, as amended (the “Code”). This discussion is a summary only and does not consider all aspects of United States federal income taxation that may be relevant to a U.S. Holder exercising its right to redemption in light of such holder’s particular circumstances, including:</w:t>
      </w:r>
    </w:p>
    <w:p>
      <w:pPr>
        <w:spacing w:after="0" w:line="80" w:lineRule="exact"/>
        <w:rPr>
          <w:sz w:val="20"/>
          <w:szCs w:val="20"/>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taxpayers that are subject to the mark-to-market accounting rules;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liable for alternative minimum tax;</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17" w:lineRule="exact"/>
        <w:rPr>
          <w:rFonts w:ascii="Arial" w:cs="Arial" w:eastAsia="Arial" w:hAnsi="Arial"/>
          <w:sz w:val="18"/>
          <w:szCs w:val="18"/>
          <w:color w:val="auto"/>
        </w:rPr>
      </w:pPr>
    </w:p>
    <w:p>
      <w:pPr>
        <w:ind w:left="1000" w:right="69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voting shares or ten percent or more of the total value of our shares;</w:t>
      </w:r>
    </w:p>
    <w:p>
      <w:pPr>
        <w:spacing w:after="0" w:line="62"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w:t>
      </w:r>
    </w:p>
    <w:p>
      <w:pPr>
        <w:spacing w:after="0" w:line="62" w:lineRule="exact"/>
        <w:rPr>
          <w:rFonts w:ascii="Arial" w:cs="Arial" w:eastAsia="Arial" w:hAnsi="Arial"/>
          <w:sz w:val="18"/>
          <w:szCs w:val="18"/>
          <w:color w:val="auto"/>
        </w:rPr>
      </w:pPr>
    </w:p>
    <w:p>
      <w:pPr>
        <w:ind w:left="1000" w:right="87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that hold our securities as part of a straddle, constructive sale, hedging, conversion or other integrated or similar transaction;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117"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so as to result in United States federal income tax consequences different from those discussed below. Furthermore, this discussion does not address any aspect of United States federal non-income tax laws, such as gift, estate or Medicare contribution tax laws, or state, local or non-U.S. tax laws.</w:t>
      </w:r>
    </w:p>
    <w:p>
      <w:pPr>
        <w:spacing w:after="0" w:line="70" w:lineRule="exact"/>
        <w:rPr>
          <w:sz w:val="20"/>
          <w:szCs w:val="20"/>
          <w:color w:val="auto"/>
        </w:rPr>
      </w:pPr>
    </w:p>
    <w:p>
      <w:pPr>
        <w:ind w:left="300" w:right="539" w:firstLine="360"/>
        <w:spacing w:after="0" w:line="301" w:lineRule="auto"/>
        <w:rPr>
          <w:sz w:val="20"/>
          <w:szCs w:val="20"/>
          <w:color w:val="auto"/>
        </w:rPr>
      </w:pPr>
      <w:r>
        <w:rPr>
          <w:rFonts w:ascii="Arial" w:cs="Arial" w:eastAsia="Arial" w:hAnsi="Arial"/>
          <w:sz w:val="16"/>
          <w:szCs w:val="16"/>
          <w:color w:val="auto"/>
        </w:rPr>
        <w:t>We have not sought, and will not seek, a ruling from the Internal Revenue Service (“IRS”) as to any United States federal income tax consequence described herein. The IRS may disagree with the discussion herein, and its determination may be upheld by a court. Moreover, there can be no assurance that future legislation, regulations, administrative rulings or court decisions will not change the accuracy of the statements in this discussion.</w:t>
      </w:r>
    </w:p>
    <w:p>
      <w:pPr>
        <w:spacing w:after="0" w:line="49"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As used herein, the term “U.S. Holder” means a beneficial owner of Class A ordinary shares or warrants who or that is for United States federal income tax purposes: (i) an individual citizen or resident of the United States, (ii) a corporation (or other entity treated as a corporation for United States federal income tax purposes) that is created or organized (or treated as created or organized) in or under the laws of the United States, any state thereof or the District of Columbia, (iii) an estate the income of which is subject to United States federal income taxation regardless of its source or (iv) a trust if (A) a court within the United States is able to exercise primary supervision over the administration of the trust and one or more U.S. persons have the authority to control all substantial decisions of the trust, or (B) it has in effect a valid election to be treated as a U.S. person.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This discussion does not consider the tax treatment of partnerships or other pass-through entities or persons who hold our securities through such entities. If a partnership (or other entity or arrangement classified as a partnership for United States federal income tax purposes) is the beneficial owner of our securities, the United States federal income tax treatment of a partner in the partnership generally will depend on the status of the partner and the activities of the partnership. Partnerships holding our securities and partners in such partnerships are urged to consult their own tax advisors.</w:t>
      </w:r>
    </w:p>
    <w:p>
      <w:pPr>
        <w:spacing w:after="0" w:line="80" w:lineRule="exact"/>
        <w:rPr>
          <w:sz w:val="20"/>
          <w:szCs w:val="20"/>
          <w:color w:val="auto"/>
        </w:rPr>
      </w:pPr>
    </w:p>
    <w:p>
      <w:pPr>
        <w:ind w:left="300" w:right="499"/>
        <w:spacing w:after="0" w:line="256" w:lineRule="auto"/>
        <w:rPr>
          <w:sz w:val="20"/>
          <w:szCs w:val="20"/>
          <w:color w:val="auto"/>
        </w:rPr>
      </w:pPr>
      <w:r>
        <w:rPr>
          <w:rFonts w:ascii="Arial" w:cs="Arial" w:eastAsia="Arial" w:hAnsi="Arial"/>
          <w:sz w:val="18"/>
          <w:szCs w:val="18"/>
          <w:b w:val="1"/>
          <w:bCs w:val="1"/>
          <w:color w:val="auto"/>
        </w:rPr>
        <w:t>THIS DISCUSSION IS ONLY A SUMMARY OF CERTAIN UNITED STATES FEDERAL INCOME TAX CONSIDERATIONS ASSOCIATED WITH AN ELECTION. EACH REDEEMING U.S. HOLDER IS URGED TO CONSULT ITS OWN TAX ADVISOR WITH RESPECT TO THE PARTICULAR TAX CONSEQUENCES TO SUCH U.S. HOLDER OF THE EXERCISE OF REDEMPTION RIGHTS THROUGH AN ELECTION, INCLUDING THE APPLICABILITY AND EFFECT OF ANY STATE, LOCAL, AND NON-U.S. TAX LAWS.</w:t>
      </w:r>
    </w:p>
    <w:p>
      <w:pPr>
        <w:spacing w:after="0" w:line="35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Redemption as Sale or Distribution</w:t>
      </w:r>
    </w:p>
    <w:p>
      <w:pPr>
        <w:spacing w:after="0" w:line="117" w:lineRule="exact"/>
        <w:rPr>
          <w:sz w:val="20"/>
          <w:szCs w:val="20"/>
          <w:color w:val="auto"/>
        </w:rPr>
      </w:pPr>
    </w:p>
    <w:p>
      <w:pPr>
        <w:ind w:left="300" w:right="339" w:firstLine="360"/>
        <w:spacing w:after="0" w:line="288" w:lineRule="auto"/>
        <w:rPr>
          <w:sz w:val="20"/>
          <w:szCs w:val="20"/>
          <w:color w:val="auto"/>
        </w:rPr>
      </w:pPr>
      <w:r>
        <w:rPr>
          <w:rFonts w:ascii="Arial" w:cs="Arial" w:eastAsia="Arial" w:hAnsi="Arial"/>
          <w:sz w:val="16"/>
          <w:szCs w:val="16"/>
          <w:color w:val="auto"/>
        </w:rPr>
        <w:t>Subject to the PFIC rules discussed below, in the event that a U.S. Holder’s Class A ordinary shares are redeemed pursuant to an Election, the treatment of the transaction for United States federal income tax purposes will depend on whether the redemption qualifies as a sale of the Class A ordinary shares under Section 302 of the Code. If the redemption qualifies as a sale of Class A ordinary shares, a U.S. Holder generally will recognize capital gain or loss and any such capital gain or loss generally will be long-term capital gain or loss if the U.S. Holder’s holding period for such Class A ordinary shares exceeds one year. It is unclear, however, whether certain redemption rights described in the IPO prospectus may suspend the running of the applicable holding period for this purpose. If the redemption does not qualify as a sale of Class A ordinary shares, the U.S. Holder generally will be required to include in gross income as a dividend the amount of the distribution to the extent the distribution is paid out of our current or accumulated earnings and profits (as determined under United States federal income tax principles).</w:t>
      </w:r>
    </w:p>
    <w:p>
      <w:pPr>
        <w:spacing w:after="0" w:line="60" w:lineRule="exact"/>
        <w:rPr>
          <w:sz w:val="20"/>
          <w:szCs w:val="20"/>
          <w:color w:val="auto"/>
        </w:rPr>
      </w:pPr>
    </w:p>
    <w:p>
      <w:pPr>
        <w:ind w:left="300" w:right="379" w:firstLine="360"/>
        <w:spacing w:after="0" w:line="291" w:lineRule="auto"/>
        <w:rPr>
          <w:sz w:val="20"/>
          <w:szCs w:val="20"/>
          <w:color w:val="auto"/>
        </w:rPr>
      </w:pPr>
      <w:r>
        <w:rPr>
          <w:rFonts w:ascii="Arial" w:cs="Arial" w:eastAsia="Arial" w:hAnsi="Arial"/>
          <w:sz w:val="16"/>
          <w:szCs w:val="16"/>
          <w:color w:val="auto"/>
        </w:rPr>
        <w:t>Whether a redemption pursuant to an Election qualifies for sale treatment will depend largely on the total number of our Class A ordinary shares treated as held by the U.S. Holder (including any Class A ordinary shares constructively owned by the U.S. Holder as a result of owning warrants) relative to all of our shares outstanding both before and after such redemption. The redemption generally will be treated as a sale of the Class A ordinary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58" w:lineRule="exact"/>
        <w:rPr>
          <w:sz w:val="20"/>
          <w:szCs w:val="20"/>
          <w:color w:val="auto"/>
        </w:rPr>
      </w:pPr>
    </w:p>
    <w:p>
      <w:pPr>
        <w:ind w:left="300" w:right="299" w:firstLine="360"/>
        <w:spacing w:after="0" w:line="285"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our shares actually owned by the U.S. Holder, but also our shares that are constructively owned by such holder.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would generally include Class A ordinary shares which could be acquired pursuant to the exercise of the warrants. In order to meet the substantially disproportionate test, the percentage of our outstanding voting shares actually and constructively owned by the U.S. Holder immediately following the redemption of Class A ordinary shares must, among other requirements, be less than 80 percent of the percentage of our outstanding voting shares actually and constructively owned by the U.S. Holder immediately before the redemption. Prior to a business combination the ordinary shares may not be treated as voting shares for this purpose and, consequently, this substantially disproportionate test may not be applicable. There will be a complete termination of a U.S. Holder’s interest if either (i) all of our Class A ordinary shares actually and constructively owned by the U.S. Holder are redeemed or (ii) all of our Class A ordinary shares actually owned by the U.S. Holder are redeemed and the U.S. Holder is eligible to waive, and effectively waives in accordance with specific rules, the attribution of Class A ordinary shares owned by certain family members and the U.S. Holder does not constructively own any other shares of ours. The redemption of the Class A ordinary shares will not be essentially equivalent to a dividend if such redemption results in a “meaningful reduction” of the U.S. Holder’s proportionate interest in us. Whether the redemption will result in a meaningful reduction in a U.S. Holder’s proportionate interest in us will depend 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spacing w:after="0" w:line="286" w:lineRule="auto"/>
        <w:rPr>
          <w:sz w:val="20"/>
          <w:szCs w:val="20"/>
          <w:color w:val="auto"/>
        </w:rPr>
      </w:pPr>
      <w:r>
        <w:rPr>
          <w:rFonts w:ascii="Arial" w:cs="Arial" w:eastAsia="Arial" w:hAnsi="Arial"/>
          <w:sz w:val="17"/>
          <w:szCs w:val="17"/>
          <w:color w:val="auto"/>
        </w:rPr>
        <w:t>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w:t>
      </w:r>
    </w:p>
    <w:p>
      <w:pPr>
        <w:spacing w:after="0" w:line="57" w:lineRule="exact"/>
        <w:rPr>
          <w:sz w:val="20"/>
          <w:szCs w:val="20"/>
          <w:color w:val="auto"/>
        </w:rPr>
      </w:pPr>
    </w:p>
    <w:p>
      <w:pPr>
        <w:ind w:left="300" w:right="419" w:firstLine="360"/>
        <w:spacing w:after="0" w:line="286" w:lineRule="auto"/>
        <w:rPr>
          <w:sz w:val="20"/>
          <w:szCs w:val="20"/>
          <w:color w:val="auto"/>
        </w:rPr>
      </w:pPr>
      <w:r>
        <w:rPr>
          <w:rFonts w:ascii="Arial" w:cs="Arial" w:eastAsia="Arial" w:hAnsi="Arial"/>
          <w:sz w:val="17"/>
          <w:szCs w:val="17"/>
          <w:color w:val="auto"/>
        </w:rPr>
        <w:t>If none of the foregoing tests are satisfied, then the redemption will be treated as a corporate distribution as described above. A U.S. Holder considering exercising its redemption right should consult its own tax advisor as to whether the redemption will be treated as a sale or as a corporate distribution under the Code.</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Passive Foreign Investment Company (“PFIC”) Rules</w:t>
      </w:r>
    </w:p>
    <w:p>
      <w:pPr>
        <w:spacing w:after="0" w:line="117" w:lineRule="exact"/>
        <w:rPr>
          <w:sz w:val="20"/>
          <w:szCs w:val="20"/>
          <w:color w:val="auto"/>
        </w:rPr>
      </w:pPr>
    </w:p>
    <w:p>
      <w:pPr>
        <w:ind w:left="300" w:right="299" w:firstLine="360"/>
        <w:spacing w:after="0" w:line="271" w:lineRule="auto"/>
        <w:rPr>
          <w:sz w:val="20"/>
          <w:szCs w:val="20"/>
          <w:color w:val="auto"/>
        </w:rPr>
      </w:pPr>
      <w:r>
        <w:rPr>
          <w:rFonts w:ascii="Arial" w:cs="Arial" w:eastAsia="Arial" w:hAnsi="Arial"/>
          <w:sz w:val="17"/>
          <w:szCs w:val="17"/>
          <w:color w:val="auto"/>
        </w:rPr>
        <w:t>A non-U.S. corporation will be classified as a PFIC for United States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70"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Because we are a blank check company, with no current active business, we believe that it is likely that we met the PFIC asset or income test for our initial taxable year ending December 31, 2019 and that we will meet the PFIC asset or income test for our current taxable year ending December 31, 2020. Accordingly, if a U.S. Holder did not make a timely qualified electing fund (“QEF”) election or a mark-to-market election for our first taxable year as a PFIC in which the U.S. Holder held (or was deemed to hold) Class A ordinary shares, as described below, such U.S. Holder generally will be subject to special rules with respect to (i) any gain recognized by the U.S. Holder on the sale or other disposition of its Class A ordinary shares or warrants, which would include a redemption pursuant to an Election if such redemption is treated as a sale under the rules discussed above,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 which may include a redemption pursuant to an Election if such redemption is treated as a corporate distribution under the rules discussed above.</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Under these rules:</w:t>
      </w:r>
    </w:p>
    <w:p>
      <w:pPr>
        <w:spacing w:after="0" w:line="117" w:lineRule="exact"/>
        <w:rPr>
          <w:sz w:val="20"/>
          <w:szCs w:val="20"/>
          <w:color w:val="auto"/>
        </w:rPr>
      </w:pPr>
    </w:p>
    <w:p>
      <w:pPr>
        <w:ind w:left="1000" w:right="77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Class A ordinary shares or warrants;</w:t>
      </w:r>
    </w:p>
    <w:p>
      <w:pPr>
        <w:spacing w:after="0" w:line="62" w:lineRule="exact"/>
        <w:rPr>
          <w:rFonts w:ascii="Arial" w:cs="Arial" w:eastAsia="Arial" w:hAnsi="Arial"/>
          <w:sz w:val="18"/>
          <w:szCs w:val="18"/>
          <w:color w:val="auto"/>
        </w:rPr>
      </w:pPr>
    </w:p>
    <w:p>
      <w:pPr>
        <w:ind w:left="1000" w:right="379" w:hanging="348"/>
        <w:spacing w:after="0" w:line="286"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57" w:lineRule="exact"/>
        <w:rPr>
          <w:rFonts w:ascii="Arial" w:cs="Arial" w:eastAsia="Arial" w:hAnsi="Arial"/>
          <w:sz w:val="17"/>
          <w:szCs w:val="17"/>
          <w:color w:val="auto"/>
        </w:rPr>
      </w:pPr>
    </w:p>
    <w:p>
      <w:pPr>
        <w:ind w:left="1000" w:right="339" w:hanging="348"/>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75" w:lineRule="exact"/>
        <w:rPr>
          <w:rFonts w:ascii="Arial" w:cs="Arial" w:eastAsia="Arial" w:hAnsi="Arial"/>
          <w:sz w:val="18"/>
          <w:szCs w:val="18"/>
          <w:color w:val="auto"/>
        </w:rPr>
      </w:pPr>
    </w:p>
    <w:p>
      <w:pPr>
        <w:ind w:left="1000" w:right="359" w:hanging="348"/>
        <w:spacing w:after="0" w:line="342"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 additional tax equal to the interest charge generally applicable to underpayments of tax will be imposed on the U.S. Holder with respect to the tax attributable to each such other taxable year of the U.S. Holder.</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QEF Election</w:t>
      </w:r>
    </w:p>
    <w:p>
      <w:pPr>
        <w:spacing w:after="0" w:line="117"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A U.S. Holder will avoid the PFIC tax consequences described above in respect to our Class A ordinary shares (but not our warrants)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If a U.S. Holder has made a QEF election with respect to our Class A ordinary shares for our first taxable year as a PFIC in which the U.S. Holder holds (or is deemed to hold) such shares, (i) any gain recognized as a result of a redemption pursuant to an Election (if such redemption is treated as a sale under the rules discussed above) generally will be taxable as capital gain and no additional tax will be imposed under the PFIC rules, and (ii) to the extent such redemption is treated as a distribution under the rules discussed above, any distribution of ordinary earnings that were previously included in income generally should not be taxable as a dividend to such U.S. Holder. The tax basis of a U.S. Holder’s shares in a QEF will be increased by amounts that are included in income and decreased by amounts distributed but not taxed as dividends under the above rules. Similar basis adjustments apply to property if by reason of holding such property, the U.S. Holder is treated under the applicable attribution rules as owning shares in a QEF.</w:t>
      </w:r>
    </w:p>
    <w:p>
      <w:pPr>
        <w:spacing w:after="0" w:line="77" w:lineRule="exact"/>
        <w:rPr>
          <w:sz w:val="20"/>
          <w:szCs w:val="20"/>
          <w:color w:val="auto"/>
        </w:rPr>
      </w:pPr>
    </w:p>
    <w:p>
      <w:pPr>
        <w:ind w:left="300" w:right="379" w:firstLine="360"/>
        <w:spacing w:after="0" w:line="270"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may not make a QEF election with respect to its warrants to acquire our Class A ordinary shares.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United States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73"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If a U.S. Holder makes a QEF election after our first taxable year as a PFIC in which the U.S. Holder held (or was deemed to hold) Class A ordinary shares, the adverse PFIC tax consequences (with adjustments to take into account any current income inclusions resulting from the QEF election) will continue to apply with respect to such Class A ordinary shares unless the U.S. Holder makes a purging election under the PFIC rules. Under the purging election, the U.S. Holder will be deemed to have sold such Class A ordinary shares at their fair market value and any gain recognized on such deemed sale will be treated as an excess distribution, taxed under the PFIC rules described above. As a result of the purging election, the U.S. Holder will have a new basis and holding period in such Class A ordinary shares for purposes of the PFIC rules.</w:t>
      </w:r>
    </w:p>
    <w:p>
      <w:pPr>
        <w:spacing w:after="0" w:line="70" w:lineRule="exact"/>
        <w:rPr>
          <w:sz w:val="20"/>
          <w:szCs w:val="20"/>
          <w:color w:val="auto"/>
        </w:rPr>
      </w:pPr>
    </w:p>
    <w:p>
      <w:pPr>
        <w:jc w:val="both"/>
        <w:ind w:left="300" w:right="939" w:firstLine="360"/>
        <w:spacing w:after="0" w:line="342" w:lineRule="auto"/>
        <w:rPr>
          <w:sz w:val="20"/>
          <w:szCs w:val="20"/>
          <w:color w:val="auto"/>
        </w:rPr>
      </w:pPr>
      <w:r>
        <w:rPr>
          <w:rFonts w:ascii="Arial" w:cs="Arial" w:eastAsia="Arial" w:hAnsi="Arial"/>
          <w:sz w:val="16"/>
          <w:szCs w:val="16"/>
          <w:color w:val="auto"/>
        </w:rPr>
        <w:t>In order to comply with the requirements of a QEF election, a U.S. Holder must receive a PFIC annual information statement from us. There is no assurance that we will timely provide such required information.</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Mark-to Market Election</w:t>
      </w:r>
    </w:p>
    <w:p>
      <w:pPr>
        <w:spacing w:after="0" w:line="117"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71"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The mark-to-market election is available only for “marketable stock,” generally, stock that is regularly traded on a national securities exchange that is registered with the Securities and Exchange Commission, including Nasdaq,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ordinary shares under their particular circumstances.</w:t>
      </w:r>
    </w:p>
    <w:p>
      <w:pPr>
        <w:spacing w:after="0" w:line="84"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The rules dealing with PFICs and with the QEF and mark-to-market elections are very complex and are affected by various factors in addition to those described above. Accordingly, U.S. Holders of our Class A ordinary shares or warrants should consult their own tax advisors concerning the application of the PFIC rules under their particular circumstances.</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300" w:right="519" w:firstLine="360"/>
        <w:spacing w:after="0" w:line="275" w:lineRule="auto"/>
        <w:rPr>
          <w:sz w:val="20"/>
          <w:szCs w:val="20"/>
          <w:color w:val="auto"/>
        </w:rPr>
      </w:pPr>
      <w:r>
        <w:rPr>
          <w:rFonts w:ascii="Arial" w:cs="Arial" w:eastAsia="Arial" w:hAnsi="Arial"/>
          <w:sz w:val="17"/>
          <w:szCs w:val="17"/>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w:t>
      </w:r>
    </w:p>
    <w:p>
      <w:pPr>
        <w:spacing w:after="0" w:line="68"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furnishing any required information. Holders are urged to consult their own tax advisors regarding the application of backup withholding and the availability of and procedure for obtaining an exemption from backup withholding in their particular circumstances.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EXTRAORDINARY GENERAL MEETING</w:t>
      </w:r>
    </w:p>
    <w:p>
      <w:pPr>
        <w:spacing w:after="0" w:line="121" w:lineRule="exact"/>
        <w:rPr>
          <w:sz w:val="20"/>
          <w:szCs w:val="20"/>
          <w:color w:val="auto"/>
        </w:rPr>
      </w:pPr>
    </w:p>
    <w:p>
      <w:pPr>
        <w:jc w:val="both"/>
        <w:ind w:left="300" w:right="559" w:firstLine="360"/>
        <w:spacing w:after="0" w:line="342" w:lineRule="auto"/>
        <w:rPr>
          <w:sz w:val="20"/>
          <w:szCs w:val="20"/>
          <w:color w:val="auto"/>
        </w:rPr>
      </w:pPr>
      <w:r>
        <w:rPr>
          <w:rFonts w:ascii="Arial" w:cs="Arial" w:eastAsia="Arial" w:hAnsi="Arial"/>
          <w:sz w:val="16"/>
          <w:szCs w:val="16"/>
          <w:i w:val="1"/>
          <w:iCs w:val="1"/>
          <w:color w:val="auto"/>
        </w:rPr>
        <w:t>Date, Time and Place</w:t>
      </w:r>
      <w:r>
        <w:rPr>
          <w:rFonts w:ascii="Arial" w:cs="Arial" w:eastAsia="Arial" w:hAnsi="Arial"/>
          <w:sz w:val="16"/>
          <w:szCs w:val="16"/>
          <w:color w:val="auto"/>
        </w:rPr>
        <w:t>. The Extraordinary General Meeting of our shareholders will be held at [•] [a.m./p.m.]</w:t>
      </w:r>
      <w:r>
        <w:rPr>
          <w:rFonts w:ascii="Arial" w:cs="Arial" w:eastAsia="Arial" w:hAnsi="Arial"/>
          <w:sz w:val="16"/>
          <w:szCs w:val="16"/>
          <w:i w:val="1"/>
          <w:iCs w:val="1"/>
          <w:color w:val="auto"/>
        </w:rPr>
        <w:t xml:space="preserve"> </w:t>
      </w:r>
      <w:r>
        <w:rPr>
          <w:rFonts w:ascii="Arial" w:cs="Arial" w:eastAsia="Arial" w:hAnsi="Arial"/>
          <w:sz w:val="16"/>
          <w:szCs w:val="16"/>
          <w:color w:val="auto"/>
        </w:rPr>
        <w:t>Eastern Time on [•], 202[•] at our offices, located at 660 Madison Ave., Suite 1600, New York, New York 10065.</w:t>
      </w:r>
    </w:p>
    <w:p>
      <w:pPr>
        <w:spacing w:after="0" w:line="2"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i w:val="1"/>
          <w:iCs w:val="1"/>
          <w:color w:val="auto"/>
        </w:rPr>
        <w:t>Voting Power; Record Date</w:t>
      </w:r>
      <w:r>
        <w:rPr>
          <w:rFonts w:ascii="Arial" w:cs="Arial" w:eastAsia="Arial" w:hAnsi="Arial"/>
          <w:sz w:val="18"/>
          <w:szCs w:val="18"/>
          <w:color w:val="auto"/>
        </w:rPr>
        <w:t>. You will be entitled to vote or direct votes to be cast at the Extraordinary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if you owned the ordinary shares at the close of business on [•], 202[•] the record date for the Extraordinary General Meeting. You will have one vote per proposal for each share of ordinary shares you owned at that time. The Company warrants do not carry voting rights.</w:t>
      </w:r>
    </w:p>
    <w:p>
      <w:pPr>
        <w:spacing w:after="0" w:line="65"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i w:val="1"/>
          <w:iCs w:val="1"/>
          <w:color w:val="auto"/>
        </w:rPr>
        <w:t>Votes Required</w:t>
      </w:r>
      <w:r>
        <w:rPr>
          <w:rFonts w:ascii="Arial" w:cs="Arial" w:eastAsia="Arial" w:hAnsi="Arial"/>
          <w:sz w:val="18"/>
          <w:szCs w:val="18"/>
          <w:color w:val="auto"/>
        </w:rPr>
        <w:t>. The approval of the Extension Amendment Proposal requires a special resolution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Cayman Islands law, being the affirmative vote of the holders of at least two-thirds of the then issued and outstanding ordinary shares who, being present and entitled to vote at the Extraordinary General Meeting, actually vote at the Extraordinary General Meeting.</w:t>
      </w:r>
    </w:p>
    <w:p>
      <w:pPr>
        <w:spacing w:after="0" w:line="52" w:lineRule="exact"/>
        <w:rPr>
          <w:sz w:val="20"/>
          <w:szCs w:val="20"/>
          <w:color w:val="auto"/>
        </w:rPr>
      </w:pPr>
    </w:p>
    <w:p>
      <w:pPr>
        <w:jc w:val="both"/>
        <w:ind w:left="300" w:right="339" w:firstLine="360"/>
        <w:spacing w:after="0" w:line="275" w:lineRule="auto"/>
        <w:rPr>
          <w:sz w:val="20"/>
          <w:szCs w:val="20"/>
          <w:color w:val="auto"/>
        </w:rPr>
      </w:pPr>
      <w:r>
        <w:rPr>
          <w:rFonts w:ascii="Arial" w:cs="Arial" w:eastAsia="Arial" w:hAnsi="Arial"/>
          <w:sz w:val="17"/>
          <w:szCs w:val="17"/>
          <w:color w:val="auto"/>
        </w:rPr>
        <w:t>On the record date of the Extraordinary General Meeting, there were 31,250,000 ordinary shares outstanding, of which 25,000,000 were public shares and 6,250,000 were founder shares. The founder shares carry voting rights in connection with the Extension Amendment Proposal and the Adjournment Proposal, and we have been informed by our Sponsor, that holds 6,250,000 founder shares in the aggregate, that it intends to vote in favor of the Extension Amendment Proposal and the Adjournment Proposal.</w:t>
      </w:r>
    </w:p>
    <w:p>
      <w:pPr>
        <w:spacing w:after="0" w:line="55"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If you do not want the Extension Amendment Proposal to be approved, you must vote “AGAINST” the proposal. If the Extension Amendment Proposal is approved, and the Extension is implemented, then the Withdrawal Amount will be withdrawn from the Trust Account and paid pro rata to the redeeming holders. You will still be entitled to make the Election if you vote for or against, abstain or do not vote on the Extension Amendment Proposal.</w:t>
      </w:r>
    </w:p>
    <w:p>
      <w:pPr>
        <w:spacing w:after="0" w:line="66"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An abstention or broker non-vote will be counted towards the quorum requirement but will not count as a vote cast at the Extraordinary General Meeting.</w:t>
      </w:r>
    </w:p>
    <w:p>
      <w:pPr>
        <w:spacing w:after="0" w:line="35" w:lineRule="exact"/>
        <w:rPr>
          <w:sz w:val="20"/>
          <w:szCs w:val="20"/>
          <w:color w:val="auto"/>
        </w:rPr>
      </w:pPr>
    </w:p>
    <w:p>
      <w:pPr>
        <w:ind w:left="300" w:right="399" w:firstLine="360"/>
        <w:spacing w:after="0" w:line="293" w:lineRule="auto"/>
        <w:rPr>
          <w:sz w:val="20"/>
          <w:szCs w:val="20"/>
          <w:color w:val="auto"/>
        </w:rPr>
      </w:pPr>
      <w:r>
        <w:rPr>
          <w:rFonts w:ascii="Arial" w:cs="Arial" w:eastAsia="Arial" w:hAnsi="Arial"/>
          <w:sz w:val="16"/>
          <w:szCs w:val="16"/>
          <w:i w:val="1"/>
          <w:iCs w:val="1"/>
          <w:color w:val="auto"/>
        </w:rPr>
        <w:t>Proxies; Board Solicitation; Proxy Solicitor</w:t>
      </w:r>
      <w:r>
        <w:rPr>
          <w:rFonts w:ascii="Arial" w:cs="Arial" w:eastAsia="Arial" w:hAnsi="Arial"/>
          <w:sz w:val="16"/>
          <w:szCs w:val="16"/>
          <w:color w:val="auto"/>
        </w:rPr>
        <w:t>. Your proxy is being solicited by our board on the proposals to</w:t>
      </w:r>
      <w:r>
        <w:rPr>
          <w:rFonts w:ascii="Arial" w:cs="Arial" w:eastAsia="Arial" w:hAnsi="Arial"/>
          <w:sz w:val="16"/>
          <w:szCs w:val="16"/>
          <w:i w:val="1"/>
          <w:iCs w:val="1"/>
          <w:color w:val="auto"/>
        </w:rPr>
        <w:t xml:space="preserve"> </w:t>
      </w:r>
      <w:r>
        <w:rPr>
          <w:rFonts w:ascii="Arial" w:cs="Arial" w:eastAsia="Arial" w:hAnsi="Arial"/>
          <w:sz w:val="16"/>
          <w:szCs w:val="16"/>
          <w:color w:val="auto"/>
        </w:rPr>
        <w:t>approve the Extension Amendment Proposal being presented to shareholders at the Extraordinary General Meeting. We have engaged D.F. King to assist in the solicitation of proxies for the Extraordinary General Meeting. No recommendation is being made as to whether you should elect to redeem your shares. Proxies may be solicited in person or by telephone. If you grant a proxy, you may still revoke your proxy and vote your shares in person at the Extraordinary General Meeting if you are a holder of record of the ordinary shares. You may contact D.F. King at:</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D.F. King &amp; Co., Inc.</w:t>
      </w:r>
    </w:p>
    <w:p>
      <w:pPr>
        <w:ind w:left="660"/>
        <w:spacing w:after="0" w:line="186" w:lineRule="auto"/>
        <w:rPr>
          <w:sz w:val="20"/>
          <w:szCs w:val="20"/>
          <w:color w:val="auto"/>
        </w:rPr>
      </w:pPr>
      <w:r>
        <w:rPr>
          <w:rFonts w:ascii="Arial" w:cs="Arial" w:eastAsia="Arial" w:hAnsi="Arial"/>
          <w:sz w:val="17"/>
          <w:szCs w:val="17"/>
          <w:color w:val="auto"/>
        </w:rPr>
        <w:t>48 Wall Street, 22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Floor</w:t>
      </w:r>
    </w:p>
    <w:p>
      <w:pPr>
        <w:ind w:left="66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Banks and Brokers Call Collect: (212) 269-5550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Others Call Toll-Free: (877) 478-5045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SSPK@dfking.com</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300" w:right="519" w:firstLine="360"/>
        <w:spacing w:after="0" w:line="259" w:lineRule="auto"/>
        <w:rPr>
          <w:sz w:val="20"/>
          <w:szCs w:val="20"/>
          <w:color w:val="auto"/>
        </w:rPr>
      </w:pPr>
      <w:r>
        <w:rPr>
          <w:rFonts w:ascii="Arial" w:cs="Arial" w:eastAsia="Arial" w:hAnsi="Arial"/>
          <w:sz w:val="18"/>
          <w:szCs w:val="18"/>
          <w:color w:val="auto"/>
        </w:rPr>
        <w:t>The approval of the Extension Amendment Proposal requires a special resolution under Cayman Islands law, being the affirmative vote of the holders of at least two-thirds of the then issued and outstanding ordinary shares who, being present and entitled to vote at the Extraordinary General Meeting, actually vote at the Extraordinary General Meeting.</w:t>
      </w:r>
    </w:p>
    <w:p>
      <w:pPr>
        <w:spacing w:after="0" w:line="65" w:lineRule="exact"/>
        <w:rPr>
          <w:sz w:val="20"/>
          <w:szCs w:val="20"/>
          <w:color w:val="auto"/>
        </w:rPr>
      </w:pPr>
    </w:p>
    <w:p>
      <w:pPr>
        <w:ind w:left="300" w:right="379" w:firstLine="360"/>
        <w:spacing w:after="0" w:line="289" w:lineRule="auto"/>
        <w:rPr>
          <w:sz w:val="20"/>
          <w:szCs w:val="20"/>
          <w:color w:val="auto"/>
        </w:rPr>
      </w:pPr>
      <w:r>
        <w:rPr>
          <w:rFonts w:ascii="Arial" w:cs="Arial" w:eastAsia="Arial" w:hAnsi="Arial"/>
          <w:sz w:val="16"/>
          <w:szCs w:val="16"/>
          <w:color w:val="auto"/>
        </w:rPr>
        <w:t>If the Extension Amendment Proposal is not approved and we do not consummate a business combination by February 12, 2021, as contemplated by our IPO prospectus and in accordance with our Articles,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75" w:lineRule="auto"/>
        <w:rPr>
          <w:sz w:val="20"/>
          <w:szCs w:val="20"/>
          <w:color w:val="auto"/>
        </w:rPr>
      </w:pPr>
      <w:r>
        <w:rPr>
          <w:rFonts w:ascii="Arial" w:cs="Arial" w:eastAsia="Arial" w:hAnsi="Arial"/>
          <w:sz w:val="17"/>
          <w:szCs w:val="17"/>
          <w:color w:val="auto"/>
        </w:rPr>
        <w:t>board, liquidate and dissolve, subject to our obligations under Cayman Islands law to provide for claims of creditors and other requirements of applicable law. There will be no redemption rights or liquidating distributions with respect to our warrants, which will expire worthless if we fail to complete a business combination by February 12, 2021. In the event of a liquidation, holders of our founder shares, including our Sponsor, will not receive any monies held in the Trust Account as a result of their ownership of the founder shares.</w:t>
      </w:r>
    </w:p>
    <w:p>
      <w:pPr>
        <w:spacing w:after="0" w:line="55" w:lineRule="exact"/>
        <w:rPr>
          <w:sz w:val="20"/>
          <w:szCs w:val="20"/>
          <w:color w:val="auto"/>
        </w:rPr>
      </w:pPr>
    </w:p>
    <w:p>
      <w:pPr>
        <w:ind w:left="300" w:right="379" w:firstLine="360"/>
        <w:spacing w:after="0" w:line="285" w:lineRule="auto"/>
        <w:rPr>
          <w:sz w:val="20"/>
          <w:szCs w:val="20"/>
          <w:color w:val="auto"/>
        </w:rPr>
      </w:pPr>
      <w:r>
        <w:rPr>
          <w:rFonts w:ascii="Arial" w:cs="Arial" w:eastAsia="Arial" w:hAnsi="Arial"/>
          <w:sz w:val="16"/>
          <w:szCs w:val="16"/>
          <w:color w:val="auto"/>
        </w:rPr>
        <w:t>In addition, our Sponsor, directors, officers, advisors or any of their affiliates may purchase public shares in privately negotiated transactions or in the open market either prior to the Extraordinary General Meeting. None of our Sponsor, directors, officers, advisors or any of their affiliates have current commitments, plans or intentions to engage in such transactions and have not formulated any terms or conditions for any such transactions. None of the funds in the Trust Account will be used to purchase public shares in such transactions. Any such purchases that are completed after the record date for the Extraordinary General Meeting may include an agreement with a selling shareholder that such shareholder, for so long as it remains the record holder of the shares in question, will vote in favor of the Extension Amendment Proposal and/or will not exercise its redemption rights with respect to the shares so purchased. The purpose of such share purchases and other transactions would be to increase the likelihood that the resolutions to be put to the Extraordinary General Meeting are approved by the requisite number of votes. In the event that such purchases do occur, the purchasers may seek to purchase shares from shareholders who would otherwise have voted against the Extension Amendment Proposal and elected to redeem their shares for a portion of the Trust Account. Any such privately negotiated purchases may be effected at purchase prices that are below or in excess of the per-share pro rata portion of the Trust Account. Any public shares held by or subsequently purchased by our affiliates may be voted in favor of the Extension Amendment Proposal. None of our Sponsor, directors, officers, advisors or their affiliates may make any such purchases when they are in possession of any material non-public information not disclosed to the seller or during a restricted period under Regulation M under the Exchange Act.</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our Sponsor, Directors and Officers</w:t>
      </w:r>
    </w:p>
    <w:p>
      <w:pPr>
        <w:spacing w:after="0" w:line="121"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When you consider the recommendation of our board, you should keep in mind that our Sponsor, directors and officers have interests that may be different from, or in addition to, your interests as a shareholder. These interests include, among other things, the interests listed below:</w:t>
      </w:r>
    </w:p>
    <w:p>
      <w:pPr>
        <w:spacing w:after="0" w:line="62" w:lineRule="exact"/>
        <w:rPr>
          <w:sz w:val="20"/>
          <w:szCs w:val="20"/>
          <w:color w:val="auto"/>
        </w:rPr>
      </w:pPr>
    </w:p>
    <w:p>
      <w:pPr>
        <w:ind w:left="1000" w:right="359" w:hanging="348"/>
        <w:spacing w:after="0" w:line="285"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we do not consummate a business combination transaction by February 12, 2021, which is 18 months from the closing of our IPO, or by the Extended Date if the Extension Amendment Proposal is approved by the requisite number of votes, we would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liquidate and dissolve, subject to our obligations under Cayman Islands law to provide for claims of creditors and other requirements of applicable law. In such event, the founder shares, including the 6,250,000 founder shares owned by our Sponsor, would be worthless because following the redemption of the public shares, we would likely have few, if any, net assets and because the holder of our founder shares has agreed to waive its rights to liquidating distributions from the Trust Account with respect to the founder shares if we fail to complete a business combination within the required period.</w:t>
      </w:r>
    </w:p>
    <w:p>
      <w:pPr>
        <w:spacing w:after="0" w:line="54" w:lineRule="exact"/>
        <w:rPr>
          <w:rFonts w:ascii="Arial" w:cs="Arial" w:eastAsia="Arial" w:hAnsi="Arial"/>
          <w:sz w:val="16"/>
          <w:szCs w:val="16"/>
          <w:color w:val="auto"/>
        </w:rPr>
      </w:pPr>
    </w:p>
    <w:p>
      <w:pPr>
        <w:ind w:left="1000" w:right="359" w:hanging="348"/>
        <w:spacing w:after="0" w:line="272"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addition, simultaneously with the closing of our IPO, we consummated the sale of 7,000,000 private placement warrants at a price of $1.00 per warrant in a private placement to our Sponsor. The warrants are each exercisable for one ordinary share at $11.50 per share. If we do not consummate a business combination by February 12, 2021, or by the Extended Date if the Extension Amendment Proposal is approved by the requisite number of votes, then the proceeds from the sale of the private placement warrants will be part of the liquidating distribution to the public shareholders and the warrants held by our Sponsor and its affiliate will be worthless.</w:t>
      </w:r>
    </w:p>
    <w:p>
      <w:pPr>
        <w:spacing w:after="0" w:line="69" w:lineRule="exact"/>
        <w:rPr>
          <w:rFonts w:ascii="Arial" w:cs="Arial" w:eastAsia="Arial" w:hAnsi="Arial"/>
          <w:sz w:val="17"/>
          <w:szCs w:val="17"/>
          <w:color w:val="auto"/>
        </w:rPr>
      </w:pPr>
    </w:p>
    <w:p>
      <w:pPr>
        <w:ind w:left="1000" w:right="619" w:hanging="348"/>
        <w:spacing w:after="0" w:line="342"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directors and executive officers may continue to be directors and officers of any acquired business after the consummation of a business combination. As such, in the future they will receive any cash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79"/>
        <w:spacing w:after="0" w:line="342" w:lineRule="auto"/>
        <w:rPr>
          <w:sz w:val="20"/>
          <w:szCs w:val="20"/>
          <w:color w:val="auto"/>
        </w:rPr>
      </w:pPr>
      <w:r>
        <w:rPr>
          <w:rFonts w:ascii="Arial" w:cs="Arial" w:eastAsia="Arial" w:hAnsi="Arial"/>
          <w:sz w:val="16"/>
          <w:szCs w:val="16"/>
          <w:color w:val="auto"/>
        </w:rPr>
        <w:t>fees, stock options or stock awards that a post-business combination board of directors determines to pay to its directors and officers if they continue as directors and officers following such business combination.</w:t>
      </w:r>
    </w:p>
    <w:p>
      <w:pPr>
        <w:spacing w:after="0" w:line="16" w:lineRule="exact"/>
        <w:rPr>
          <w:sz w:val="20"/>
          <w:szCs w:val="20"/>
          <w:color w:val="auto"/>
        </w:rPr>
      </w:pPr>
    </w:p>
    <w:p>
      <w:pPr>
        <w:ind w:left="1000" w:right="299" w:hanging="348"/>
        <w:spacing w:after="0" w:line="289"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order to protect the amounts held in the Trust Account,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(i) $10.00 per public share or (ii) such lesser amount per public share held in the trust account as of the date of the liquidation of the trust account, due to reductions in the value of the trust assets, in each case net of the amount of interest which may be withdrawn to pay taxes, except as to any claims by a third party who executed a waiver of any and all rights to seek access to the trust account and except as to any claims under our indemnity of the underwriters of the IPO against certain liabilities, including liabilities under the Securities Act.</w:t>
      </w:r>
    </w:p>
    <w:p>
      <w:pPr>
        <w:spacing w:after="0" w:line="58" w:lineRule="exact"/>
        <w:rPr>
          <w:rFonts w:ascii="Arial" w:cs="Arial" w:eastAsia="Arial" w:hAnsi="Arial"/>
          <w:sz w:val="16"/>
          <w:szCs w:val="16"/>
          <w:color w:val="auto"/>
        </w:rPr>
      </w:pPr>
    </w:p>
    <w:p>
      <w:pPr>
        <w:ind w:left="1000" w:right="399" w:hanging="348"/>
        <w:spacing w:after="0" w:line="286"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Following consummation of a business combination, our Sponsor, our officers and directors and their respective affiliates will be reimbursed for any out-of-pocket expenses incurred in connection with activities on our behalf such as identifying, investigating potential target businesses and performing due diligence on and completing suitable business combinations. Our audit committee will review on a quarterly basis all payments that were made to our sponsor, officers, directors or our or any of their affiliates and will determine which expenses and the amount of expenses that will be reimbursed. There is no cap or ceiling on the reimbursement of out-of-pocket expenses incurred by such persons in connection with activities on our behalf. However, if we fail to consummate a business combination within the applicable period, our Sponsor and our officers and directors and their respective affiliates will not have any claim against the Trust Account for reimbursement, and we may not otherwise be able to reimburse them. In addition, our Sponsor or an affiliate of our Sponsor or certain of our officers and directors may, but are not obligated to, loan us funds as may be required to finance transaction costs in connection with an intended business combination, the terms of which have not been determined nor have any written agreements been executed with respect thereto. Up to $1,500,000 of such loans may be convertible into warrants, at a price of $1.00 per warrant at the option of the lender.</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Board’s Reasons for the Extension Amendment Proposal and Its Recommendation</w:t>
      </w:r>
    </w:p>
    <w:p>
      <w:pPr>
        <w:spacing w:after="0" w:line="121" w:lineRule="exact"/>
        <w:rPr>
          <w:sz w:val="20"/>
          <w:szCs w:val="20"/>
          <w:color w:val="auto"/>
        </w:rPr>
      </w:pPr>
    </w:p>
    <w:p>
      <w:pPr>
        <w:ind w:left="300" w:right="659" w:firstLine="360"/>
        <w:spacing w:after="0" w:line="259" w:lineRule="auto"/>
        <w:rPr>
          <w:sz w:val="20"/>
          <w:szCs w:val="20"/>
          <w:color w:val="auto"/>
        </w:rPr>
      </w:pPr>
      <w:r>
        <w:rPr>
          <w:rFonts w:ascii="Arial" w:cs="Arial" w:eastAsia="Arial" w:hAnsi="Arial"/>
          <w:sz w:val="18"/>
          <w:szCs w:val="18"/>
          <w:color w:val="auto"/>
        </w:rPr>
        <w:t>As discussed below, after careful consideration of all relevant factors, our board has determined that the Extension Amendment is in the best interests of the Company and its shareholders. Our board has approved and declared advisable adoption of the Extension Amendment Proposal, and recommends that you vote “FOR” such proposal.</w:t>
      </w:r>
    </w:p>
    <w:p>
      <w:pPr>
        <w:spacing w:after="0" w:line="79" w:lineRule="exact"/>
        <w:rPr>
          <w:sz w:val="20"/>
          <w:szCs w:val="20"/>
          <w:color w:val="auto"/>
        </w:rPr>
      </w:pPr>
    </w:p>
    <w:p>
      <w:pPr>
        <w:ind w:left="300" w:right="339" w:firstLine="360"/>
        <w:spacing w:after="0" w:line="285" w:lineRule="auto"/>
        <w:rPr>
          <w:sz w:val="20"/>
          <w:szCs w:val="20"/>
          <w:color w:val="auto"/>
        </w:rPr>
      </w:pPr>
      <w:r>
        <w:rPr>
          <w:rFonts w:ascii="Arial" w:cs="Arial" w:eastAsia="Arial" w:hAnsi="Arial"/>
          <w:sz w:val="16"/>
          <w:szCs w:val="16"/>
          <w:color w:val="auto"/>
        </w:rPr>
        <w:t>Our Articles provide that we have until February 12, 2021 to complete a business combination under its terms. Our Articles provide that if our shareholders approve an amendment to our Articles (A) to modify the substance or timing of our obligation to redeem all of our public shares if we do not complete a business combination before February 12, 2021 (B) with respect to any other provision relating to shareholders’ rights or pre-business combination activity, we will provide our public shareholders with the opportunity to redeem all or a portion of their ordinary shares upon such approval at a per-share price, payable in cash, equal to the aggregate amount then on deposit in the Trust Account, including interest (which interest shall be net of taxes payable), divided by the number of then issued and outstanding public shares. We believe that this provision of the Articles was included to protect our shareholders from having to sustain their investments for an unreasonably long period if we failed to find a suitable business combination in the timeframe contemplated by the Articles. Our board believes, however, that given our expenditure of time, effort and money on the WM business combination, circumstances warrant providing those who believe the WM business combination to be an attractive investment with an opportunity to consider such transaction, inasmuch as we are also affording shareholders who wish to redeem their public shares the opportunity to do so, as required under the Articles. If you do not elect to redeem your public shares, you will retain the right to vote on any business combination in the future and the right to redeem your public shares in connection with such business combination. After careful consideration of all relevant factors, our board determined that the Extension Amendment is in the best interests of the Company and its shareholders.</w:t>
      </w:r>
    </w:p>
    <w:p>
      <w:pPr>
        <w:spacing w:after="0" w:line="62" w:lineRule="exact"/>
        <w:rPr>
          <w:sz w:val="20"/>
          <w:szCs w:val="20"/>
          <w:color w:val="auto"/>
        </w:rPr>
      </w:pPr>
    </w:p>
    <w:p>
      <w:pPr>
        <w:ind w:left="300" w:right="499" w:firstLine="360"/>
        <w:spacing w:after="0" w:line="282" w:lineRule="auto"/>
        <w:rPr>
          <w:sz w:val="20"/>
          <w:szCs w:val="20"/>
          <w:color w:val="auto"/>
        </w:rPr>
      </w:pPr>
      <w:r>
        <w:rPr>
          <w:rFonts w:ascii="Arial" w:cs="Arial" w:eastAsia="Arial" w:hAnsi="Arial"/>
          <w:sz w:val="18"/>
          <w:szCs w:val="18"/>
          <w:b w:val="1"/>
          <w:bCs w:val="1"/>
          <w:color w:val="auto"/>
        </w:rPr>
        <w:t>Our Board unanimously recommends that our shareholders vote “FOR” the approval of the Extension Amendment Proposal.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APPOINTMENT PROPOSAL</w:t>
      </w:r>
    </w:p>
    <w:p>
      <w:pPr>
        <w:spacing w:after="0" w:line="121"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At the Extraordinary General Meeting, the Class B shareholders are being asked to re-appoint Scott Gordon and William Healy as Class 1 directors, with each such director to serve until the second annual general meeting following this Extraordinary General Meeting and, in each case, until his successor is appointed and qualified (the “Director Proposal”).</w:t>
      </w:r>
    </w:p>
    <w:p>
      <w:pPr>
        <w:spacing w:after="0" w:line="79"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Pursuant to our amended and restated memorandum and articles of association, until the closing of our initial business combination, only holders of our Class B ordinary shares can appoint or remove directors. Therefore, only holders of Class B ordinary shares will vote on the Director Proposal. The appointment of each director nominee requires the affirmative vote (in person or by proxy) of the holders of a majority of the outstanding Class B ordinary shares entitled to vote and actually cast thereon at the Extraordinary General Meeting, and our Sponsor has informed us that it intends to vote in favor of the Director Proposal.</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sets forth information regarding each of our director nominees:</w:t>
      </w:r>
    </w:p>
    <w:p>
      <w:pPr>
        <w:spacing w:after="0" w:line="117" w:lineRule="exact"/>
        <w:rPr>
          <w:sz w:val="20"/>
          <w:szCs w:val="20"/>
          <w:color w:val="auto"/>
        </w:rPr>
      </w:pPr>
    </w:p>
    <w:p>
      <w:pPr>
        <w:ind w:left="300" w:right="359" w:firstLine="360"/>
        <w:spacing w:after="0" w:line="268" w:lineRule="auto"/>
        <w:rPr>
          <w:sz w:val="20"/>
          <w:szCs w:val="20"/>
          <w:color w:val="auto"/>
        </w:rPr>
      </w:pPr>
      <w:r>
        <w:rPr>
          <w:rFonts w:ascii="Arial" w:cs="Arial" w:eastAsia="Arial" w:hAnsi="Arial"/>
          <w:sz w:val="17"/>
          <w:szCs w:val="17"/>
          <w:b w:val="1"/>
          <w:bCs w:val="1"/>
          <w:i w:val="1"/>
          <w:iCs w:val="1"/>
          <w:color w:val="auto"/>
        </w:rPr>
        <w:t>Scott Gordon</w:t>
      </w:r>
      <w:r>
        <w:rPr>
          <w:rFonts w:ascii="Arial" w:cs="Arial" w:eastAsia="Arial" w:hAnsi="Arial"/>
          <w:sz w:val="17"/>
          <w:szCs w:val="17"/>
          <w:color w:val="auto"/>
        </w:rPr>
        <w:t>, [58], has been the Chairman of our board of directors and has served as our Chief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since our inception. Since 2016, Mr. Gordon has been the co-founder and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 We believe Mr. Gordon’s experience in emerging markets and in the cannabis sector make him well qualified to serve as a member of our board of directors.</w:t>
      </w:r>
    </w:p>
    <w:p>
      <w:pPr>
        <w:spacing w:after="0" w:line="76"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b w:val="1"/>
          <w:bCs w:val="1"/>
          <w:i w:val="1"/>
          <w:iCs w:val="1"/>
          <w:color w:val="auto"/>
        </w:rPr>
        <w:t>William Healy</w:t>
      </w:r>
      <w:r>
        <w:rPr>
          <w:rFonts w:ascii="Arial" w:cs="Arial" w:eastAsia="Arial" w:hAnsi="Arial"/>
          <w:sz w:val="17"/>
          <w:szCs w:val="17"/>
          <w:color w:val="auto"/>
        </w:rPr>
        <w:t>, [57], has been a member of our board of directors and has served as our President since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inception. Since 1986, Mr. Healy has advised and covered institutional clients in a variety of roles spanning corporate finance, investment management, and investment banking in London, Brazil, and New York. From 2018 to May 2019, he was President of Pantera Capital Management, an investment management company. From 1998 to 2016, Mr. Healy managed several hedge fund and private equity dedicated institutional sales teams at Deutsche Bank and the firm’s wealth and asset management division. He began his career with The Chase Manhattan Bank based in London, Brazil, and New York where he advised multinational corporations on cross-border funding of their Latin America-domiciled operations. From 1993 to 1998, he formed and managed the ING Barings emerging markets institutional debt sales team where he covered clients and often traveled to Latin America, Europe, and Asia to structure, price, and pre-market many of the firm’s capital markets transactions. Mr. Healy received a BA, International Business from The George Washington University, Washington DC. He is multi-lingual (English, Spanish, and Portuguese) and a Chartered Alternative Investment Analyst Association (CAIA) member. We believe Mr. Healy’s experience as an investment professional make him well qualified to serve as a member of our board of directors.</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Directors Continuing in Office</w:t>
      </w:r>
    </w:p>
    <w:p>
      <w:pPr>
        <w:spacing w:after="0" w:line="121" w:lineRule="exact"/>
        <w:rPr>
          <w:sz w:val="20"/>
          <w:szCs w:val="20"/>
          <w:color w:val="auto"/>
        </w:rPr>
      </w:pPr>
    </w:p>
    <w:p>
      <w:pPr>
        <w:ind w:left="300" w:right="559" w:firstLine="360"/>
        <w:spacing w:after="0" w:line="283" w:lineRule="auto"/>
        <w:rPr>
          <w:sz w:val="20"/>
          <w:szCs w:val="20"/>
          <w:color w:val="auto"/>
        </w:rPr>
      </w:pPr>
      <w:r>
        <w:rPr>
          <w:rFonts w:ascii="Arial" w:cs="Arial" w:eastAsia="Arial" w:hAnsi="Arial"/>
          <w:sz w:val="16"/>
          <w:szCs w:val="16"/>
          <w:b w:val="1"/>
          <w:bCs w:val="1"/>
          <w:i w:val="1"/>
          <w:iCs w:val="1"/>
          <w:color w:val="auto"/>
        </w:rPr>
        <w:t>Orrin Devinsky</w:t>
      </w:r>
      <w:r>
        <w:rPr>
          <w:rFonts w:ascii="Arial" w:cs="Arial" w:eastAsia="Arial" w:hAnsi="Arial"/>
          <w:sz w:val="16"/>
          <w:szCs w:val="16"/>
          <w:color w:val="auto"/>
        </w:rPr>
        <w:t>, [63], has served as a member of our board of directors since August 2019. Since 1989,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 Devinsky has directed the NYU Langone Comprehensive Epilepsy Center and is a Professor of Neurology, Neuroscience, Psychiatry and Neurosurgery at the NYU School of Medicine. From 2013 to 2018, Dr. Devinsky served as a lead investigator for the GW Pharma trials of EPIDIOLEX in childhood-onset severe epilepsies; since 2016, Dr. Devinsky has served as the Chair of the Medical Advisory Board for Tilray, a pharmaceutical and cannabis company, and on the Scientific Advisory Board for Papa &amp; Barkley, a cannabis products company with related subsidiary assets in manufacturing, processing and logistics; since 2017, Dr. Devinsky has served on the Business and Scientific Advisory Boards of Tevard, a company developing gene therapy platforms to target rare diseases with high unmet need, and on the Business and Scientific Advisory Boards of Engage Therapeutics,</w:t>
      </w:r>
    </w:p>
    <w:p>
      <w:pPr>
        <w:spacing w:after="0" w:line="6" w:lineRule="exact"/>
        <w:rPr>
          <w:sz w:val="20"/>
          <w:szCs w:val="20"/>
          <w:color w:val="auto"/>
        </w:rPr>
      </w:pPr>
    </w:p>
    <w:p>
      <w:pPr>
        <w:ind w:left="300" w:right="579"/>
        <w:spacing w:after="0" w:line="323" w:lineRule="auto"/>
        <w:rPr>
          <w:sz w:val="20"/>
          <w:szCs w:val="20"/>
          <w:color w:val="auto"/>
        </w:rPr>
      </w:pPr>
      <w:r>
        <w:rPr>
          <w:rFonts w:ascii="Arial" w:cs="Arial" w:eastAsia="Arial" w:hAnsi="Arial"/>
          <w:sz w:val="16"/>
          <w:szCs w:val="16"/>
          <w:color w:val="auto"/>
        </w:rPr>
        <w:t>a biopharmaceutical company developing a new rescue therapy for people who experience uncontrolled epileptic seizures; since 2018, Dr. Devinsky has served as the Chief Medical Officer for Receptor Life Sciences,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a cannabinoid medicine drug development company. Dr. Devinsky received an MS from Yale University in 1977, a BS from Yale College in 1978 and a MD from Harvard Medical School in 1982. We believe Dr. Devinsky's experience in medicine, cannabinoid science and companies, therapeutics and drug development make him well qualified to serve as a director.</w:t>
      </w:r>
    </w:p>
    <w:p>
      <w:pPr>
        <w:spacing w:after="0" w:line="79" w:lineRule="exact"/>
        <w:rPr>
          <w:sz w:val="20"/>
          <w:szCs w:val="20"/>
          <w:color w:val="auto"/>
        </w:rPr>
      </w:pPr>
    </w:p>
    <w:p>
      <w:pPr>
        <w:ind w:left="300" w:right="439" w:firstLine="360"/>
        <w:spacing w:after="0" w:line="283" w:lineRule="auto"/>
        <w:rPr>
          <w:sz w:val="20"/>
          <w:szCs w:val="20"/>
          <w:color w:val="auto"/>
        </w:rPr>
      </w:pPr>
      <w:r>
        <w:rPr>
          <w:rFonts w:ascii="Arial" w:cs="Arial" w:eastAsia="Arial" w:hAnsi="Arial"/>
          <w:sz w:val="16"/>
          <w:szCs w:val="16"/>
          <w:b w:val="1"/>
          <w:bCs w:val="1"/>
          <w:i w:val="1"/>
          <w:iCs w:val="1"/>
          <w:color w:val="auto"/>
        </w:rPr>
        <w:t>Richard M. Goldman</w:t>
      </w:r>
      <w:r>
        <w:rPr>
          <w:rFonts w:ascii="Arial" w:cs="Arial" w:eastAsia="Arial" w:hAnsi="Arial"/>
          <w:sz w:val="16"/>
          <w:szCs w:val="16"/>
          <w:color w:val="auto"/>
        </w:rPr>
        <w:t>, [59], has served as a member of our board of directors since August 2019. Since 2012,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Goldman has been the Managing Member of Becket Capital, LLC, an advisory services firm for investment management companies; from 2011 to 2012, Mr. Goldman served as Chief Operating Officer of Guggenheim Investments, the global asset management and investment advisory division of Guggenheim Partners; prior to joining Guggenheim Investments, from 2007 to 2012, Mr. Goldman was the Chief Executive Officer of Rydex Investments, the investment advisor to Rydex Funds. Since 2016, Mr. Goldman has served as Independent Director for the O'Shares Investments ETF Trust; since 2017, Mr. Goldman has served as the Independent Chairman of the Board of the Harvest Volatility Edge Trust, the entity responsible for the Harvest Edge mutual funds, and on the Board of Directors of Trinitas Capital Management, a credit-focused investment management firm; since 2018, Mr. Goldman has served as Lead Independent Director for the Axonic Alternative Income Interval Fund.</w:t>
      </w:r>
    </w:p>
    <w:p>
      <w:pPr>
        <w:spacing w:after="0" w:line="5" w:lineRule="exact"/>
        <w:rPr>
          <w:sz w:val="20"/>
          <w:szCs w:val="20"/>
          <w:color w:val="auto"/>
        </w:rPr>
      </w:pPr>
    </w:p>
    <w:p>
      <w:pPr>
        <w:ind w:left="300" w:right="379"/>
        <w:spacing w:after="0" w:line="260" w:lineRule="auto"/>
        <w:rPr>
          <w:sz w:val="20"/>
          <w:szCs w:val="20"/>
          <w:color w:val="auto"/>
        </w:rPr>
      </w:pPr>
      <w:r>
        <w:rPr>
          <w:rFonts w:ascii="Arial" w:cs="Arial" w:eastAsia="Arial" w:hAnsi="Arial"/>
          <w:sz w:val="18"/>
          <w:szCs w:val="18"/>
          <w:color w:val="auto"/>
        </w:rPr>
        <w:t>Mr. Goldman received a bachelor's degree from Bowdoin College in 1983. We believe Mr. Goldman's experience in the investment management business make him well qualified to serve as a director.</w:t>
      </w:r>
    </w:p>
    <w:p>
      <w:pPr>
        <w:spacing w:after="0" w:line="77" w:lineRule="exact"/>
        <w:rPr>
          <w:sz w:val="20"/>
          <w:szCs w:val="20"/>
          <w:color w:val="auto"/>
        </w:rPr>
      </w:pPr>
    </w:p>
    <w:p>
      <w:pPr>
        <w:ind w:left="300" w:right="439" w:firstLine="360"/>
        <w:spacing w:after="0" w:line="287" w:lineRule="auto"/>
        <w:rPr>
          <w:sz w:val="20"/>
          <w:szCs w:val="20"/>
          <w:color w:val="auto"/>
        </w:rPr>
      </w:pPr>
      <w:r>
        <w:rPr>
          <w:rFonts w:ascii="Arial" w:cs="Arial" w:eastAsia="Arial" w:hAnsi="Arial"/>
          <w:sz w:val="16"/>
          <w:szCs w:val="16"/>
          <w:b w:val="1"/>
          <w:bCs w:val="1"/>
          <w:i w:val="1"/>
          <w:iCs w:val="1"/>
          <w:color w:val="auto"/>
        </w:rPr>
        <w:t>Kenneth H. Landis</w:t>
      </w:r>
      <w:r>
        <w:rPr>
          <w:rFonts w:ascii="Arial" w:cs="Arial" w:eastAsia="Arial" w:hAnsi="Arial"/>
          <w:sz w:val="16"/>
          <w:szCs w:val="16"/>
          <w:color w:val="auto"/>
        </w:rPr>
        <w:t>, [69], has served as a member of our board of directors since August 2019. Since 2000,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Landis has been the CEO of Landis Capital, LLC, a provider of capital for seed, early stage and later stage venture investments in consumer products, ecommerce and enterprise companies. Previously, he served as Cofounder and a member of the Board of Directors of Bobbi Brown Cosmetics, CEO of Benetton Cosmetics Corp, Senior Vice President of Alfin, Inc., a manufacturer and distributer of cosmetics products, and Treasurer of IMS Health, Inc., a provider of information, services and technology for the healthcare industry. Mr. Landis began his career at Arthur Andersen and Co. and was formerly a Certified Public Accountant. He currently serves on the Board of Directors of several early stage private companies and as a Trustee of Suffield Academy. Mr. Landis obtained a BS in Economics degree from the University of Pennsylvania in 1972 and an MBA from New York University in 1973. We believe that Mr. Landis’ extensive managerial, financial and accounting experience makes him well qualified to serve as a member of our board of directors.</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Full Text of the Resolution to be Approved</w:t>
      </w:r>
    </w:p>
    <w:p>
      <w:pPr>
        <w:spacing w:after="0" w:line="121"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“RESOLVED, as an ordinary resolution of the holders of Class B ordinary shares of the Company THAT, Scott Gordon and William Healy be re-appointed as a director of the Company, each to hold office until the second annual general meeting following this Extraordinary General Meeting in accordance with the amended and restated memorandum and articles of association of the Company.”</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The Director Proposal must be approved as an ordinary resolution of the holders of Class B ordinary shares under Cayman Islands law, being the affirmative vote of the holders of a majority of the then issued and outstanding Class B ordinary shares who, being present and entitled to vote at the Extraordinary General Meeting, vote at the Extraordinary General Meeting. An abstention or broker non-vote will be counted towards the quorum requirement but will not count as a vote cast at the Extraordinary General Meeting.</w:t>
      </w:r>
    </w:p>
    <w:p>
      <w:pPr>
        <w:spacing w:after="0" w:line="64" w:lineRule="exact"/>
        <w:rPr>
          <w:sz w:val="20"/>
          <w:szCs w:val="20"/>
          <w:color w:val="auto"/>
        </w:rPr>
      </w:pPr>
    </w:p>
    <w:p>
      <w:pPr>
        <w:ind w:left="300" w:right="679" w:firstLine="360"/>
        <w:spacing w:after="0" w:line="282" w:lineRule="auto"/>
        <w:rPr>
          <w:sz w:val="20"/>
          <w:szCs w:val="20"/>
          <w:color w:val="auto"/>
        </w:rPr>
      </w:pPr>
      <w:r>
        <w:rPr>
          <w:rFonts w:ascii="Arial" w:cs="Arial" w:eastAsia="Arial" w:hAnsi="Arial"/>
          <w:sz w:val="18"/>
          <w:szCs w:val="18"/>
          <w:b w:val="1"/>
          <w:bCs w:val="1"/>
          <w:color w:val="auto"/>
        </w:rPr>
        <w:t>Our Board unanimously recommends that our Class B shareholders vote “FOR” the approval of the Director Proposal.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ADJOURNMENT PROPOSAL</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The Adjournment Proposal, if adopted, will allow our board to adjourn the Extraordinary General Meeting to a later date or dates to permit further solicitation of proxies. The Adjournment Proposal will only be presented to our shareholders in the event that there are insufficient votes for, or otherwise in connection with, the approval of the Extension Amendment Proposal. In no event will our board adjourn the Extraordinary General Meeting beyond February 12, 2021.</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21" w:lineRule="exact"/>
        <w:rPr>
          <w:sz w:val="20"/>
          <w:szCs w:val="20"/>
          <w:color w:val="auto"/>
        </w:rPr>
      </w:pPr>
    </w:p>
    <w:p>
      <w:pPr>
        <w:ind w:left="300" w:right="659" w:firstLine="360"/>
        <w:spacing w:after="0" w:line="263" w:lineRule="auto"/>
        <w:rPr>
          <w:sz w:val="20"/>
          <w:szCs w:val="20"/>
          <w:color w:val="auto"/>
        </w:rPr>
      </w:pPr>
      <w:r>
        <w:rPr>
          <w:rFonts w:ascii="Arial" w:cs="Arial" w:eastAsia="Arial" w:hAnsi="Arial"/>
          <w:sz w:val="18"/>
          <w:szCs w:val="18"/>
          <w:color w:val="auto"/>
        </w:rPr>
        <w:t>If the Adjournment Proposal is not approved by our shareholders, our board may not be able to adjourn the Extraordinary General Meeting to a later date in the event that there are insufficient votes for, or otherwise in connection with, the approval of the Extension Amendment Proposal.</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Full Text of the Resolution to be Approved</w:t>
      </w:r>
    </w:p>
    <w:p>
      <w:pPr>
        <w:spacing w:after="0" w:line="121" w:lineRule="exact"/>
        <w:rPr>
          <w:sz w:val="20"/>
          <w:szCs w:val="20"/>
          <w:color w:val="auto"/>
        </w:rPr>
      </w:pPr>
    </w:p>
    <w:p>
      <w:pPr>
        <w:jc w:val="both"/>
        <w:ind w:left="300" w:right="639" w:firstLine="360"/>
        <w:spacing w:after="0" w:line="286" w:lineRule="auto"/>
        <w:rPr>
          <w:sz w:val="20"/>
          <w:szCs w:val="20"/>
          <w:color w:val="auto"/>
        </w:rPr>
      </w:pPr>
      <w:r>
        <w:rPr>
          <w:rFonts w:ascii="Arial" w:cs="Arial" w:eastAsia="Arial" w:hAnsi="Arial"/>
          <w:sz w:val="17"/>
          <w:szCs w:val="17"/>
          <w:color w:val="auto"/>
        </w:rPr>
        <w:t>“RESOLVED, as an ordinary resolution THAT, the adjournment of the Extraordinary General Meeting to a later date or dates to permit further solicitation of proxies to be determined by the chairman of the Extraordinary General Meeting be confirmed, adopted, approved and ratified in all respects.”</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The Adjournment Proposal must be approved as an ordinary resolution under Cayman Islands law, being the affirmative vote of the holders of a majority of the then issued and outstanding ordinary shares who, being present and entitled to vote at the Extraordinary General Meeting, vote at the Extraordinary General Meeting. An abstention or broker non-vote will be counted towards the quorum requirement but will not count as a vote cast at the Extraordinary General Meeting.</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ind w:left="300" w:right="359" w:firstLine="360"/>
        <w:spacing w:after="0" w:line="282" w:lineRule="auto"/>
        <w:rPr>
          <w:sz w:val="20"/>
          <w:szCs w:val="20"/>
          <w:color w:val="auto"/>
        </w:rPr>
      </w:pPr>
      <w:r>
        <w:rPr>
          <w:rFonts w:ascii="Arial" w:cs="Arial" w:eastAsia="Arial" w:hAnsi="Arial"/>
          <w:sz w:val="18"/>
          <w:szCs w:val="18"/>
          <w:b w:val="1"/>
          <w:bCs w:val="1"/>
          <w:color w:val="auto"/>
        </w:rPr>
        <w:t>If presented, our board unanimously recommends that our shareholders vote “FOR” the approval of the Adjournment Proposal.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SECURITIES</w:t>
      </w:r>
    </w:p>
    <w:p>
      <w:pPr>
        <w:spacing w:after="0" w:line="121" w:lineRule="exact"/>
        <w:rPr>
          <w:sz w:val="20"/>
          <w:szCs w:val="20"/>
          <w:color w:val="auto"/>
        </w:rPr>
      </w:pPr>
    </w:p>
    <w:p>
      <w:pPr>
        <w:ind w:left="300" w:right="519" w:firstLine="360"/>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the ordinary shares as of [•], 2020, based on information obtained from the persons named below, with respect to the beneficial ownership of shares of the ordinary shares, by:</w:t>
      </w:r>
    </w:p>
    <w:p>
      <w:pPr>
        <w:spacing w:after="0" w:line="76" w:lineRule="exact"/>
        <w:rPr>
          <w:sz w:val="20"/>
          <w:szCs w:val="20"/>
          <w:color w:val="auto"/>
        </w:rPr>
      </w:pPr>
    </w:p>
    <w:p>
      <w:pPr>
        <w:ind w:left="1000" w:right="87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ordinary shares;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our officers and directors as a group.</w:t>
      </w:r>
    </w:p>
    <w:p>
      <w:pPr>
        <w:spacing w:after="0" w:line="117"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ordinary shares beneficially owned by them. The following table does not reflect record or beneficial ownership of the private placement warrants as these warrants are not exercisable within 60 days of [•], 2020.</w:t>
      </w:r>
    </w:p>
    <w:p>
      <w:pPr>
        <w:spacing w:after="0" w:line="26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Approximate</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Approximate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Class B</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Class A</w:t>
            </w:r>
          </w:p>
        </w:tc>
        <w:tc>
          <w:tcPr>
            <w:tcW w:w="940" w:type="dxa"/>
            <w:vAlign w:val="bottom"/>
            <w:gridSpan w:val="2"/>
            <w:vMerge w:val="continue"/>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Ordinary</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Percentage</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Ordinary</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Percentage</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Class B</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of Class A</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5"/>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3"/>
                <w:szCs w:val="23"/>
                <w:b w:val="1"/>
                <w:bCs w:val="1"/>
                <w:color w:val="auto"/>
                <w:vertAlign w:val="superscript"/>
              </w:rPr>
              <w:t>(1)</w:t>
            </w:r>
          </w:p>
        </w:tc>
        <w:tc>
          <w:tcPr>
            <w:tcW w:w="100" w:type="dxa"/>
            <w:vAlign w:val="bottom"/>
          </w:tcPr>
          <w:p>
            <w:pPr>
              <w:spacing w:after="0"/>
              <w:rPr>
                <w:sz w:val="12"/>
                <w:szCs w:val="12"/>
                <w:color w:val="auto"/>
              </w:rPr>
            </w:pPr>
          </w:p>
        </w:tc>
        <w:tc>
          <w:tcPr>
            <w:tcW w:w="8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92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9"/>
              </w:rPr>
              <w:t>Ordinary</w:t>
            </w:r>
          </w:p>
        </w:tc>
        <w:tc>
          <w:tcPr>
            <w:tcW w:w="8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rPr>
              <w:t>Ordinary</w:t>
            </w:r>
          </w:p>
        </w:tc>
        <w:tc>
          <w:tcPr>
            <w:tcW w:w="8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of Ordinary</w:t>
            </w:r>
          </w:p>
        </w:tc>
        <w:tc>
          <w:tcPr>
            <w:tcW w:w="0" w:type="dxa"/>
            <w:vAlign w:val="bottom"/>
          </w:tcPr>
          <w:p>
            <w:pPr>
              <w:spacing w:after="0"/>
              <w:rPr>
                <w:sz w:val="1"/>
                <w:szCs w:val="1"/>
                <w:color w:val="auto"/>
              </w:rPr>
            </w:pPr>
          </w:p>
        </w:tc>
      </w:tr>
      <w:tr>
        <w:trPr>
          <w:trHeight w:val="242"/>
        </w:trPr>
        <w:tc>
          <w:tcPr>
            <w:tcW w:w="39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3"/>
                <w:szCs w:val="23"/>
                <w:b w:val="1"/>
                <w:bCs w:val="1"/>
                <w:color w:val="auto"/>
                <w:w w:val="88"/>
                <w:vertAlign w:val="superscript"/>
              </w:rPr>
              <w:t>(2)</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2"/>
              </w:rPr>
              <w:t>Shares</w:t>
            </w:r>
            <w:r>
              <w:rPr>
                <w:rFonts w:ascii="Arial" w:cs="Arial" w:eastAsia="Arial" w:hAnsi="Arial"/>
                <w:sz w:val="23"/>
                <w:szCs w:val="23"/>
                <w:b w:val="1"/>
                <w:bCs w:val="1"/>
                <w:color w:val="auto"/>
                <w:w w:val="82"/>
                <w:vertAlign w:val="superscript"/>
              </w:rPr>
              <w:t>(2)</w:t>
            </w: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331"/>
        </w:trPr>
        <w:tc>
          <w:tcPr>
            <w:tcW w:w="390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Anthony A. Yoseloff</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1,900,000</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324"/>
        </w:trPr>
        <w:tc>
          <w:tcPr>
            <w:tcW w:w="3900" w:type="dxa"/>
            <w:vAlign w:val="bottom"/>
          </w:tcPr>
          <w:p>
            <w:pPr>
              <w:spacing w:after="0" w:line="324" w:lineRule="exact"/>
              <w:rPr>
                <w:sz w:val="20"/>
                <w:szCs w:val="20"/>
                <w:color w:val="auto"/>
              </w:rPr>
            </w:pPr>
            <w:r>
              <w:rPr>
                <w:rFonts w:ascii="Arial" w:cs="Arial" w:eastAsia="Arial" w:hAnsi="Arial"/>
                <w:sz w:val="18"/>
                <w:szCs w:val="18"/>
                <w:color w:val="auto"/>
              </w:rPr>
              <w:t>Polar Asset Management Partners, Inc.</w:t>
            </w:r>
            <w:r>
              <w:rPr>
                <w:rFonts w:ascii="Arial" w:cs="Arial" w:eastAsia="Arial" w:hAnsi="Arial"/>
                <w:sz w:val="29"/>
                <w:szCs w:val="29"/>
                <w:color w:val="auto"/>
                <w:vertAlign w:val="superscript"/>
              </w:rPr>
              <w:t>(4)</w:t>
            </w:r>
          </w:p>
        </w:tc>
        <w:tc>
          <w:tcPr>
            <w:tcW w:w="1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7"/>
              </w:rPr>
              <w:t>2,573,000</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8.23 %</w:t>
            </w:r>
          </w:p>
        </w:tc>
        <w:tc>
          <w:tcPr>
            <w:tcW w:w="0" w:type="dxa"/>
            <w:vAlign w:val="bottom"/>
          </w:tcPr>
          <w:p>
            <w:pPr>
              <w:spacing w:after="0"/>
              <w:rPr>
                <w:sz w:val="1"/>
                <w:szCs w:val="1"/>
                <w:color w:val="auto"/>
              </w:rPr>
            </w:pPr>
          </w:p>
        </w:tc>
      </w:tr>
      <w:tr>
        <w:trPr>
          <w:trHeight w:val="324"/>
        </w:trPr>
        <w:tc>
          <w:tcPr>
            <w:tcW w:w="390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RP Investment Advisors LP</w:t>
            </w:r>
            <w:r>
              <w:rPr>
                <w:rFonts w:ascii="Arial" w:cs="Arial" w:eastAsia="Arial" w:hAnsi="Arial"/>
                <w:sz w:val="29"/>
                <w:szCs w:val="29"/>
                <w:color w:val="auto"/>
                <w:vertAlign w:val="superscript"/>
              </w:rPr>
              <w:t>(5)</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1,050,000</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324"/>
        </w:trPr>
        <w:tc>
          <w:tcPr>
            <w:tcW w:w="3900" w:type="dxa"/>
            <w:vAlign w:val="bottom"/>
          </w:tcPr>
          <w:p>
            <w:pPr>
              <w:spacing w:after="0" w:line="324" w:lineRule="exact"/>
              <w:rPr>
                <w:sz w:val="20"/>
                <w:szCs w:val="20"/>
                <w:color w:val="auto"/>
              </w:rPr>
            </w:pPr>
            <w:r>
              <w:rPr>
                <w:rFonts w:ascii="Arial" w:cs="Arial" w:eastAsia="Arial" w:hAnsi="Arial"/>
                <w:sz w:val="18"/>
                <w:szCs w:val="18"/>
                <w:color w:val="auto"/>
              </w:rPr>
              <w:t>Silver Spike Sponsor, LLC</w:t>
            </w:r>
            <w:r>
              <w:rPr>
                <w:rFonts w:ascii="Arial" w:cs="Arial" w:eastAsia="Arial" w:hAnsi="Arial"/>
                <w:sz w:val="29"/>
                <w:szCs w:val="29"/>
                <w:color w:val="auto"/>
                <w:vertAlign w:val="superscript"/>
              </w:rPr>
              <w:t>(6)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9"/>
              </w:rPr>
              <w:t>6,250,000</w:t>
            </w:r>
          </w:p>
        </w:tc>
        <w:tc>
          <w:tcPr>
            <w:tcW w:w="100" w:type="dxa"/>
            <w:vAlign w:val="bottom"/>
          </w:tcPr>
          <w:p>
            <w:pPr>
              <w:spacing w:after="0"/>
              <w:rPr>
                <w:sz w:val="24"/>
                <w:szCs w:val="24"/>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324"/>
        </w:trPr>
        <w:tc>
          <w:tcPr>
            <w:tcW w:w="390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Basso SPAC Fund LLC</w:t>
            </w:r>
            <w:r>
              <w:rPr>
                <w:rFonts w:ascii="Arial" w:cs="Arial" w:eastAsia="Arial" w:hAnsi="Arial"/>
                <w:sz w:val="29"/>
                <w:szCs w:val="29"/>
                <w:color w:val="auto"/>
                <w:vertAlign w:val="superscript"/>
              </w:rPr>
              <w:t>(7)</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1,287,224</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324"/>
        </w:trPr>
        <w:tc>
          <w:tcPr>
            <w:tcW w:w="3900" w:type="dxa"/>
            <w:vAlign w:val="bottom"/>
          </w:tcPr>
          <w:p>
            <w:pPr>
              <w:spacing w:after="0" w:line="324" w:lineRule="exact"/>
              <w:rPr>
                <w:sz w:val="20"/>
                <w:szCs w:val="20"/>
                <w:color w:val="auto"/>
              </w:rPr>
            </w:pPr>
            <w:r>
              <w:rPr>
                <w:rFonts w:ascii="Arial" w:cs="Arial" w:eastAsia="Arial" w:hAnsi="Arial"/>
                <w:sz w:val="18"/>
                <w:szCs w:val="18"/>
                <w:color w:val="auto"/>
              </w:rPr>
              <w:t>Weiss Asset Management KO</w:t>
            </w:r>
            <w:r>
              <w:rPr>
                <w:rFonts w:ascii="Arial" w:cs="Arial" w:eastAsia="Arial" w:hAnsi="Arial"/>
                <w:sz w:val="29"/>
                <w:szCs w:val="29"/>
                <w:color w:val="auto"/>
                <w:vertAlign w:val="superscript"/>
              </w:rPr>
              <w:t>(8)</w:t>
            </w:r>
          </w:p>
        </w:tc>
        <w:tc>
          <w:tcPr>
            <w:tcW w:w="1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7"/>
              </w:rPr>
              <w:t>1,890,387</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304"/>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Scott Gordon</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William Healy</w:t>
            </w:r>
          </w:p>
        </w:tc>
        <w:tc>
          <w:tcPr>
            <w:tcW w:w="10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Gregory Gentile</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Orrin Devinsky</w:t>
            </w:r>
          </w:p>
        </w:tc>
        <w:tc>
          <w:tcPr>
            <w:tcW w:w="10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Goldman</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Kenneth Landis</w:t>
            </w:r>
          </w:p>
        </w:tc>
        <w:tc>
          <w:tcPr>
            <w:tcW w:w="10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officers as a group (nine</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individuals)</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-2794000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-2794000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-2794000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-2794000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-2794000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42" w:lineRule="exact"/>
        <w:rPr>
          <w:sz w:val="20"/>
          <w:szCs w:val="20"/>
          <w:color w:val="auto"/>
        </w:rPr>
      </w:pPr>
    </w:p>
    <w:p>
      <w:pPr>
        <w:ind w:left="640" w:right="479" w:hanging="348"/>
        <w:spacing w:after="0" w:line="253"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660 Madison Ave., Suite 1600, New York, New York 10065, United States of America.</w:t>
      </w:r>
    </w:p>
    <w:p>
      <w:pPr>
        <w:spacing w:after="0" w:line="11" w:lineRule="exact"/>
        <w:rPr>
          <w:rFonts w:ascii="Arial" w:cs="Arial" w:eastAsia="Arial" w:hAnsi="Arial"/>
          <w:sz w:val="14"/>
          <w:szCs w:val="14"/>
          <w:color w:val="auto"/>
        </w:rPr>
      </w:pPr>
    </w:p>
    <w:p>
      <w:pPr>
        <w:ind w:left="640" w:right="419" w:hanging="348"/>
        <w:spacing w:after="0" w:line="253"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Interests shown consist solely of founder shares, classified as Class B ordinary shares. Such shares will automatically convert into Class A ordinary shares on the first business day following a business combination on a one-for-one basis.</w:t>
      </w:r>
    </w:p>
    <w:p>
      <w:pPr>
        <w:spacing w:after="0" w:line="11" w:lineRule="exact"/>
        <w:rPr>
          <w:rFonts w:ascii="Arial" w:cs="Arial" w:eastAsia="Arial" w:hAnsi="Arial"/>
          <w:sz w:val="14"/>
          <w:szCs w:val="14"/>
          <w:color w:val="auto"/>
        </w:rPr>
      </w:pPr>
    </w:p>
    <w:p>
      <w:pPr>
        <w:ind w:left="640" w:right="319" w:hanging="348"/>
        <w:spacing w:after="0" w:line="248" w:lineRule="auto"/>
        <w:tabs>
          <w:tab w:leader="none" w:pos="6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Includes 357,960 Class A ordinary shares held by Davidson Kempner Partners (“DKP”); 755,630 Class A ordinary shares held by Davidson Kempner Institutional Partners, L.P. (“DKIP”) and 786,410 Class A ordinary shares held by Davidson Kempner International, Ltd. (“DKIL”). Davidson Kempner Capital Management LP (“DKCM”) acts as investment advisor to each of DKP, DKIP and DKIL either directly or by virtue of a sub-advisory agreement with the investment manager of the relevant fund. Mr. Anthony Yoseloff, though DKCM, is responsible for the voting and investment decisions related to the Class A ordinary shares held by DKP, DKIP and DKIL. The address of Mr. Yoseloff is c/o Davidson Kempner Capital Management LP, 520 Madison Avenue, 30th Floor, New York, New York 10022.</w:t>
      </w:r>
    </w:p>
    <w:p>
      <w:pPr>
        <w:spacing w:after="0" w:line="18" w:lineRule="exact"/>
        <w:rPr>
          <w:rFonts w:ascii="Arial" w:cs="Arial" w:eastAsia="Arial" w:hAnsi="Arial"/>
          <w:sz w:val="13"/>
          <w:szCs w:val="13"/>
          <w:color w:val="auto"/>
        </w:rPr>
      </w:pPr>
    </w:p>
    <w:p>
      <w:pPr>
        <w:ind w:left="640" w:right="359" w:hanging="348"/>
        <w:spacing w:after="0" w:line="238"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shares held by Polar Multi-Strategy Master Fund and certain managed accounts, for which Polar Asset Management Partners, Inc. serves as the investment advisor and has sole voting and dispositive power. The address of Polar Asset Management Partners, Inc. is 401 Bay Street, Suite 1900, PO Box 19, Toronto, Ontario M5H 2Y4, Canada.</w:t>
      </w:r>
    </w:p>
    <w:p>
      <w:pPr>
        <w:spacing w:after="0" w:line="20" w:lineRule="exact"/>
        <w:rPr>
          <w:rFonts w:ascii="Arial" w:cs="Arial" w:eastAsia="Arial" w:hAnsi="Arial"/>
          <w:sz w:val="14"/>
          <w:szCs w:val="14"/>
          <w:color w:val="auto"/>
        </w:rPr>
      </w:pPr>
    </w:p>
    <w:p>
      <w:pPr>
        <w:ind w:left="640" w:right="359" w:hanging="348"/>
        <w:spacing w:after="0" w:line="264" w:lineRule="auto"/>
        <w:tabs>
          <w:tab w:leader="none" w:pos="6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Includes 837,500 Class A ordinary shares held by RP Select Opportunities Master Fund Ltd. and 212,500 Class A ordinary shares held by RP Debt Opportunities Fund Ltd. RP Investment Advisors LP is the investment advisor of RP Select Opportunities Master Funder Ltd. and RP Debt Opportunities Fund Ltd. The address of RP Investment Advisors LP is 39 Hazelton Avenue, Toronto, Ontario, Canada, M5R 2E3.</w:t>
      </w:r>
    </w:p>
    <w:p>
      <w:pPr>
        <w:spacing w:after="0" w:line="6" w:lineRule="exact"/>
        <w:rPr>
          <w:rFonts w:ascii="Arial" w:cs="Arial" w:eastAsia="Arial" w:hAnsi="Arial"/>
          <w:sz w:val="13"/>
          <w:szCs w:val="13"/>
          <w:color w:val="auto"/>
        </w:rPr>
      </w:pPr>
    </w:p>
    <w:p>
      <w:pPr>
        <w:ind w:left="640" w:right="379" w:hanging="348"/>
        <w:spacing w:after="0" w:line="290" w:lineRule="auto"/>
        <w:tabs>
          <w:tab w:leader="none" w:pos="6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Our executive officers are the three managers of our sponsor’s board of managers. Any action by our Sponsor with respect to our company or the founders shares, including voting and dispositive decisions, requires a majority vote of the managers of the board of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60" w:right="379"/>
        <w:spacing w:after="0" w:line="233" w:lineRule="auto"/>
        <w:rPr>
          <w:sz w:val="20"/>
          <w:szCs w:val="20"/>
          <w:color w:val="auto"/>
        </w:rPr>
      </w:pPr>
      <w:r>
        <w:rPr>
          <w:rFonts w:ascii="Arial" w:cs="Arial" w:eastAsia="Arial" w:hAnsi="Arial"/>
          <w:sz w:val="14"/>
          <w:szCs w:val="14"/>
          <w:color w:val="auto"/>
        </w:rPr>
        <w:t>managers. Under the so-called “rule of three,” because voting and dispositive decisions are made by a majority of our sponsor’s managers, none of the managers of our Sponsor is deemed to be a beneficial owner of our Sponsor’s securities, even those in which he holds a pecuniary interest. Accordingly, none of our executive officers is deemed to have or share beneficial ownership of the founders shares held by our Sponsor.</w:t>
      </w:r>
    </w:p>
    <w:p>
      <w:pPr>
        <w:spacing w:after="0" w:line="23" w:lineRule="exact"/>
        <w:rPr>
          <w:sz w:val="20"/>
          <w:szCs w:val="20"/>
          <w:color w:val="auto"/>
        </w:rPr>
      </w:pPr>
    </w:p>
    <w:p>
      <w:pPr>
        <w:ind w:left="640" w:right="319" w:hanging="348"/>
        <w:spacing w:after="0" w:line="228"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Class A ordinary shares directly beneficially owned by Basso SPAC Fund LLC. Basso Management, LLC is the manager of Basso SPAC Fund LLC. Basso Capital Management, L.P. serves as the investment manager of Basso SPAC Fund LLC. Basso GP, LLC is the general partner of Basso Capital Management, L.P.. Mr. Howard I. Fischer is the principal portfolio manager for Basso SPAC Fund LLC, the Chief Executive Officer and a Founding Managing Partner of Basso Capital Management, L.P., and a member of each of Basso Management, LLC and Basso GP, LLC. Accordingly, each of Basso Management, LLC Basso Capital Management, L.P., Basso GP, LLC and Mr. Howard I. Fischer may be deemed to indirectly beneficially own the Shares reported herein. The address of Basso SPAC Fund LLC 1266 East Main Street, Fourth Floor, Stamford, Connecticut 06902.</w:t>
      </w:r>
    </w:p>
    <w:p>
      <w:pPr>
        <w:spacing w:after="0" w:line="22" w:lineRule="exact"/>
        <w:rPr>
          <w:rFonts w:ascii="Arial" w:cs="Arial" w:eastAsia="Arial" w:hAnsi="Arial"/>
          <w:sz w:val="14"/>
          <w:szCs w:val="14"/>
          <w:color w:val="auto"/>
        </w:rPr>
      </w:pPr>
    </w:p>
    <w:p>
      <w:pPr>
        <w:ind w:left="640" w:right="319" w:hanging="348"/>
        <w:spacing w:after="0" w:line="229"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Class A ordinary shares beneficially owned by a private investment partnership (the “Partnership”) of which BIP GP LLC is the sole general partner. Weiss Asset Management LP is the sole investment manager to the Partnership. WAM GP is the sole general partner of Weiss Asset Management LP. Andrew Weiss is the managing member of WAM GP and BIP GP. Shares reported for WAM GP, Mr. Andrew Weiss, Ph.D. and Weiss Asset Management include shares beneficially owned by the Partnership (and reported above for BIP GP LLC). BIP GP LLC, Weiss Asset Management LP, WAM GP LLC, and Andrew M. Weiss, Ph.D. have a business address of 222 Berkeley St., 16th floor, Boston, Massachusetts 02116.</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SUBMISSION OF SHAREHOLDER PROPOSALS FOR THE 2021 ANNUAL GENERAL MEETING</w:t>
      </w:r>
    </w:p>
    <w:p>
      <w:pPr>
        <w:spacing w:after="0" w:line="121"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If the Extension Amendment Proposal is approved, we anticipate that the 2021 annual general meeting will be held no later than [•], 2021. For any proposal to be considered for inclusion in our proxy statement and form of proxy for submission to the shareholders at our 2021 annual general meeting, it must have been submitted in writing and comply with the requirements of Rule 14a-8 of the Exchange Act and our Articles. Assuming the meeting is held on [•], 2021, such proposals must have been received by us at our offices at 660 Madison Ave., Suite 1600, New York, New York 10065 no later than [•], 2021.</w:t>
      </w:r>
    </w:p>
    <w:p>
      <w:pPr>
        <w:spacing w:after="0" w:line="84"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In addition, Article 20.8 of our Articles provides notice procedures for shareholders to nominate candidates for appointment as directors at an annual general meeting or to propose business to be considered by shareholders at an annual general meeting. To be timely, a shareholder’s notice must be delivered to us at our principal executive offices not later than the close of business on the 90th day nor earlier than the close of business on the 120th day prior to the scheduled date of the annual general meeting. The Chairman of our Board may refuse to acknowledge the introduction of any shareholder proposal not made in compliance with the foregoing procedures. Assuming the meeting is held on [•], 2021, such proposals must have been received by us at our offices at 660 Madison Ave., Suite 1600, New York, New York 10065 no later than [•], 2021 and no earlier than [•], 2021.</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Extension Amendment Proposal is not approved, there will be no annual general meeting in 2021.</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INFORMATION</w:t>
      </w:r>
    </w:p>
    <w:p>
      <w:pPr>
        <w:spacing w:after="0" w:line="121"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Unless we have received contrary instructions, we may send a single copy of this Proxy Statement to any household at which two or more shareholders reside if we believe the shareholders are members of the same family. This process, known as “householding,” reduces the volume of duplicate information received at any one household and helps to reduce our expenses. However, if shareholders prefer to receive multiple sets of our disclosure documents at the same address this year or in future years, the shareholders should follow the instructions described below. Similarly, if an address is shared with another shareholder and together both of the shareholders would like to receive only a single set of our disclosure documents, the shareholders should follow these instructions:</w:t>
      </w:r>
    </w:p>
    <w:p>
      <w:pPr>
        <w:spacing w:after="0" w:line="58" w:lineRule="exact"/>
        <w:rPr>
          <w:sz w:val="20"/>
          <w:szCs w:val="20"/>
          <w:color w:val="auto"/>
        </w:rPr>
      </w:pPr>
    </w:p>
    <w:p>
      <w:pPr>
        <w:jc w:val="both"/>
        <w:ind w:left="1000" w:right="419" w:hanging="348"/>
        <w:spacing w:after="0" w:line="263"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shares are registered in the name of the shareholder, the shareholder should contact us at our offices at 660 Madison Ave., Suite 1600, New York, New York 10065, to inform us of the shareholder’s request; or</w:t>
      </w:r>
    </w:p>
    <w:p>
      <w:pPr>
        <w:spacing w:after="0" w:line="75"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 bank, broker or other nominee holds the shares, the shareholder should contact the bank, broker or other nominee directly.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300" w:right="299" w:firstLine="360"/>
        <w:spacing w:after="0" w:line="293" w:lineRule="auto"/>
        <w:rPr>
          <w:sz w:val="20"/>
          <w:szCs w:val="20"/>
          <w:color w:val="auto"/>
        </w:rPr>
      </w:pPr>
      <w:r>
        <w:rPr>
          <w:rFonts w:ascii="Arial" w:cs="Arial" w:eastAsia="Arial" w:hAnsi="Arial"/>
          <w:sz w:val="16"/>
          <w:szCs w:val="16"/>
          <w:color w:val="auto"/>
        </w:rPr>
        <w:t>We file reports, proxy statements and other information with the SEC as required by the Exchange Act. You can read our SEC filings, including this Proxy Statement, at the SEC’s website at http://www.sec.gov. You may also read and copy any document we file with the SEC at the SEC public reference room located at 100 F Street, N.E., Room 1580 Washington, D.C., 20549. You may obtain information on the operation of the Public Reference Room by calling the SEC at 1-800-SEC-0330. You may also obtain copies of the materials described above at prescribed rates by writing to the SEC, Public Reference Section, 100 F Street, N.E., Washington, D.C. 20549.</w:t>
      </w:r>
    </w:p>
    <w:p>
      <w:pPr>
        <w:spacing w:after="0" w:line="56"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If you would like additional copies of this Proxy Statement or if you have questions about the proposals to be presented at the Extraordinary General Meeting, you should contact our proxy solicitation agent at the following address and telephone number: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D.F. King &amp; Co., Inc.</w:t>
      </w:r>
    </w:p>
    <w:p>
      <w:pPr>
        <w:jc w:val="center"/>
        <w:spacing w:after="0" w:line="186" w:lineRule="auto"/>
        <w:rPr>
          <w:sz w:val="20"/>
          <w:szCs w:val="20"/>
          <w:color w:val="auto"/>
        </w:rPr>
      </w:pPr>
      <w:r>
        <w:rPr>
          <w:rFonts w:ascii="Arial" w:cs="Arial" w:eastAsia="Arial" w:hAnsi="Arial"/>
          <w:sz w:val="17"/>
          <w:szCs w:val="17"/>
          <w:color w:val="auto"/>
        </w:rPr>
        <w:t>48 Wall Street, 22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Floor</w:t>
      </w:r>
    </w:p>
    <w:p>
      <w:pPr>
        <w:jc w:val="center"/>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Collect: (212) 269-5550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Others Call Toll-Free: (877) 478-5045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SSPK@dfking.com</w:t>
      </w:r>
    </w:p>
    <w:p>
      <w:pPr>
        <w:spacing w:after="0" w:line="103" w:lineRule="exact"/>
        <w:rPr>
          <w:sz w:val="20"/>
          <w:szCs w:val="20"/>
          <w:color w:val="auto"/>
        </w:rPr>
      </w:pPr>
    </w:p>
    <w:p>
      <w:pPr>
        <w:ind w:left="300" w:right="439" w:firstLine="360"/>
        <w:spacing w:after="0" w:line="342" w:lineRule="auto"/>
        <w:rPr>
          <w:sz w:val="20"/>
          <w:szCs w:val="20"/>
          <w:color w:val="auto"/>
        </w:rPr>
      </w:pPr>
      <w:r>
        <w:rPr>
          <w:rFonts w:ascii="Arial" w:cs="Arial" w:eastAsia="Arial" w:hAnsi="Arial"/>
          <w:sz w:val="16"/>
          <w:szCs w:val="16"/>
          <w:color w:val="auto"/>
        </w:rPr>
        <w:t>You may also obtain these documents by requesting them in writing from us by addressing such request to our General Counsel at Silver Spike Acquisition Corp., 660 Madison Ave., Suite 1600, New York, New York 10065.</w:t>
      </w:r>
    </w:p>
    <w:p>
      <w:pPr>
        <w:spacing w:after="0" w:line="12" w:lineRule="exact"/>
        <w:rPr>
          <w:sz w:val="20"/>
          <w:szCs w:val="20"/>
          <w:color w:val="auto"/>
        </w:rPr>
      </w:pPr>
    </w:p>
    <w:p>
      <w:pPr>
        <w:ind w:left="300" w:right="339" w:firstLine="360"/>
        <w:spacing w:after="0" w:line="266" w:lineRule="auto"/>
        <w:rPr>
          <w:sz w:val="20"/>
          <w:szCs w:val="20"/>
          <w:color w:val="auto"/>
        </w:rPr>
      </w:pPr>
      <w:r>
        <w:rPr>
          <w:rFonts w:ascii="Arial" w:cs="Arial" w:eastAsia="Arial" w:hAnsi="Arial"/>
          <w:sz w:val="18"/>
          <w:szCs w:val="18"/>
          <w:b w:val="1"/>
          <w:bCs w:val="1"/>
          <w:color w:val="auto"/>
        </w:rPr>
        <w:t>If you are a shareholder of the Company and would like to request documents, please do so by [•], 202[•], in order to receive them before the Extraordinary General Meeting</w:t>
      </w:r>
      <w:r>
        <w:rPr>
          <w:rFonts w:ascii="Arial" w:cs="Arial" w:eastAsia="Arial" w:hAnsi="Arial"/>
          <w:sz w:val="18"/>
          <w:szCs w:val="18"/>
          <w:color w:val="auto"/>
        </w:rPr>
        <w:t>. If you request any documents from us, we</w:t>
      </w:r>
      <w:r>
        <w:rPr>
          <w:rFonts w:ascii="Arial" w:cs="Arial" w:eastAsia="Arial" w:hAnsi="Arial"/>
          <w:sz w:val="18"/>
          <w:szCs w:val="18"/>
          <w:b w:val="1"/>
          <w:bCs w:val="1"/>
          <w:color w:val="auto"/>
        </w:rPr>
        <w:t xml:space="preserve"> </w:t>
      </w:r>
      <w:r>
        <w:rPr>
          <w:rFonts w:ascii="Arial" w:cs="Arial" w:eastAsia="Arial" w:hAnsi="Arial"/>
          <w:sz w:val="18"/>
          <w:szCs w:val="18"/>
          <w:color w:val="auto"/>
        </w:rPr>
        <w:t>will mail them to you by first class mail, or another equally prompt means.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A</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PROPOSED AMENDMENTS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SILVER SPIKE ACQUISITION CORP.</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SILVER SPIKE ACQUISITION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RESOLUTIONS OF THE SHAREHOLDERS OF THE COMPANY</w:t>
      </w:r>
    </w:p>
    <w:p>
      <w:pPr>
        <w:spacing w:after="0" w:line="103"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RESOLVED, as a special resolution THAT, effective immediately, the Amended and Restated Memorandum and Articles of Association of the Company be amended by:</w:t>
      </w:r>
    </w:p>
    <w:p>
      <w:pPr>
        <w:spacing w:after="0" w:line="62" w:lineRule="exact"/>
        <w:rPr>
          <w:sz w:val="20"/>
          <w:szCs w:val="20"/>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amending Article 49.6(a) by deleting the following introduction of such sub-section:</w:t>
      </w:r>
    </w:p>
    <w:p>
      <w:pPr>
        <w:spacing w:after="0" w:line="117" w:lineRule="exact"/>
        <w:rPr>
          <w:rFonts w:ascii="Arial" w:cs="Arial" w:eastAsia="Arial" w:hAnsi="Arial"/>
          <w:sz w:val="18"/>
          <w:szCs w:val="18"/>
          <w:color w:val="auto"/>
        </w:rPr>
      </w:pPr>
    </w:p>
    <w:p>
      <w:pPr>
        <w:ind w:left="1020" w:right="539"/>
        <w:spacing w:after="0" w:line="277" w:lineRule="auto"/>
        <w:rPr>
          <w:rFonts w:ascii="Arial" w:cs="Arial" w:eastAsia="Arial" w:hAnsi="Arial"/>
          <w:sz w:val="18"/>
          <w:szCs w:val="18"/>
          <w:color w:val="auto"/>
        </w:rPr>
      </w:pPr>
      <w:r>
        <w:rPr>
          <w:rFonts w:ascii="Arial" w:cs="Arial" w:eastAsia="Arial" w:hAnsi="Arial"/>
          <w:sz w:val="18"/>
          <w:szCs w:val="18"/>
          <w:color w:val="auto"/>
        </w:rPr>
        <w:t>“the Company does not consummate a Business Combination by 18 months after the closing of the IPO the Company shall:” and replacing it with the following:</w:t>
      </w:r>
    </w:p>
    <w:p>
      <w:pPr>
        <w:spacing w:after="0" w:line="116"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“the Company does not consummate a Business Combination by July 10, 2021; and</w:t>
      </w:r>
    </w:p>
    <w:p>
      <w:pPr>
        <w:spacing w:after="0" w:line="117" w:lineRule="exact"/>
        <w:rPr>
          <w:rFonts w:ascii="Arial" w:cs="Arial" w:eastAsia="Arial" w:hAnsi="Arial"/>
          <w:sz w:val="18"/>
          <w:szCs w:val="18"/>
          <w:color w:val="auto"/>
        </w:rPr>
      </w:pPr>
    </w:p>
    <w:p>
      <w:pPr>
        <w:ind w:left="1020" w:right="4039" w:hanging="368"/>
        <w:spacing w:after="0" w:line="427" w:lineRule="auto"/>
        <w:tabs>
          <w:tab w:leader="none" w:pos="10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amending Article 49.6(b) by deleting the words: “within 18 months from the consummation of the IPO” and replacing them with the words:</w:t>
      </w:r>
    </w:p>
    <w:p>
      <w:pPr>
        <w:spacing w:after="0" w:line="2"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“by July 10,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CARD FOR CLASS A ORDINARY SHARES</w:t>
      </w:r>
    </w:p>
    <w:p>
      <w:pPr>
        <w:spacing w:after="0" w:line="225" w:lineRule="exact"/>
        <w:rPr>
          <w:sz w:val="20"/>
          <w:szCs w:val="20"/>
          <w:color w:val="auto"/>
        </w:rPr>
      </w:pPr>
    </w:p>
    <w:p>
      <w:pPr>
        <w:jc w:val="center"/>
        <w:ind w:left="300" w:right="319"/>
        <w:spacing w:after="0" w:line="263" w:lineRule="auto"/>
        <w:rPr>
          <w:sz w:val="20"/>
          <w:szCs w:val="20"/>
          <w:color w:val="auto"/>
        </w:rPr>
      </w:pPr>
      <w:r>
        <w:rPr>
          <w:rFonts w:ascii="Arial" w:cs="Arial" w:eastAsia="Arial" w:hAnsi="Arial"/>
          <w:sz w:val="18"/>
          <w:szCs w:val="18"/>
          <w:b w:val="1"/>
          <w:bCs w:val="1"/>
          <w:color w:val="auto"/>
        </w:rPr>
        <w:t>SILVER SPIKE ACQUISITION CORP. THIS PROXY IS SOLICITED BY THE BOARD OF DIRECTORS FOR THE EXTRAORDINARY GENERAL MEETING TO BE HELD ON [•], 202[•]</w:t>
      </w:r>
    </w:p>
    <w:p>
      <w:pPr>
        <w:spacing w:after="0" w:line="296"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The undersigned holder of Class A ordinary shares, revoking any previous proxies relating to these shares with respect to the Extension Amendment Proposal and the Adjournment Proposal hereby acknowledges receipt of the notice and Proxy Statement, dated [•], 202[•], in connection with the Extraordinary General Meeting to be held at [•] [a.m./p.m.] Eastern Time on [•], 202[•] at the offices of Silver Spike Acquisition Corp. (the “Company”), located at 660 Madison Ave., Suite 1600, New York, New York 10065, for the sole purpose of considering and voting upon the following proposals, and hereby appoints Scott Gordon as the Chairman of the Extraordinary General Meeting, and each of them (with full power to act alone), the attorneys and proxies of the undersigned, with power of substitution to each, to vote all shares of the ordinary shares of the Company registered in the name provided, which the undersigned is entitled to vote at the Extraordinary General Meeting, and at any adjournments thereof, with all the powers the undersigned would have if personally present. Without limiting the general authorization hereby given, said proxies are, and each of them is, instructed to vote or act as follows on the proposals set forth in this Proxy Statement.</w:t>
      </w:r>
    </w:p>
    <w:p>
      <w:pPr>
        <w:spacing w:after="0" w:line="67" w:lineRule="exact"/>
        <w:rPr>
          <w:sz w:val="20"/>
          <w:szCs w:val="20"/>
          <w:color w:val="auto"/>
        </w:rPr>
      </w:pPr>
    </w:p>
    <w:p>
      <w:pPr>
        <w:ind w:left="300" w:right="479" w:firstLine="360"/>
        <w:spacing w:after="0" w:line="266" w:lineRule="auto"/>
        <w:rPr>
          <w:sz w:val="20"/>
          <w:szCs w:val="20"/>
          <w:color w:val="auto"/>
        </w:rPr>
      </w:pPr>
      <w:r>
        <w:rPr>
          <w:rFonts w:ascii="Arial" w:cs="Arial" w:eastAsia="Arial" w:hAnsi="Arial"/>
          <w:sz w:val="18"/>
          <w:szCs w:val="18"/>
          <w:b w:val="1"/>
          <w:bCs w:val="1"/>
          <w:color w:val="auto"/>
        </w:rPr>
        <w:t>THE SHARES REPRESENTED BY THIS PROXY WHEN PROPERLY EXECUTED WILL BE VOTED IN THE MANNER DIRECTED HEREIN BY THE UNDERSIGNED SHAREHOLDER. PLEASE MARK, SIGN, DATE AND RETURN THE PROXY CARD PROMPTLY</w:t>
      </w:r>
    </w:p>
    <w:p>
      <w:pPr>
        <w:spacing w:after="0" w:line="68" w:lineRule="exact"/>
        <w:rPr>
          <w:sz w:val="20"/>
          <w:szCs w:val="20"/>
          <w:color w:val="auto"/>
        </w:rPr>
      </w:pPr>
    </w:p>
    <w:p>
      <w:pPr>
        <w:jc w:val="both"/>
        <w:ind w:left="300" w:right="339" w:firstLine="36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Extraordinary General Meeting to be held on [•], 202[•]: This notice of extraordinary general meeting and the accompanying Proxy Statement are available at [Website Address].</w:t>
      </w:r>
    </w:p>
    <w:p>
      <w:pPr>
        <w:sectPr>
          <w:pgSz w:w="11900" w:h="16838" w:orient="portrait"/>
          <w:cols w:equalWidth="0" w:num="1">
            <w:col w:w="9019"/>
          </w:cols>
          <w:pgMar w:left="1440" w:top="265" w:right="1440" w:bottom="1440" w:gutter="0" w:footer="0" w:header="0"/>
        </w:sectPr>
      </w:pPr>
    </w:p>
    <w:p>
      <w:pPr>
        <w:spacing w:after="0" w:line="266" w:lineRule="exact"/>
        <w:rPr>
          <w:sz w:val="20"/>
          <w:szCs w:val="20"/>
          <w:color w:val="auto"/>
        </w:rPr>
      </w:pPr>
    </w:p>
    <w:p>
      <w:pPr>
        <w:ind w:left="300"/>
        <w:spacing w:after="0" w:line="258" w:lineRule="auto"/>
        <w:rPr>
          <w:sz w:val="20"/>
          <w:szCs w:val="20"/>
          <w:color w:val="auto"/>
        </w:rPr>
      </w:pPr>
      <w:r>
        <w:rPr>
          <w:rFonts w:ascii="Arial" w:cs="Arial" w:eastAsia="Arial" w:hAnsi="Arial"/>
          <w:sz w:val="14"/>
          <w:szCs w:val="14"/>
          <w:b w:val="1"/>
          <w:bCs w:val="1"/>
          <w:color w:val="auto"/>
        </w:rPr>
        <w:t>THE BOARD OF DIRECTORS RECOMMENDS A VOTE “FOR” PROPOSAL 1, PROPOSAL 2 AND PROPOSAL 3</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819"/>
        <w:spacing w:after="0" w:line="253" w:lineRule="auto"/>
        <w:rPr>
          <w:sz w:val="20"/>
          <w:szCs w:val="20"/>
          <w:color w:val="auto"/>
        </w:rPr>
      </w:pPr>
      <w:r>
        <w:rPr>
          <w:rFonts w:ascii="Arial" w:cs="Arial" w:eastAsia="Arial" w:hAnsi="Arial"/>
          <w:sz w:val="14"/>
          <w:szCs w:val="14"/>
          <w:color w:val="auto"/>
        </w:rPr>
        <w:t>Please mark votes as indicated in this example</w:t>
      </w:r>
    </w:p>
    <w:p>
      <w:pPr>
        <w:spacing w:after="0" w:line="71" w:lineRule="exact"/>
        <w:rPr>
          <w:sz w:val="20"/>
          <w:szCs w:val="20"/>
          <w:color w:val="auto"/>
        </w:rPr>
      </w:pPr>
    </w:p>
    <w:p>
      <w:pPr>
        <w:sectPr>
          <w:pgSz w:w="11900" w:h="16838" w:orient="portrait"/>
          <w:cols w:equalWidth="0" w:num="2">
            <w:col w:w="5860" w:space="200"/>
            <w:col w:w="2959"/>
          </w:cols>
          <w:pgMar w:left="1440" w:top="265" w:right="1440" w:bottom="1440" w:gutter="0" w:footer="0" w:header="0"/>
          <w:type w:val="continuous"/>
        </w:sectPr>
      </w:pPr>
    </w:p>
    <w:tbl>
      <w:tblPr>
        <w:tblLayout w:type="fixed"/>
        <w:tblInd w:w="30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60" w:type="dxa"/>
            <w:vAlign w:val="bottom"/>
            <w:gridSpan w:val="3"/>
          </w:tcPr>
          <w:p>
            <w:pPr>
              <w:ind w:left="200"/>
              <w:spacing w:after="0"/>
              <w:rPr>
                <w:sz w:val="20"/>
                <w:szCs w:val="20"/>
                <w:color w:val="auto"/>
              </w:rPr>
            </w:pPr>
            <w:r>
              <w:rPr>
                <w:rFonts w:ascii="Arial" w:cs="Arial" w:eastAsia="Arial" w:hAnsi="Arial"/>
                <w:sz w:val="14"/>
                <w:szCs w:val="14"/>
                <w:b w:val="1"/>
                <w:bCs w:val="1"/>
                <w:color w:val="auto"/>
              </w:rPr>
              <w:t>Check here for address change and</w:t>
            </w:r>
          </w:p>
        </w:tc>
      </w:tr>
      <w:tr>
        <w:trPr>
          <w:trHeight w:val="226"/>
        </w:trPr>
        <w:tc>
          <w:tcPr>
            <w:tcW w:w="2800" w:type="dxa"/>
            <w:vAlign w:val="bottom"/>
            <w:gridSpan w:val="2"/>
          </w:tcPr>
          <w:p>
            <w:pPr>
              <w:ind w:left="40"/>
              <w:spacing w:after="0"/>
              <w:rPr>
                <w:sz w:val="20"/>
                <w:szCs w:val="20"/>
                <w:color w:val="auto"/>
              </w:rPr>
            </w:pPr>
            <w:r>
              <w:rPr>
                <w:rFonts w:ascii="Arial" w:cs="Arial" w:eastAsia="Arial" w:hAnsi="Arial"/>
                <w:sz w:val="14"/>
                <w:szCs w:val="14"/>
                <w:b w:val="1"/>
                <w:bCs w:val="1"/>
                <w:color w:val="auto"/>
              </w:rPr>
              <w:t>Proposal 1 – Extension of Corporate Life</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FOR</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AGAINST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2760" w:type="dxa"/>
            <w:vAlign w:val="bottom"/>
            <w:gridSpan w:val="3"/>
          </w:tcPr>
          <w:p>
            <w:pPr>
              <w:ind w:left="200"/>
              <w:spacing w:after="0" w:line="161" w:lineRule="exact"/>
              <w:rPr>
                <w:sz w:val="20"/>
                <w:szCs w:val="20"/>
                <w:color w:val="auto"/>
              </w:rPr>
            </w:pPr>
            <w:r>
              <w:rPr>
                <w:rFonts w:ascii="Arial" w:cs="Arial" w:eastAsia="Arial" w:hAnsi="Arial"/>
                <w:sz w:val="14"/>
                <w:szCs w:val="14"/>
                <w:b w:val="1"/>
                <w:bCs w:val="1"/>
                <w:color w:val="auto"/>
              </w:rPr>
              <w:t xml:space="preserve">indicate the correct address below: </w:t>
            </w:r>
            <w:r>
              <w:rPr>
                <w:rFonts w:ascii="MS PGothic" w:cs="MS PGothic" w:eastAsia="MS PGothic" w:hAnsi="MS PGothic"/>
                <w:sz w:val="14"/>
                <w:szCs w:val="14"/>
                <w:color w:val="auto"/>
              </w:rPr>
              <w:t>☒</w:t>
            </w:r>
          </w:p>
        </w:tc>
      </w:tr>
      <w:tr>
        <w:trPr>
          <w:trHeight w:val="44"/>
        </w:trPr>
        <w:tc>
          <w:tcPr>
            <w:tcW w:w="26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23"/>
        </w:trPr>
        <w:tc>
          <w:tcPr>
            <w:tcW w:w="2800" w:type="dxa"/>
            <w:vAlign w:val="bottom"/>
            <w:gridSpan w:val="2"/>
          </w:tcPr>
          <w:p>
            <w:pPr>
              <w:spacing w:after="0"/>
              <w:rPr>
                <w:sz w:val="20"/>
                <w:szCs w:val="20"/>
                <w:color w:val="auto"/>
              </w:rPr>
            </w:pPr>
            <w:r>
              <w:rPr>
                <w:rFonts w:ascii="Arial" w:cs="Arial" w:eastAsia="Arial" w:hAnsi="Arial"/>
                <w:sz w:val="18"/>
                <w:szCs w:val="18"/>
                <w:color w:val="auto"/>
              </w:rPr>
              <w:t>Amend the Company’s amended</w:t>
            </w:r>
          </w:p>
        </w:tc>
        <w:tc>
          <w:tcPr>
            <w:tcW w:w="82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2020" w:type="dxa"/>
            <w:vAlign w:val="bottom"/>
            <w:gridSpan w:val="2"/>
          </w:tcPr>
          <w:p>
            <w:pPr>
              <w:ind w:left="200"/>
              <w:spacing w:after="0"/>
              <w:rPr>
                <w:sz w:val="20"/>
                <w:szCs w:val="20"/>
                <w:color w:val="auto"/>
              </w:rPr>
            </w:pPr>
            <w:r>
              <w:rPr>
                <w:rFonts w:ascii="Arial" w:cs="Arial" w:eastAsia="Arial" w:hAnsi="Arial"/>
                <w:sz w:val="18"/>
                <w:szCs w:val="18"/>
                <w:color w:val="auto"/>
              </w:rPr>
              <w:t>Date:</w:t>
            </w:r>
          </w:p>
        </w:tc>
        <w:tc>
          <w:tcPr>
            <w:tcW w:w="740" w:type="dxa"/>
            <w:vAlign w:val="bottom"/>
          </w:tcPr>
          <w:p>
            <w:pPr>
              <w:spacing w:after="0"/>
              <w:rPr>
                <w:sz w:val="20"/>
                <w:szCs w:val="20"/>
                <w:color w:val="auto"/>
              </w:rPr>
            </w:pPr>
            <w:r>
              <w:rPr>
                <w:rFonts w:ascii="Arial" w:cs="Arial" w:eastAsia="Arial" w:hAnsi="Arial"/>
                <w:sz w:val="18"/>
                <w:szCs w:val="18"/>
                <w:color w:val="auto"/>
              </w:rPr>
              <w:t>, 202[•]</w:t>
            </w:r>
          </w:p>
        </w:tc>
      </w:tr>
      <w:tr>
        <w:trPr>
          <w:trHeight w:val="20"/>
        </w:trPr>
        <w:tc>
          <w:tcPr>
            <w:tcW w:w="2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2"/>
        </w:trPr>
        <w:tc>
          <w:tcPr>
            <w:tcW w:w="2800" w:type="dxa"/>
            <w:vAlign w:val="bottom"/>
            <w:gridSpan w:val="2"/>
          </w:tcPr>
          <w:p>
            <w:pPr>
              <w:spacing w:after="0"/>
              <w:rPr>
                <w:sz w:val="20"/>
                <w:szCs w:val="20"/>
                <w:color w:val="auto"/>
              </w:rPr>
            </w:pPr>
            <w:r>
              <w:rPr>
                <w:rFonts w:ascii="Arial" w:cs="Arial" w:eastAsia="Arial" w:hAnsi="Arial"/>
                <w:sz w:val="18"/>
                <w:szCs w:val="18"/>
                <w:color w:val="auto"/>
              </w:rPr>
              <w:t>and restated memorandum and</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color w:val="auto"/>
              </w:rPr>
              <w:t>Signature</w:t>
            </w:r>
          </w:p>
        </w:tc>
        <w:tc>
          <w:tcPr>
            <w:tcW w:w="740" w:type="dxa"/>
            <w:vAlign w:val="bottom"/>
          </w:tcPr>
          <w:p>
            <w:pPr>
              <w:spacing w:after="0"/>
              <w:rPr>
                <w:sz w:val="19"/>
                <w:szCs w:val="19"/>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w w:val="98"/>
              </w:rPr>
              <w:t>articles of association to extend the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w w:val="92"/>
              </w:rPr>
              <w:t>Signature (if held jointly) Signature</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date that the Company has to</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should agree with name printed</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consummate a business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w w:val="99"/>
              </w:rPr>
              <w:t>hereon. If shares are held in the</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combination from February 12,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name of more than one person,</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2021 to July 10, 2021.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EACH joint owner should sign.</w:t>
            </w:r>
          </w:p>
        </w:tc>
      </w:tr>
      <w:tr>
        <w:trPr>
          <w:trHeight w:val="230"/>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w w:val="90"/>
              </w:rPr>
              <w:t>Executors, administrators, trustees,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5233670</wp:posOffset>
            </wp:positionH>
            <wp:positionV relativeFrom="paragraph">
              <wp:posOffset>-1278255</wp:posOffset>
            </wp:positionV>
            <wp:extent cx="69215" cy="704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guardians and attorneys should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indicate the capacity in which they</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 Attorneys should submit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 xml:space="preserve">powers of attorney. </w:t>
      </w:r>
      <w:r>
        <w:rPr>
          <w:rFonts w:ascii="Arial" w:cs="Arial" w:eastAsia="Arial" w:hAnsi="Arial"/>
          <w:sz w:val="16"/>
          <w:szCs w:val="16"/>
          <w:b w:val="1"/>
          <w:bCs w:val="1"/>
          <w:color w:val="auto"/>
        </w:rPr>
        <w:t>PLEASE SIGN,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DATE AND RETURN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PROXY IN THE ENVELOPE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ENCLOSED TO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CONTINENTAL STOCK</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TRANSFER &amp; TRUST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COMPANY. THIS PROXY WILL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2800" w:type="dxa"/>
            <w:vAlign w:val="bottom"/>
            <w:gridSpan w:val="2"/>
          </w:tcPr>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160" w:type="dxa"/>
            <w:vAlign w:val="bottom"/>
          </w:tcPr>
          <w:p>
            <w:pPr>
              <w:spacing w:after="0"/>
              <w:rPr>
                <w:sz w:val="16"/>
                <w:szCs w:val="16"/>
                <w:color w:val="auto"/>
              </w:rPr>
            </w:pPr>
          </w:p>
        </w:tc>
      </w:tr>
      <w:tr>
        <w:trPr>
          <w:trHeight w:val="392"/>
        </w:trPr>
        <w:tc>
          <w:tcPr>
            <w:tcW w:w="1300" w:type="dxa"/>
            <w:vAlign w:val="bottom"/>
          </w:tcPr>
          <w:p>
            <w:pPr>
              <w:spacing w:after="0"/>
              <w:rPr>
                <w:sz w:val="24"/>
                <w:szCs w:val="24"/>
                <w:color w:val="auto"/>
              </w:rPr>
            </w:pPr>
          </w:p>
        </w:tc>
        <w:tc>
          <w:tcPr>
            <w:tcW w:w="2800" w:type="dxa"/>
            <w:vAlign w:val="bottom"/>
            <w:gridSpan w:val="2"/>
          </w:tcPr>
          <w:p>
            <w:pPr>
              <w:ind w:left="480"/>
              <w:spacing w:after="0"/>
              <w:rPr>
                <w:sz w:val="20"/>
                <w:szCs w:val="20"/>
                <w:color w:val="auto"/>
              </w:rPr>
            </w:pPr>
            <w:r>
              <w:rPr>
                <w:rFonts w:ascii="Arial" w:cs="Arial" w:eastAsia="Arial" w:hAnsi="Arial"/>
                <w:sz w:val="14"/>
                <w:szCs w:val="14"/>
                <w:b w:val="1"/>
                <w:bCs w:val="1"/>
                <w:color w:val="auto"/>
              </w:rPr>
              <w:t>Proposal 3 – Adjournment</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FOR</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AGAINST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4160" w:type="dxa"/>
            <w:vAlign w:val="bottom"/>
          </w:tcPr>
          <w:p>
            <w:pPr>
              <w:spacing w:after="0"/>
              <w:rPr>
                <w:sz w:val="24"/>
                <w:szCs w:val="24"/>
                <w:color w:val="auto"/>
              </w:rPr>
            </w:pPr>
          </w:p>
        </w:tc>
      </w:tr>
      <w:tr>
        <w:trPr>
          <w:trHeight w:val="53"/>
        </w:trPr>
        <w:tc>
          <w:tcPr>
            <w:tcW w:w="1300" w:type="dxa"/>
            <w:vAlign w:val="bottom"/>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160" w:type="dxa"/>
            <w:vAlign w:val="bottom"/>
          </w:tcPr>
          <w:p>
            <w:pPr>
              <w:spacing w:after="0"/>
              <w:rPr>
                <w:sz w:val="4"/>
                <w:szCs w:val="4"/>
                <w:color w:val="auto"/>
              </w:rPr>
            </w:pPr>
          </w:p>
        </w:tc>
      </w:tr>
      <w:tr>
        <w:trPr>
          <w:trHeight w:val="245"/>
        </w:trPr>
        <w:tc>
          <w:tcPr>
            <w:tcW w:w="1300" w:type="dxa"/>
            <w:vAlign w:val="bottom"/>
          </w:tcPr>
          <w:p>
            <w:pPr>
              <w:spacing w:after="0"/>
              <w:rPr>
                <w:sz w:val="21"/>
                <w:szCs w:val="21"/>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Adjourn the Extraordinary General</w:t>
            </w:r>
          </w:p>
        </w:tc>
        <w:tc>
          <w:tcPr>
            <w:tcW w:w="82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4160" w:type="dxa"/>
            <w:vAlign w:val="bottom"/>
          </w:tcPr>
          <w:p>
            <w:pPr>
              <w:ind w:left="200"/>
              <w:spacing w:after="0"/>
              <w:rPr>
                <w:sz w:val="20"/>
                <w:szCs w:val="20"/>
                <w:color w:val="auto"/>
              </w:rPr>
            </w:pPr>
            <w:r>
              <w:rPr>
                <w:rFonts w:ascii="Arial" w:cs="Arial" w:eastAsia="Arial" w:hAnsi="Arial"/>
                <w:sz w:val="18"/>
                <w:szCs w:val="18"/>
                <w:b w:val="1"/>
                <w:bCs w:val="1"/>
                <w:color w:val="auto"/>
              </w:rPr>
              <w:t>VOTED IN THE MANNER</w:t>
            </w:r>
          </w:p>
        </w:tc>
      </w:tr>
      <w:tr>
        <w:trPr>
          <w:trHeight w:val="216"/>
        </w:trPr>
        <w:tc>
          <w:tcPr>
            <w:tcW w:w="130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Meeting to a later date or dates, if</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b w:val="1"/>
                <w:bCs w:val="1"/>
                <w:color w:val="auto"/>
              </w:rPr>
              <w:t>DIRECTED HEREIN BY THE</w:t>
            </w:r>
          </w:p>
        </w:tc>
      </w:tr>
      <w:tr>
        <w:trPr>
          <w:trHeight w:val="216"/>
        </w:trPr>
        <w:tc>
          <w:tcPr>
            <w:tcW w:w="130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necessary, to permit further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b w:val="1"/>
                <w:bCs w:val="1"/>
                <w:color w:val="auto"/>
              </w:rPr>
              <w:t>ABOVE SIGNED</w:t>
            </w:r>
          </w:p>
        </w:tc>
      </w:tr>
      <w:tr>
        <w:trPr>
          <w:trHeight w:val="216"/>
        </w:trPr>
        <w:tc>
          <w:tcPr>
            <w:tcW w:w="130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solicitation and vote of proxies in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b w:val="1"/>
                <w:bCs w:val="1"/>
                <w:color w:val="auto"/>
              </w:rPr>
              <w:t>SHAREHOLDER. IF YOU</w:t>
            </w:r>
          </w:p>
        </w:tc>
      </w:tr>
      <w:tr>
        <w:trPr>
          <w:trHeight w:val="216"/>
        </w:trPr>
        <w:tc>
          <w:tcPr>
            <w:tcW w:w="130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the event that there are insufficient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b w:val="1"/>
                <w:bCs w:val="1"/>
                <w:color w:val="auto"/>
              </w:rPr>
              <w:t>RETURN A SIGNED AND</w:t>
            </w:r>
          </w:p>
        </w:tc>
      </w:tr>
      <w:tr>
        <w:trPr>
          <w:trHeight w:val="216"/>
        </w:trPr>
        <w:tc>
          <w:tcPr>
            <w:tcW w:w="130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votes for, or otherwise in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b w:val="1"/>
                <w:bCs w:val="1"/>
                <w:color w:val="auto"/>
              </w:rPr>
              <w:t>DATED PROXY BUT NO</w:t>
            </w:r>
          </w:p>
        </w:tc>
      </w:tr>
      <w:tr>
        <w:trPr>
          <w:trHeight w:val="216"/>
        </w:trPr>
        <w:tc>
          <w:tcPr>
            <w:tcW w:w="130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connection with, the approval of</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b w:val="1"/>
                <w:bCs w:val="1"/>
                <w:color w:val="auto"/>
              </w:rPr>
              <w:t>DIRECTION IS MADE, YOUR</w:t>
            </w:r>
          </w:p>
        </w:tc>
      </w:tr>
      <w:tr>
        <w:trPr>
          <w:trHeight w:val="216"/>
        </w:trPr>
        <w:tc>
          <w:tcPr>
            <w:tcW w:w="130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Proposal 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b w:val="1"/>
                <w:bCs w:val="1"/>
                <w:color w:val="auto"/>
              </w:rPr>
              <w:t>ORDINARY SHARES WILL BE</w:t>
            </w:r>
          </w:p>
        </w:tc>
      </w:tr>
      <w:tr>
        <w:trPr>
          <w:trHeight w:val="216"/>
        </w:trPr>
        <w:tc>
          <w:tcPr>
            <w:tcW w:w="1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b w:val="1"/>
                <w:bCs w:val="1"/>
                <w:color w:val="auto"/>
              </w:rPr>
              <w:t>VOTED FOR THE PROPOSALS</w:t>
            </w:r>
          </w:p>
        </w:tc>
      </w:tr>
      <w:tr>
        <w:trPr>
          <w:trHeight w:val="234"/>
        </w:trPr>
        <w:tc>
          <w:tcPr>
            <w:tcW w:w="1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8"/>
                <w:szCs w:val="18"/>
                <w:b w:val="1"/>
                <w:bCs w:val="1"/>
                <w:color w:val="auto"/>
              </w:rPr>
              <w:t>SET FORTH ABOVE.</w:t>
            </w:r>
          </w:p>
        </w:tc>
      </w:tr>
      <w:tr>
        <w:trPr>
          <w:trHeight w:val="196"/>
        </w:trPr>
        <w:tc>
          <w:tcPr>
            <w:tcW w:w="13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CARD FOR CLASS B ORDINARY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SILVER SPIKE ACQUISITION CORP.</w:t>
      </w:r>
    </w:p>
    <w:p>
      <w:pPr>
        <w:spacing w:after="0" w:line="225" w:lineRule="exact"/>
        <w:rPr>
          <w:sz w:val="20"/>
          <w:szCs w:val="20"/>
          <w:color w:val="auto"/>
        </w:rPr>
      </w:pPr>
    </w:p>
    <w:p>
      <w:pPr>
        <w:jc w:val="center"/>
        <w:ind w:left="300" w:right="319"/>
        <w:spacing w:after="0" w:line="266" w:lineRule="auto"/>
        <w:rPr>
          <w:sz w:val="20"/>
          <w:szCs w:val="20"/>
          <w:color w:val="auto"/>
        </w:rPr>
      </w:pPr>
      <w:r>
        <w:rPr>
          <w:rFonts w:ascii="Arial" w:cs="Arial" w:eastAsia="Arial" w:hAnsi="Arial"/>
          <w:sz w:val="18"/>
          <w:szCs w:val="18"/>
          <w:b w:val="1"/>
          <w:bCs w:val="1"/>
          <w:color w:val="auto"/>
        </w:rPr>
        <w:t>THIS PROXY IS SOLICITED BY THE BOARD OF DIRECTORS FOR THE EXTRAORDINARY GENERAL MEETING TO BE HELD ON [•], 202[•]</w:t>
      </w:r>
    </w:p>
    <w:p>
      <w:pPr>
        <w:spacing w:after="0" w:line="72"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The undersigned holder of Class B ordinary shares, revoking any previous proxies relating to these shares with respect to the Extension Amendment Proposal and the Adjournment Proposal hereby acknowledges receipt of the notice and Proxy Statement, dated [•], 202[•], in connection with the Extraordinary General Meeting to be held at [•] [a.m./p.m.] Eastern Time on [•], 202[•] at the offices of Silver Spike Acquisition Corp. (the “Company”), located at 660 Madison Ave., Suite 1600, New York, New York 10065, for the sole purpose of considering and voting upon the following proposals, and hereby appoints Scott Gordon as the Chairman of the Extraordinary General Meeting, and each of them (with full power to act alone), the attorneys and proxies of the undersigned, with power of substitution to each, to vote all shares of the ordinary shares of the Company registered in the name provided, which the undersigned is entitled to vote at the Extraordinary General Meeting, and at any adjournments thereof, with all the powers the undersigned would have if personally present. Without limiting the general authorization hereby given, said proxies are, and each of them is, instructed to vote or act as follows on the proposals set forth in this Proxy Statement.</w:t>
      </w:r>
    </w:p>
    <w:p>
      <w:pPr>
        <w:spacing w:after="0" w:line="67" w:lineRule="exact"/>
        <w:rPr>
          <w:sz w:val="20"/>
          <w:szCs w:val="20"/>
          <w:color w:val="auto"/>
        </w:rPr>
      </w:pPr>
    </w:p>
    <w:p>
      <w:pPr>
        <w:ind w:left="300" w:right="479" w:firstLine="360"/>
        <w:spacing w:after="0" w:line="266" w:lineRule="auto"/>
        <w:rPr>
          <w:sz w:val="20"/>
          <w:szCs w:val="20"/>
          <w:color w:val="auto"/>
        </w:rPr>
      </w:pPr>
      <w:r>
        <w:rPr>
          <w:rFonts w:ascii="Arial" w:cs="Arial" w:eastAsia="Arial" w:hAnsi="Arial"/>
          <w:sz w:val="18"/>
          <w:szCs w:val="18"/>
          <w:b w:val="1"/>
          <w:bCs w:val="1"/>
          <w:color w:val="auto"/>
        </w:rPr>
        <w:t>THE SHARES REPRESENTED BY THIS PROXY WHEN PROPERLY EXECUTED WILL BE VOTED IN THE MANNER DIRECTED HEREIN BY THE UNDERSIGNED SHAREHOLDER. PLEASE MARK, SIGN, DATE AND RETURN THE PROXY CARD PROMPTLY</w:t>
      </w:r>
    </w:p>
    <w:p>
      <w:pPr>
        <w:spacing w:after="0" w:line="68" w:lineRule="exact"/>
        <w:rPr>
          <w:sz w:val="20"/>
          <w:szCs w:val="20"/>
          <w:color w:val="auto"/>
        </w:rPr>
      </w:pPr>
    </w:p>
    <w:p>
      <w:pPr>
        <w:jc w:val="both"/>
        <w:ind w:left="300" w:right="379" w:firstLine="36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Extraordinary General Meeting to be held on[•], 202[</w:t>
      </w:r>
      <w:r>
        <w:rPr>
          <w:rFonts w:ascii="Arial" w:cs="Arial" w:eastAsia="Arial" w:hAnsi="Arial"/>
          <w:sz w:val="18"/>
          <w:szCs w:val="18"/>
          <w:color w:val="auto"/>
        </w:rPr>
        <w:t>•</w:t>
      </w:r>
      <w:r>
        <w:rPr>
          <w:rFonts w:ascii="Arial" w:cs="Arial" w:eastAsia="Arial" w:hAnsi="Arial"/>
          <w:sz w:val="18"/>
          <w:szCs w:val="18"/>
          <w:b w:val="1"/>
          <w:bCs w:val="1"/>
          <w:color w:val="auto"/>
        </w:rPr>
        <w:t>]: This notice of extraordinary general meeting and the accompanying Proxy Statement are available at [Website Address].</w:t>
      </w:r>
    </w:p>
    <w:p>
      <w:pPr>
        <w:sectPr>
          <w:pgSz w:w="11900" w:h="16838" w:orient="portrait"/>
          <w:cols w:equalWidth="0" w:num="1">
            <w:col w:w="9019"/>
          </w:cols>
          <w:pgMar w:left="1440" w:top="265" w:right="1440" w:bottom="1440" w:gutter="0" w:footer="0" w:header="0"/>
        </w:sectPr>
      </w:pPr>
    </w:p>
    <w:p>
      <w:pPr>
        <w:spacing w:after="0" w:line="266" w:lineRule="exact"/>
        <w:rPr>
          <w:sz w:val="20"/>
          <w:szCs w:val="20"/>
          <w:color w:val="auto"/>
        </w:rPr>
      </w:pPr>
    </w:p>
    <w:p>
      <w:pPr>
        <w:ind w:left="300"/>
        <w:spacing w:after="0" w:line="258" w:lineRule="auto"/>
        <w:rPr>
          <w:sz w:val="20"/>
          <w:szCs w:val="20"/>
          <w:color w:val="auto"/>
        </w:rPr>
      </w:pPr>
      <w:r>
        <w:rPr>
          <w:rFonts w:ascii="Arial" w:cs="Arial" w:eastAsia="Arial" w:hAnsi="Arial"/>
          <w:sz w:val="14"/>
          <w:szCs w:val="14"/>
          <w:b w:val="1"/>
          <w:bCs w:val="1"/>
          <w:color w:val="auto"/>
        </w:rPr>
        <w:t>THE BOARD OF DIRECTORS RECOMMENDS A VOTE “FOR” PROPOSAL 1, PROPOSAL 2 AND PROPOSAL 3</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819"/>
        <w:spacing w:after="0" w:line="253" w:lineRule="auto"/>
        <w:rPr>
          <w:sz w:val="20"/>
          <w:szCs w:val="20"/>
          <w:color w:val="auto"/>
        </w:rPr>
      </w:pPr>
      <w:r>
        <w:rPr>
          <w:rFonts w:ascii="Arial" w:cs="Arial" w:eastAsia="Arial" w:hAnsi="Arial"/>
          <w:sz w:val="14"/>
          <w:szCs w:val="14"/>
          <w:color w:val="auto"/>
        </w:rPr>
        <w:t>Please mark votes as indicated in this example</w:t>
      </w:r>
    </w:p>
    <w:p>
      <w:pPr>
        <w:spacing w:after="0" w:line="71" w:lineRule="exact"/>
        <w:rPr>
          <w:sz w:val="20"/>
          <w:szCs w:val="20"/>
          <w:color w:val="auto"/>
        </w:rPr>
      </w:pPr>
    </w:p>
    <w:p>
      <w:pPr>
        <w:sectPr>
          <w:pgSz w:w="11900" w:h="16838" w:orient="portrait"/>
          <w:cols w:equalWidth="0" w:num="2">
            <w:col w:w="5860" w:space="200"/>
            <w:col w:w="2959"/>
          </w:cols>
          <w:pgMar w:left="1440" w:top="265" w:right="1440" w:bottom="1440" w:gutter="0" w:footer="0" w:header="0"/>
          <w:type w:val="continuous"/>
        </w:sectPr>
      </w:pPr>
    </w:p>
    <w:tbl>
      <w:tblPr>
        <w:tblLayout w:type="fixed"/>
        <w:tblInd w:w="30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60" w:type="dxa"/>
            <w:vAlign w:val="bottom"/>
            <w:gridSpan w:val="3"/>
          </w:tcPr>
          <w:p>
            <w:pPr>
              <w:ind w:left="200"/>
              <w:spacing w:after="0"/>
              <w:rPr>
                <w:sz w:val="20"/>
                <w:szCs w:val="20"/>
                <w:color w:val="auto"/>
              </w:rPr>
            </w:pPr>
            <w:r>
              <w:rPr>
                <w:rFonts w:ascii="Arial" w:cs="Arial" w:eastAsia="Arial" w:hAnsi="Arial"/>
                <w:sz w:val="14"/>
                <w:szCs w:val="14"/>
                <w:b w:val="1"/>
                <w:bCs w:val="1"/>
                <w:color w:val="auto"/>
              </w:rPr>
              <w:t>Check here for address change and</w:t>
            </w:r>
          </w:p>
        </w:tc>
      </w:tr>
      <w:tr>
        <w:trPr>
          <w:trHeight w:val="226"/>
        </w:trPr>
        <w:tc>
          <w:tcPr>
            <w:tcW w:w="2800" w:type="dxa"/>
            <w:vAlign w:val="bottom"/>
            <w:gridSpan w:val="2"/>
          </w:tcPr>
          <w:p>
            <w:pPr>
              <w:ind w:left="40"/>
              <w:spacing w:after="0"/>
              <w:rPr>
                <w:sz w:val="20"/>
                <w:szCs w:val="20"/>
                <w:color w:val="auto"/>
              </w:rPr>
            </w:pPr>
            <w:r>
              <w:rPr>
                <w:rFonts w:ascii="Arial" w:cs="Arial" w:eastAsia="Arial" w:hAnsi="Arial"/>
                <w:sz w:val="14"/>
                <w:szCs w:val="14"/>
                <w:b w:val="1"/>
                <w:bCs w:val="1"/>
                <w:color w:val="auto"/>
              </w:rPr>
              <w:t>Proposal 1 – Extension of Corporate Life</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FOR</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AGAINST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2760" w:type="dxa"/>
            <w:vAlign w:val="bottom"/>
            <w:gridSpan w:val="3"/>
          </w:tcPr>
          <w:p>
            <w:pPr>
              <w:ind w:left="200"/>
              <w:spacing w:after="0" w:line="161" w:lineRule="exact"/>
              <w:rPr>
                <w:sz w:val="20"/>
                <w:szCs w:val="20"/>
                <w:color w:val="auto"/>
              </w:rPr>
            </w:pPr>
            <w:r>
              <w:rPr>
                <w:rFonts w:ascii="Arial" w:cs="Arial" w:eastAsia="Arial" w:hAnsi="Arial"/>
                <w:sz w:val="14"/>
                <w:szCs w:val="14"/>
                <w:b w:val="1"/>
                <w:bCs w:val="1"/>
                <w:color w:val="auto"/>
              </w:rPr>
              <w:t xml:space="preserve">indicate the correct address below: </w:t>
            </w:r>
            <w:r>
              <w:rPr>
                <w:rFonts w:ascii="MS PGothic" w:cs="MS PGothic" w:eastAsia="MS PGothic" w:hAnsi="MS PGothic"/>
                <w:sz w:val="14"/>
                <w:szCs w:val="14"/>
                <w:color w:val="auto"/>
              </w:rPr>
              <w:t>☒</w:t>
            </w:r>
          </w:p>
        </w:tc>
      </w:tr>
      <w:tr>
        <w:trPr>
          <w:trHeight w:val="44"/>
        </w:trPr>
        <w:tc>
          <w:tcPr>
            <w:tcW w:w="26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23"/>
        </w:trPr>
        <w:tc>
          <w:tcPr>
            <w:tcW w:w="2800" w:type="dxa"/>
            <w:vAlign w:val="bottom"/>
            <w:gridSpan w:val="2"/>
          </w:tcPr>
          <w:p>
            <w:pPr>
              <w:spacing w:after="0"/>
              <w:rPr>
                <w:sz w:val="20"/>
                <w:szCs w:val="20"/>
                <w:color w:val="auto"/>
              </w:rPr>
            </w:pPr>
            <w:r>
              <w:rPr>
                <w:rFonts w:ascii="Arial" w:cs="Arial" w:eastAsia="Arial" w:hAnsi="Arial"/>
                <w:sz w:val="18"/>
                <w:szCs w:val="18"/>
                <w:color w:val="auto"/>
              </w:rPr>
              <w:t>Amend the Company’s amended</w:t>
            </w:r>
          </w:p>
        </w:tc>
        <w:tc>
          <w:tcPr>
            <w:tcW w:w="82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2020" w:type="dxa"/>
            <w:vAlign w:val="bottom"/>
            <w:gridSpan w:val="2"/>
          </w:tcPr>
          <w:p>
            <w:pPr>
              <w:ind w:left="200"/>
              <w:spacing w:after="0"/>
              <w:rPr>
                <w:sz w:val="20"/>
                <w:szCs w:val="20"/>
                <w:color w:val="auto"/>
              </w:rPr>
            </w:pPr>
            <w:r>
              <w:rPr>
                <w:rFonts w:ascii="Arial" w:cs="Arial" w:eastAsia="Arial" w:hAnsi="Arial"/>
                <w:sz w:val="18"/>
                <w:szCs w:val="18"/>
                <w:color w:val="auto"/>
              </w:rPr>
              <w:t>Date:</w:t>
            </w:r>
          </w:p>
        </w:tc>
        <w:tc>
          <w:tcPr>
            <w:tcW w:w="740" w:type="dxa"/>
            <w:vAlign w:val="bottom"/>
          </w:tcPr>
          <w:p>
            <w:pPr>
              <w:spacing w:after="0"/>
              <w:rPr>
                <w:sz w:val="20"/>
                <w:szCs w:val="20"/>
                <w:color w:val="auto"/>
              </w:rPr>
            </w:pPr>
            <w:r>
              <w:rPr>
                <w:rFonts w:ascii="Arial" w:cs="Arial" w:eastAsia="Arial" w:hAnsi="Arial"/>
                <w:sz w:val="18"/>
                <w:szCs w:val="18"/>
                <w:color w:val="auto"/>
              </w:rPr>
              <w:t>, 202[•]</w:t>
            </w:r>
          </w:p>
        </w:tc>
      </w:tr>
      <w:tr>
        <w:trPr>
          <w:trHeight w:val="20"/>
        </w:trPr>
        <w:tc>
          <w:tcPr>
            <w:tcW w:w="2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2"/>
        </w:trPr>
        <w:tc>
          <w:tcPr>
            <w:tcW w:w="2800" w:type="dxa"/>
            <w:vAlign w:val="bottom"/>
            <w:gridSpan w:val="2"/>
          </w:tcPr>
          <w:p>
            <w:pPr>
              <w:spacing w:after="0"/>
              <w:rPr>
                <w:sz w:val="20"/>
                <w:szCs w:val="20"/>
                <w:color w:val="auto"/>
              </w:rPr>
            </w:pPr>
            <w:r>
              <w:rPr>
                <w:rFonts w:ascii="Arial" w:cs="Arial" w:eastAsia="Arial" w:hAnsi="Arial"/>
                <w:sz w:val="18"/>
                <w:szCs w:val="18"/>
                <w:color w:val="auto"/>
              </w:rPr>
              <w:t>and restated memorandum and</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color w:val="auto"/>
              </w:rPr>
              <w:t>Signature</w:t>
            </w:r>
          </w:p>
        </w:tc>
        <w:tc>
          <w:tcPr>
            <w:tcW w:w="740" w:type="dxa"/>
            <w:vAlign w:val="bottom"/>
          </w:tcPr>
          <w:p>
            <w:pPr>
              <w:spacing w:after="0"/>
              <w:rPr>
                <w:sz w:val="19"/>
                <w:szCs w:val="19"/>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w w:val="98"/>
              </w:rPr>
              <w:t>articles of association to extend the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w w:val="92"/>
              </w:rPr>
              <w:t>Signature (if held jointly) Signature</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date that the Company has to</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should agree with name printed</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consummate a business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w w:val="99"/>
              </w:rPr>
              <w:t>hereon. If shares are held in the</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combination from February 12,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name of more than one person,</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2021 to July 10, 2021.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EACH joint owner should sign.</w:t>
            </w:r>
          </w:p>
        </w:tc>
      </w:tr>
      <w:tr>
        <w:trPr>
          <w:trHeight w:val="216"/>
        </w:trPr>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w w:val="90"/>
              </w:rPr>
              <w:t>Executors, administrators, trustees,</w:t>
            </w:r>
          </w:p>
        </w:tc>
      </w:tr>
      <w:tr>
        <w:trPr>
          <w:trHeight w:val="230"/>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guardians and attorneys should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5233670</wp:posOffset>
            </wp:positionH>
            <wp:positionV relativeFrom="paragraph">
              <wp:posOffset>-1415415</wp:posOffset>
            </wp:positionV>
            <wp:extent cx="69215" cy="704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7"/>
          <w:szCs w:val="17"/>
          <w:color w:val="auto"/>
        </w:rPr>
        <w:t>indicate the capacity in which they</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 Attorneys should submit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 xml:space="preserve">powers of attorney. </w:t>
      </w:r>
      <w:r>
        <w:rPr>
          <w:rFonts w:ascii="Arial" w:cs="Arial" w:eastAsia="Arial" w:hAnsi="Arial"/>
          <w:sz w:val="16"/>
          <w:szCs w:val="16"/>
          <w:b w:val="1"/>
          <w:bCs w:val="1"/>
          <w:color w:val="auto"/>
        </w:rPr>
        <w:t>PLEASE SIGN,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DATE AND RETURN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PROXY IN THE ENVELOPE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ENCLOSED TO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CONTINENTAL STOCK</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TRANSFER &amp; TRUST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COMPANY. THIS PROXY WILL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3" w:name="page44"/>
    <w:bookmarkEnd w:id="43"/>
    <w:tbl>
      <w:tblPr>
        <w:tblLayout w:type="fixed"/>
        <w:tblInd w:w="300" w:type="dxa"/>
        <w:tblCellMar>
          <w:top w:w="0" w:type="dxa"/>
          <w:left w:w="0" w:type="dxa"/>
          <w:bottom w:w="0" w:type="dxa"/>
          <w:right w:w="0" w:type="dxa"/>
        </w:tblCellMar>
      </w:tblPr>
      <w:tr>
        <w:trPr>
          <w:trHeight w:val="186"/>
        </w:trPr>
        <w:tc>
          <w:tcPr>
            <w:tcW w:w="2800" w:type="dxa"/>
            <w:vAlign w:val="bottom"/>
            <w:gridSpan w:val="2"/>
          </w:tcPr>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392"/>
        </w:trPr>
        <w:tc>
          <w:tcPr>
            <w:tcW w:w="2800" w:type="dxa"/>
            <w:vAlign w:val="bottom"/>
            <w:gridSpan w:val="2"/>
          </w:tcPr>
          <w:p>
            <w:pPr>
              <w:ind w:left="220"/>
              <w:spacing w:after="0"/>
              <w:rPr>
                <w:sz w:val="20"/>
                <w:szCs w:val="20"/>
                <w:color w:val="auto"/>
              </w:rPr>
            </w:pPr>
            <w:r>
              <w:rPr>
                <w:rFonts w:ascii="Arial" w:cs="Arial" w:eastAsia="Arial" w:hAnsi="Arial"/>
                <w:sz w:val="14"/>
                <w:szCs w:val="14"/>
                <w:b w:val="1"/>
                <w:bCs w:val="1"/>
                <w:color w:val="auto"/>
              </w:rPr>
              <w:t>Proposal 2 – Director Appointment</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FOR</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AGAINST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2800" w:type="dxa"/>
            <w:vAlign w:val="bottom"/>
          </w:tcPr>
          <w:p>
            <w:pPr>
              <w:spacing w:after="0"/>
              <w:rPr>
                <w:sz w:val="24"/>
                <w:szCs w:val="24"/>
                <w:color w:val="auto"/>
              </w:rPr>
            </w:pPr>
          </w:p>
        </w:tc>
      </w:tr>
      <w:tr>
        <w:trPr>
          <w:trHeight w:val="53"/>
        </w:trPr>
        <w:tc>
          <w:tcPr>
            <w:tcW w:w="26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0" w:type="dxa"/>
            <w:vAlign w:val="bottom"/>
          </w:tcPr>
          <w:p>
            <w:pPr>
              <w:spacing w:after="0"/>
              <w:rPr>
                <w:sz w:val="4"/>
                <w:szCs w:val="4"/>
                <w:color w:val="auto"/>
              </w:rPr>
            </w:pPr>
          </w:p>
        </w:tc>
      </w:tr>
      <w:tr>
        <w:trPr>
          <w:trHeight w:val="245"/>
        </w:trPr>
        <w:tc>
          <w:tcPr>
            <w:tcW w:w="2800" w:type="dxa"/>
            <w:vAlign w:val="bottom"/>
            <w:gridSpan w:val="2"/>
          </w:tcPr>
          <w:p>
            <w:pPr>
              <w:spacing w:after="0"/>
              <w:rPr>
                <w:sz w:val="20"/>
                <w:szCs w:val="20"/>
                <w:color w:val="auto"/>
              </w:rPr>
            </w:pPr>
            <w:r>
              <w:rPr>
                <w:rFonts w:ascii="Arial" w:cs="Arial" w:eastAsia="Arial" w:hAnsi="Arial"/>
                <w:sz w:val="18"/>
                <w:szCs w:val="18"/>
                <w:color w:val="auto"/>
              </w:rPr>
              <w:t>Re-appoint Scott Gordon and</w:t>
            </w:r>
          </w:p>
        </w:tc>
        <w:tc>
          <w:tcPr>
            <w:tcW w:w="82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2800" w:type="dxa"/>
            <w:vAlign w:val="bottom"/>
          </w:tcPr>
          <w:p>
            <w:pPr>
              <w:ind w:left="200"/>
              <w:spacing w:after="0"/>
              <w:rPr>
                <w:sz w:val="20"/>
                <w:szCs w:val="20"/>
                <w:color w:val="auto"/>
              </w:rPr>
            </w:pPr>
            <w:r>
              <w:rPr>
                <w:rFonts w:ascii="Arial" w:cs="Arial" w:eastAsia="Arial" w:hAnsi="Arial"/>
                <w:sz w:val="18"/>
                <w:szCs w:val="18"/>
                <w:b w:val="1"/>
                <w:bCs w:val="1"/>
                <w:color w:val="auto"/>
              </w:rPr>
              <w:t>VOTED IN THE MANNER</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w w:val="99"/>
              </w:rPr>
              <w:t>William Healy as Class 1 Directors,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b w:val="1"/>
                <w:bCs w:val="1"/>
                <w:color w:val="auto"/>
              </w:rPr>
              <w:t>DIRECTED HEREIN BY THE</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with each such director to serve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b w:val="1"/>
                <w:bCs w:val="1"/>
                <w:color w:val="auto"/>
              </w:rPr>
              <w:t>ABOVE SIGNED</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until the second annual general</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b w:val="1"/>
                <w:bCs w:val="1"/>
                <w:color w:val="auto"/>
              </w:rPr>
              <w:t>SHAREHOLDER. IF YOU</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meeting following this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b w:val="1"/>
                <w:bCs w:val="1"/>
                <w:color w:val="auto"/>
              </w:rPr>
              <w:t>RETURN A SIGNED AND</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w w:val="97"/>
              </w:rPr>
              <w:t>Extraordinary General Meeting and,</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b w:val="1"/>
                <w:bCs w:val="1"/>
                <w:color w:val="auto"/>
              </w:rPr>
              <w:t>DATED PROXY BUT NO</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in each case, until his successor is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b w:val="1"/>
                <w:bCs w:val="1"/>
                <w:color w:val="auto"/>
              </w:rPr>
              <w:t>DIRECTION IS MADE, YOUR</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appointed and qualified</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b w:val="1"/>
                <w:bCs w:val="1"/>
                <w:color w:val="auto"/>
              </w:rPr>
              <w:t>ORDINARY SHARES WILL BE</w:t>
            </w:r>
          </w:p>
        </w:tc>
      </w:tr>
      <w:tr>
        <w:trPr>
          <w:trHeight w:val="216"/>
        </w:trPr>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b w:val="1"/>
                <w:bCs w:val="1"/>
                <w:color w:val="auto"/>
                <w:w w:val="97"/>
              </w:rPr>
              <w:t>VOTED FOR THE PROPOSALS</w:t>
            </w:r>
          </w:p>
        </w:tc>
      </w:tr>
      <w:tr>
        <w:trPr>
          <w:trHeight w:val="234"/>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0" w:type="dxa"/>
            <w:vAlign w:val="bottom"/>
          </w:tcPr>
          <w:p>
            <w:pPr>
              <w:ind w:left="200"/>
              <w:spacing w:after="0"/>
              <w:rPr>
                <w:sz w:val="20"/>
                <w:szCs w:val="20"/>
                <w:color w:val="auto"/>
              </w:rPr>
            </w:pPr>
            <w:r>
              <w:rPr>
                <w:rFonts w:ascii="Arial" w:cs="Arial" w:eastAsia="Arial" w:hAnsi="Arial"/>
                <w:sz w:val="18"/>
                <w:szCs w:val="18"/>
                <w:b w:val="1"/>
                <w:bCs w:val="1"/>
                <w:color w:val="auto"/>
              </w:rPr>
              <w:t>SET FORTH ABOVE.</w:t>
            </w:r>
          </w:p>
        </w:tc>
      </w:tr>
      <w:tr>
        <w:trPr>
          <w:trHeight w:val="379"/>
        </w:trPr>
        <w:tc>
          <w:tcPr>
            <w:tcW w:w="2800" w:type="dxa"/>
            <w:vAlign w:val="bottom"/>
            <w:gridSpan w:val="2"/>
          </w:tcPr>
          <w:p>
            <w:pPr>
              <w:ind w:left="480"/>
              <w:spacing w:after="0"/>
              <w:rPr>
                <w:sz w:val="20"/>
                <w:szCs w:val="20"/>
                <w:color w:val="auto"/>
              </w:rPr>
            </w:pPr>
            <w:r>
              <w:rPr>
                <w:rFonts w:ascii="Arial" w:cs="Arial" w:eastAsia="Arial" w:hAnsi="Arial"/>
                <w:sz w:val="14"/>
                <w:szCs w:val="14"/>
                <w:b w:val="1"/>
                <w:bCs w:val="1"/>
                <w:color w:val="auto"/>
              </w:rPr>
              <w:t>Proposal 3 – Adjournment</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FOR</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AGAINST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2800" w:type="dxa"/>
            <w:vAlign w:val="bottom"/>
          </w:tcPr>
          <w:p>
            <w:pPr>
              <w:spacing w:after="0"/>
              <w:rPr>
                <w:sz w:val="24"/>
                <w:szCs w:val="24"/>
                <w:color w:val="auto"/>
              </w:rPr>
            </w:pPr>
          </w:p>
        </w:tc>
      </w:tr>
      <w:tr>
        <w:trPr>
          <w:trHeight w:val="53"/>
        </w:trPr>
        <w:tc>
          <w:tcPr>
            <w:tcW w:w="26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0" w:type="dxa"/>
            <w:vAlign w:val="bottom"/>
          </w:tcPr>
          <w:p>
            <w:pPr>
              <w:spacing w:after="0"/>
              <w:rPr>
                <w:sz w:val="4"/>
                <w:szCs w:val="4"/>
                <w:color w:val="auto"/>
              </w:rPr>
            </w:pPr>
          </w:p>
        </w:tc>
      </w:tr>
      <w:tr>
        <w:trPr>
          <w:trHeight w:val="245"/>
        </w:trPr>
        <w:tc>
          <w:tcPr>
            <w:tcW w:w="2800" w:type="dxa"/>
            <w:vAlign w:val="bottom"/>
            <w:gridSpan w:val="2"/>
          </w:tcPr>
          <w:p>
            <w:pPr>
              <w:spacing w:after="0"/>
              <w:rPr>
                <w:sz w:val="20"/>
                <w:szCs w:val="20"/>
                <w:color w:val="auto"/>
              </w:rPr>
            </w:pPr>
            <w:r>
              <w:rPr>
                <w:rFonts w:ascii="Arial" w:cs="Arial" w:eastAsia="Arial" w:hAnsi="Arial"/>
                <w:sz w:val="18"/>
                <w:szCs w:val="18"/>
                <w:color w:val="auto"/>
              </w:rPr>
              <w:t>Adjourn the Extraordinary General</w:t>
            </w:r>
          </w:p>
        </w:tc>
        <w:tc>
          <w:tcPr>
            <w:tcW w:w="82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2800" w:type="dxa"/>
            <w:vAlign w:val="bottom"/>
          </w:tcPr>
          <w:p>
            <w:pPr>
              <w:ind w:left="200"/>
              <w:spacing w:after="0"/>
              <w:rPr>
                <w:sz w:val="20"/>
                <w:szCs w:val="20"/>
                <w:color w:val="auto"/>
              </w:rPr>
            </w:pPr>
            <w:r>
              <w:rPr>
                <w:rFonts w:ascii="Arial" w:cs="Arial" w:eastAsia="Arial" w:hAnsi="Arial"/>
                <w:sz w:val="18"/>
                <w:szCs w:val="18"/>
                <w:b w:val="1"/>
                <w:bCs w:val="1"/>
                <w:color w:val="auto"/>
              </w:rPr>
              <w:t>VOTED IN THE MANNER</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Meeting to a later date or dates, if</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b w:val="1"/>
                <w:bCs w:val="1"/>
                <w:color w:val="auto"/>
              </w:rPr>
              <w:t>DIRECTED HEREIN BY THE</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necessary, to permit further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b w:val="1"/>
                <w:bCs w:val="1"/>
                <w:color w:val="auto"/>
              </w:rPr>
              <w:t>ABOVE SIGNED</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solicitation and vote of proxies in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b w:val="1"/>
                <w:bCs w:val="1"/>
                <w:color w:val="auto"/>
              </w:rPr>
              <w:t>SHAREHOLDER. IF YOU</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the event that there are insufficient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b w:val="1"/>
                <w:bCs w:val="1"/>
                <w:color w:val="auto"/>
              </w:rPr>
              <w:t>RETURN A SIGNED AND</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votes for, or otherwise in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b w:val="1"/>
                <w:bCs w:val="1"/>
                <w:color w:val="auto"/>
              </w:rPr>
              <w:t>DATED PROXY BUT NO</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connection with, the approval of</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b w:val="1"/>
                <w:bCs w:val="1"/>
                <w:color w:val="auto"/>
              </w:rPr>
              <w:t>DIRECTION IS MADE, YOUR</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Proposal 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b w:val="1"/>
                <w:bCs w:val="1"/>
                <w:color w:val="auto"/>
              </w:rPr>
              <w:t>ORDINARY SHARES WILL BE</w:t>
            </w:r>
          </w:p>
        </w:tc>
      </w:tr>
      <w:tr>
        <w:trPr>
          <w:trHeight w:val="216"/>
        </w:trPr>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b w:val="1"/>
                <w:bCs w:val="1"/>
                <w:color w:val="auto"/>
                <w:w w:val="97"/>
              </w:rPr>
              <w:t>VOTED FOR THE PROPOSALS</w:t>
            </w:r>
          </w:p>
        </w:tc>
      </w:tr>
      <w:tr>
        <w:trPr>
          <w:trHeight w:val="234"/>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0" w:type="dxa"/>
            <w:vAlign w:val="bottom"/>
          </w:tcPr>
          <w:p>
            <w:pPr>
              <w:ind w:left="200"/>
              <w:spacing w:after="0"/>
              <w:rPr>
                <w:sz w:val="20"/>
                <w:szCs w:val="20"/>
                <w:color w:val="auto"/>
              </w:rPr>
            </w:pPr>
            <w:r>
              <w:rPr>
                <w:rFonts w:ascii="Arial" w:cs="Arial" w:eastAsia="Arial" w:hAnsi="Arial"/>
                <w:sz w:val="18"/>
                <w:szCs w:val="18"/>
                <w:b w:val="1"/>
                <w:bCs w:val="1"/>
                <w:color w:val="auto"/>
              </w:rPr>
              <w:t>SET FORTH ABOVE.</w:t>
            </w:r>
          </w:p>
        </w:tc>
      </w:tr>
    </w:tbl>
    <w:p>
      <w:pPr>
        <w:spacing w:after="0" w:line="1" w:lineRule="exact"/>
        <w:rPr>
          <w:sz w:val="20"/>
          <w:szCs w:val="20"/>
          <w:color w:val="auto"/>
        </w:rPr>
      </w:pP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lvl w:ilvl="1">
      <w:lvlJc w:val="left"/>
      <w:lvlText w:val="☐"/>
      <w:numFmt w:val="bullet"/>
      <w:start w:val="1"/>
    </w:lvl>
  </w:abstractNum>
  <w:abstractNum w:abstractNumId="1">
    <w:nsid w:val="8EDBDAB"/>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lowerRoman"/>
      <w:start w:val="1"/>
    </w:lvl>
  </w:abstractNum>
  <w:abstractNum w:abstractNumId="5">
    <w:nsid w:val="189A769B"/>
    <w:multiLevelType w:val="hybridMultilevel"/>
    <w:lvl w:ilvl="0">
      <w:lvlJc w:val="left"/>
      <w:lvlText w:val="%1."/>
      <w:numFmt w:val="upperLetter"/>
      <w:start w:val="1"/>
    </w:lvl>
  </w:abstractNum>
  <w:abstractNum w:abstractNumId="6">
    <w:nsid w:val="54E49EB4"/>
    <w:multiLevelType w:val="hybridMultilevel"/>
    <w:lvl w:ilvl="0">
      <w:lvlJc w:val="left"/>
      <w:lvlText w:val="%1."/>
      <w:numFmt w:val="upperLetter"/>
      <w:start w:val="1"/>
    </w:lvl>
    <w:lvl w:ilvl="1">
      <w:lvlJc w:val="left"/>
      <w:lvlText w:val="•"/>
      <w:numFmt w:val="bullet"/>
      <w:start w:val="1"/>
    </w:lvl>
  </w:abstractNum>
  <w:abstractNum w:abstractNumId="7">
    <w:nsid w:val="71F32454"/>
    <w:multiLevelType w:val="hybridMultilevel"/>
    <w:lvl w:ilvl="0">
      <w:lvlJc w:val="left"/>
      <w:lvlText w:val="%1."/>
      <w:numFmt w:val="upperLetter"/>
      <w:start w:val="1"/>
    </w:lvl>
  </w:abstractNum>
  <w:abstractNum w:abstractNumId="8">
    <w:nsid w:val="2CA88611"/>
    <w:multiLevelType w:val="hybridMultilevel"/>
    <w:lvl w:ilvl="0">
      <w:lvlJc w:val="left"/>
      <w:lvlText w:val="%1"/>
      <w:numFmt w:val="upperLetter"/>
      <w:start w:val="1"/>
    </w:lvl>
    <w:lvl w:ilvl="1">
      <w:lvlJc w:val="left"/>
      <w:lvlText w:val="(%2)"/>
      <w:numFmt w:val="upperLetter"/>
      <w:start w:val="3"/>
    </w:lvl>
  </w:abstractNum>
  <w:abstractNum w:abstractNumId="9">
    <w:nsid w:val="836C40E"/>
    <w:multiLevelType w:val="hybridMultilevel"/>
    <w:lvl w:ilvl="0">
      <w:lvlJc w:val="left"/>
      <w:lvlText w:val="%1."/>
      <w:numFmt w:val="upperLetter"/>
      <w:start w:val="1"/>
    </w:lvl>
    <w:lvl w:ilvl="1">
      <w:lvlJc w:val="left"/>
      <w:lvlText w:val="(%2)"/>
      <w:numFmt w:val="upperLetter"/>
      <w:start w:val="2"/>
    </w:lvl>
  </w:abstractNum>
  <w:abstractNum w:abstractNumId="10">
    <w:nsid w:val="2901D82"/>
    <w:multiLevelType w:val="hybridMultilevel"/>
    <w:lvl w:ilvl="0">
      <w:lvlJc w:val="left"/>
      <w:lvlText w:val="%1."/>
      <w:numFmt w:val="upperLetter"/>
      <w:start w:val="1"/>
    </w:lvl>
  </w:abstractNum>
  <w:abstractNum w:abstractNumId="11">
    <w:nsid w:val="3A95F874"/>
    <w:multiLevelType w:val="hybridMultilevel"/>
    <w:lvl w:ilvl="0">
      <w:lvlJc w:val="left"/>
      <w:lvlText w:val="%1."/>
      <w:numFmt w:val="upperLetter"/>
      <w:start w:val="1"/>
    </w:lvl>
  </w:abstractNum>
  <w:abstractNum w:abstractNumId="12">
    <w:nsid w:val="8138641"/>
    <w:multiLevelType w:val="hybridMultilevel"/>
    <w:lvl w:ilvl="0">
      <w:lvlJc w:val="left"/>
      <w:lvlText w:val="%1."/>
      <w:numFmt w:val="upperLetter"/>
      <w:start w:val="1"/>
    </w:lvl>
  </w:abstractNum>
  <w:abstractNum w:abstractNumId="13">
    <w:nsid w:val="1E7FF521"/>
    <w:multiLevelType w:val="hybridMultilevel"/>
    <w:lvl w:ilvl="0">
      <w:lvlJc w:val="left"/>
      <w:lvlText w:val="%1."/>
      <w:numFmt w:val="upperLetter"/>
      <w:start w:val="1"/>
    </w:lvl>
  </w:abstractNum>
  <w:abstractNum w:abstractNumId="14">
    <w:nsid w:val="7C3DBD3D"/>
    <w:multiLevelType w:val="hybridMultilevel"/>
    <w:lvl w:ilvl="0">
      <w:lvlJc w:val="left"/>
      <w:lvlText w:val="%1."/>
      <w:numFmt w:val="upperLetter"/>
      <w:start w:val="1"/>
    </w:lvl>
  </w:abstractNum>
  <w:abstractNum w:abstractNumId="15">
    <w:nsid w:val="737B8DDC"/>
    <w:multiLevelType w:val="hybridMultilevel"/>
    <w:lvl w:ilvl="0">
      <w:lvlJc w:val="left"/>
      <w:lvlText w:val="%1."/>
      <w:numFmt w:val="upperLetter"/>
      <w:start w:val="1"/>
    </w:lvl>
  </w:abstractNum>
  <w:abstractNum w:abstractNumId="16">
    <w:nsid w:val="6CEAF087"/>
    <w:multiLevelType w:val="hybridMultilevel"/>
    <w:lvl w:ilvl="0">
      <w:lvlJc w:val="left"/>
      <w:lvlText w:val="%1."/>
      <w:numFmt w:val="upperLetter"/>
      <w:start w:val="1"/>
    </w:lvl>
  </w:abstractNum>
  <w:abstractNum w:abstractNumId="17">
    <w:nsid w:val="22221A70"/>
    <w:multiLevelType w:val="hybridMultilevel"/>
    <w:lvl w:ilvl="0">
      <w:lvlJc w:val="left"/>
      <w:lvlText w:val="%1."/>
      <w:numFmt w:val="upperLetter"/>
      <w:start w:val="1"/>
    </w:lvl>
  </w:abstractNum>
  <w:abstractNum w:abstractNumId="18">
    <w:nsid w:val="4516DDE9"/>
    <w:multiLevelType w:val="hybridMultilevel"/>
    <w:lvl w:ilvl="0">
      <w:lvlJc w:val="left"/>
      <w:lvlText w:val="(%1)"/>
      <w:numFmt w:val="lowerRoman"/>
      <w:start w:val="1"/>
    </w:lvl>
  </w:abstractNum>
  <w:abstractNum w:abstractNumId="19">
    <w:nsid w:val="3006C83E"/>
    <w:multiLevelType w:val="hybridMultilevel"/>
    <w:lvl w:ilvl="0">
      <w:lvlJc w:val="left"/>
      <w:lvlText w:val="%1."/>
      <w:numFmt w:val="upperLetter"/>
      <w:start w:val="1"/>
    </w:lvl>
  </w:abstractNum>
  <w:abstractNum w:abstractNumId="20">
    <w:nsid w:val="614FD4A1"/>
    <w:multiLevelType w:val="hybridMultilevel"/>
    <w:lvl w:ilvl="0">
      <w:lvlJc w:val="left"/>
      <w:lvlText w:val="%1."/>
      <w:numFmt w:val="upperLetter"/>
      <w:start w:val="1"/>
    </w:lvl>
  </w:abstractNum>
  <w:abstractNum w:abstractNumId="21">
    <w:nsid w:val="419AC241"/>
    <w:multiLevelType w:val="hybridMultilevel"/>
    <w:lvl w:ilvl="0">
      <w:lvlJc w:val="left"/>
      <w:lvlText w:val="%1."/>
      <w:numFmt w:val="upperLetter"/>
      <w:start w:val="1"/>
    </w:lvl>
  </w:abstractNum>
  <w:abstractNum w:abstractNumId="22">
    <w:nsid w:val="5577F8E1"/>
    <w:multiLevelType w:val="hybridMultilevel"/>
    <w:lvl w:ilvl="0">
      <w:lvlJc w:val="left"/>
      <w:lvlText w:val="%1."/>
      <w:numFmt w:val="upperLetter"/>
      <w:start w:val="1"/>
    </w:lvl>
  </w:abstractNum>
  <w:abstractNum w:abstractNumId="23">
    <w:nsid w:val="440BADFC"/>
    <w:multiLevelType w:val="hybridMultilevel"/>
    <w:lvl w:ilvl="0">
      <w:lvlJc w:val="left"/>
      <w:lvlText w:val="%1."/>
      <w:numFmt w:val="upperLetter"/>
      <w:start w:val="1"/>
    </w:lvl>
  </w:abstractNum>
  <w:abstractNum w:abstractNumId="24">
    <w:nsid w:val="5072367"/>
    <w:multiLevelType w:val="hybridMultilevel"/>
    <w:lvl w:ilvl="0">
      <w:lvlJc w:val="left"/>
      <w:lvlText w:val="%1."/>
      <w:numFmt w:val="upperLetter"/>
      <w:start w:val="1"/>
    </w:lvl>
  </w:abstractNum>
  <w:abstractNum w:abstractNumId="25">
    <w:nsid w:val="3804823E"/>
    <w:multiLevelType w:val="hybridMultilevel"/>
    <w:lvl w:ilvl="0">
      <w:lvlJc w:val="left"/>
      <w:lvlText w:val="%1."/>
      <w:numFmt w:val="upperLetter"/>
      <w:start w:val="1"/>
    </w:lvl>
  </w:abstractNum>
  <w:abstractNum w:abstractNumId="26">
    <w:nsid w:val="77465F01"/>
    <w:multiLevelType w:val="hybridMultilevel"/>
    <w:lvl w:ilvl="0">
      <w:lvlJc w:val="left"/>
      <w:lvlText w:val="%1."/>
      <w:numFmt w:val="upperLetter"/>
      <w:start w:val="1"/>
    </w:lvl>
  </w:abstractNum>
  <w:abstractNum w:abstractNumId="27">
    <w:nsid w:val="7724C67E"/>
    <w:multiLevelType w:val="hybridMultilevel"/>
    <w:lvl w:ilvl="0">
      <w:lvlJc w:val="left"/>
      <w:lvlText w:val="%1."/>
      <w:numFmt w:val="upperLetter"/>
      <w:start w:val="1"/>
    </w:lvl>
  </w:abstractNum>
  <w:abstractNum w:abstractNumId="28">
    <w:nsid w:val="5C482A97"/>
    <w:multiLevelType w:val="hybridMultilevel"/>
    <w:lvl w:ilvl="0">
      <w:lvlJc w:val="left"/>
      <w:lvlText w:val="%1."/>
      <w:numFmt w:val="upperLetter"/>
      <w:start w:val="1"/>
    </w:lvl>
  </w:abstractNum>
  <w:abstractNum w:abstractNumId="29">
    <w:nsid w:val="2463B9EA"/>
    <w:multiLevelType w:val="hybridMultilevel"/>
    <w:lvl w:ilvl="0">
      <w:lvlJc w:val="left"/>
      <w:lvlText w:val="%1."/>
      <w:numFmt w:val="upperLetter"/>
      <w:start w:val="1"/>
    </w:lvl>
  </w:abstractNum>
  <w:abstractNum w:abstractNumId="30">
    <w:nsid w:val="5E884ADC"/>
    <w:multiLevelType w:val="hybridMultilevel"/>
    <w:lvl w:ilvl="0">
      <w:lvlJc w:val="left"/>
      <w:lvlText w:val="%1."/>
      <w:numFmt w:val="upperLetter"/>
      <w:start w:val="1"/>
    </w:lvl>
  </w:abstractNum>
  <w:abstractNum w:abstractNumId="31">
    <w:nsid w:val="51EAD36B"/>
    <w:multiLevelType w:val="hybridMultilevel"/>
    <w:lvl w:ilvl="0">
      <w:lvlJc w:val="left"/>
      <w:lvlText w:val="%1."/>
      <w:numFmt w:val="upperLetter"/>
      <w:start w:val="1"/>
    </w:lvl>
  </w:abstractNum>
  <w:abstractNum w:abstractNumId="32">
    <w:nsid w:val="2D517796"/>
    <w:multiLevelType w:val="hybridMultilevel"/>
    <w:lvl w:ilvl="0">
      <w:lvlJc w:val="left"/>
      <w:lvlText w:val="%1."/>
      <w:numFmt w:val="upperLetter"/>
      <w:start w:val="1"/>
    </w:lvl>
  </w:abstractNum>
  <w:abstractNum w:abstractNumId="33">
    <w:nsid w:val="580BD78F"/>
    <w:multiLevelType w:val="hybridMultilevel"/>
    <w:lvl w:ilvl="0">
      <w:lvlJc w:val="left"/>
      <w:lvlText w:val="%1."/>
      <w:numFmt w:val="upperLetter"/>
      <w:start w:val="1"/>
    </w:lvl>
  </w:abstractNum>
  <w:abstractNum w:abstractNumId="34">
    <w:nsid w:val="153EA438"/>
    <w:multiLevelType w:val="hybridMultilevel"/>
    <w:lvl w:ilvl="0">
      <w:lvlJc w:val="left"/>
      <w:lvlText w:val="%1."/>
      <w:numFmt w:val="upperLetter"/>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lowerRoman"/>
      <w:start w:val="3"/>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7"/>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2020-12-10T16:00:25Z</dcterms:created>
  <dcterms:modified xsi:type="dcterms:W3CDTF">2020-12-10T16:00:25Z</dcterms:modified>
</cp:coreProperties>
</file>