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3"/>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1725295</wp:posOffset>
            </wp:positionH>
            <wp:positionV relativeFrom="page">
              <wp:posOffset>525780</wp:posOffset>
            </wp:positionV>
            <wp:extent cx="41059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05910" cy="8255"/>
                    </a:xfrm>
                    <a:prstGeom prst="rect">
                      <a:avLst/>
                    </a:prstGeom>
                    <a:noFill/>
                  </pic:spPr>
                </pic:pic>
              </a:graphicData>
            </a:graphic>
          </wp:anchor>
        </w:drawing>
        <w:drawing>
          <wp:anchor simplePos="0" relativeHeight="251657728" behindDoc="1" locked="0" layoutInCell="0" allowOverlap="1">
            <wp:simplePos x="0" y="0"/>
            <wp:positionH relativeFrom="page">
              <wp:posOffset>1725295</wp:posOffset>
            </wp:positionH>
            <wp:positionV relativeFrom="page">
              <wp:posOffset>405765</wp:posOffset>
            </wp:positionV>
            <wp:extent cx="410591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05910" cy="34290"/>
                    </a:xfrm>
                    <a:prstGeom prst="rect">
                      <a:avLst/>
                    </a:prstGeom>
                    <a:noFill/>
                  </pic:spPr>
                </pic:pic>
              </a:graphicData>
            </a:graphic>
          </wp:anchor>
        </w:drawing>
        <w:t>UNITED STATES</w:t>
      </w:r>
    </w:p>
    <w:p>
      <w:pPr>
        <w:spacing w:after="0" w:line="47"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8"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91"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47"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Date of Report (Date of earliest event reported): March 13,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248920</wp:posOffset>
            </wp:positionV>
            <wp:extent cx="30943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40"/>
          <w:szCs w:val="40"/>
          <w:b w:val="1"/>
          <w:bCs w:val="1"/>
          <w:color w:val="auto"/>
        </w:rPr>
        <w:t>WM TECHNOLOGY, INC.</w:t>
      </w:r>
    </w:p>
    <w:p>
      <w:pPr>
        <w:spacing w:after="0" w:line="54"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150495</wp:posOffset>
            </wp:positionV>
            <wp:extent cx="30943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2674"/>
        <w:spacing w:after="0"/>
        <w:tabs>
          <w:tab w:leader="none" w:pos="5334" w:val="left"/>
          <w:tab w:leader="none" w:pos="7854"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001-39021</w:t>
      </w:r>
      <w:r>
        <w:rPr>
          <w:sz w:val="20"/>
          <w:szCs w:val="20"/>
          <w:color w:val="auto"/>
        </w:rPr>
        <w:tab/>
      </w:r>
      <w:r>
        <w:rPr>
          <w:rFonts w:ascii="Times New Roman" w:cs="Times New Roman" w:eastAsia="Times New Roman" w:hAnsi="Times New Roman"/>
          <w:sz w:val="18"/>
          <w:szCs w:val="18"/>
          <w:b w:val="1"/>
          <w:bCs w:val="1"/>
          <w:color w:val="auto"/>
        </w:rPr>
        <w:t>98-1605615</w:t>
      </w:r>
    </w:p>
    <w:p>
      <w:pPr>
        <w:spacing w:after="0" w:line="67" w:lineRule="exact"/>
        <w:rPr>
          <w:sz w:val="24"/>
          <w:szCs w:val="24"/>
          <w:color w:val="auto"/>
        </w:rPr>
      </w:pPr>
    </w:p>
    <w:p>
      <w:pPr>
        <w:ind w:left="1954"/>
        <w:spacing w:after="0"/>
        <w:tabs>
          <w:tab w:leader="none" w:pos="4734" w:val="left"/>
          <w:tab w:leader="none" w:pos="7174" w:val="left"/>
        </w:tabs>
        <w:rPr>
          <w:sz w:val="20"/>
          <w:szCs w:val="20"/>
          <w:color w:val="auto"/>
        </w:rPr>
      </w:pPr>
      <w:r>
        <w:rPr>
          <w:rFonts w:ascii="Times New Roman" w:cs="Times New Roman" w:eastAsia="Times New Roman" w:hAnsi="Times New Roman"/>
          <w:sz w:val="18"/>
          <w:szCs w:val="18"/>
          <w:color w:val="auto"/>
        </w:rPr>
        <w:t>(State or Other Jurisdiction of</w:t>
      </w:r>
      <w:r>
        <w:rPr>
          <w:sz w:val="20"/>
          <w:szCs w:val="20"/>
          <w:color w:val="auto"/>
        </w:rPr>
        <w:tab/>
      </w:r>
      <w:r>
        <w:rPr>
          <w:rFonts w:ascii="Times New Roman" w:cs="Times New Roman" w:eastAsia="Times New Roman" w:hAnsi="Times New Roman"/>
          <w:sz w:val="18"/>
          <w:szCs w:val="18"/>
          <w:color w:val="auto"/>
        </w:rPr>
        <w:t>(Commission File Number)</w:t>
      </w:r>
      <w:r>
        <w:rPr>
          <w:sz w:val="20"/>
          <w:szCs w:val="20"/>
          <w:color w:val="auto"/>
        </w:rPr>
        <w:tab/>
      </w:r>
      <w:r>
        <w:rPr>
          <w:rFonts w:ascii="Times New Roman" w:cs="Times New Roman" w:eastAsia="Times New Roman" w:hAnsi="Times New Roman"/>
          <w:sz w:val="17"/>
          <w:szCs w:val="17"/>
          <w:color w:val="auto"/>
        </w:rPr>
        <w:t>(I.R.S. Employer Identification</w:t>
      </w:r>
    </w:p>
    <w:p>
      <w:pPr>
        <w:spacing w:after="0" w:line="27" w:lineRule="exact"/>
        <w:rPr>
          <w:sz w:val="24"/>
          <w:szCs w:val="24"/>
          <w:color w:val="auto"/>
        </w:rPr>
      </w:pPr>
    </w:p>
    <w:p>
      <w:pPr>
        <w:ind w:left="2514"/>
        <w:spacing w:after="0"/>
        <w:tabs>
          <w:tab w:leader="none" w:pos="8134" w:val="left"/>
        </w:tabs>
        <w:rPr>
          <w:sz w:val="20"/>
          <w:szCs w:val="20"/>
          <w:color w:val="auto"/>
        </w:rPr>
      </w:pPr>
      <w:r>
        <w:rPr>
          <w:rFonts w:ascii="Times New Roman" w:cs="Times New Roman" w:eastAsia="Times New Roman" w:hAnsi="Times New Roman"/>
          <w:sz w:val="18"/>
          <w:szCs w:val="18"/>
          <w:color w:val="auto"/>
        </w:rPr>
        <w:t>Incorporation)</w:t>
      </w:r>
      <w:r>
        <w:rPr>
          <w:sz w:val="20"/>
          <w:szCs w:val="20"/>
          <w:color w:val="auto"/>
        </w:rPr>
        <w:tab/>
      </w:r>
      <w:r>
        <w:rPr>
          <w:rFonts w:ascii="Times New Roman" w:cs="Times New Roman" w:eastAsia="Times New Roman" w:hAnsi="Times New Roman"/>
          <w:sz w:val="18"/>
          <w:szCs w:val="18"/>
          <w:color w:val="auto"/>
        </w:rPr>
        <w:t>No.)</w:t>
      </w:r>
    </w:p>
    <w:p>
      <w:pPr>
        <w:spacing w:after="0" w:line="392" w:lineRule="exact"/>
        <w:rPr>
          <w:sz w:val="24"/>
          <w:szCs w:val="24"/>
          <w:color w:val="auto"/>
        </w:rPr>
      </w:pPr>
    </w:p>
    <w:p>
      <w:pPr>
        <w:ind w:left="2234"/>
        <w:spacing w:after="0"/>
        <w:rPr>
          <w:sz w:val="20"/>
          <w:szCs w:val="20"/>
          <w:color w:val="auto"/>
        </w:rPr>
      </w:pPr>
      <w:r>
        <w:rPr>
          <w:rFonts w:ascii="Times New Roman" w:cs="Times New Roman" w:eastAsia="Times New Roman" w:hAnsi="Times New Roman"/>
          <w:sz w:val="18"/>
          <w:szCs w:val="18"/>
          <w:b w:val="1"/>
          <w:bCs w:val="1"/>
          <w:color w:val="auto"/>
        </w:rPr>
        <w:t>41 Discovery</w:t>
      </w:r>
    </w:p>
    <w:p>
      <w:pPr>
        <w:spacing w:after="0" w:line="31" w:lineRule="exact"/>
        <w:rPr>
          <w:sz w:val="24"/>
          <w:szCs w:val="24"/>
          <w:color w:val="auto"/>
        </w:rPr>
      </w:pPr>
    </w:p>
    <w:p>
      <w:pPr>
        <w:ind w:left="2054"/>
        <w:spacing w:after="0"/>
        <w:tabs>
          <w:tab w:leader="none" w:pos="8194" w:val="left"/>
        </w:tabs>
        <w:rPr>
          <w:sz w:val="20"/>
          <w:szCs w:val="20"/>
          <w:color w:val="auto"/>
        </w:rPr>
      </w:pPr>
      <w:r>
        <w:rPr>
          <w:rFonts w:ascii="Times New Roman" w:cs="Times New Roman" w:eastAsia="Times New Roman" w:hAnsi="Times New Roman"/>
          <w:sz w:val="18"/>
          <w:szCs w:val="18"/>
          <w:b w:val="1"/>
          <w:bCs w:val="1"/>
          <w:color w:val="auto"/>
        </w:rPr>
        <w:t>Irvine, California</w:t>
      </w:r>
      <w:r>
        <w:rPr>
          <w:sz w:val="20"/>
          <w:szCs w:val="20"/>
          <w:color w:val="auto"/>
        </w:rPr>
        <w:tab/>
      </w:r>
      <w:r>
        <w:rPr>
          <w:rFonts w:ascii="Times New Roman" w:cs="Times New Roman" w:eastAsia="Times New Roman" w:hAnsi="Times New Roman"/>
          <w:sz w:val="18"/>
          <w:szCs w:val="18"/>
          <w:b w:val="1"/>
          <w:bCs w:val="1"/>
          <w:color w:val="auto"/>
        </w:rPr>
        <w:t>92618</w:t>
      </w:r>
    </w:p>
    <w:p>
      <w:pPr>
        <w:spacing w:after="0" w:line="45" w:lineRule="exact"/>
        <w:rPr>
          <w:sz w:val="24"/>
          <w:szCs w:val="24"/>
          <w:color w:val="auto"/>
        </w:rPr>
      </w:pPr>
    </w:p>
    <w:p>
      <w:pPr>
        <w:ind w:left="1294"/>
        <w:spacing w:after="0"/>
        <w:tabs>
          <w:tab w:leader="none" w:pos="8014" w:val="left"/>
        </w:tabs>
        <w:rPr>
          <w:sz w:val="20"/>
          <w:szCs w:val="20"/>
          <w:color w:val="auto"/>
        </w:rPr>
      </w:pPr>
      <w:r>
        <w:rPr>
          <w:rFonts w:ascii="Times New Roman" w:cs="Times New Roman" w:eastAsia="Times New Roman" w:hAnsi="Times New Roman"/>
          <w:sz w:val="18"/>
          <w:szCs w:val="18"/>
          <w:color w:val="auto"/>
        </w:rPr>
        <w:t>(Address of principal executive offices)</w:t>
      </w:r>
      <w:r>
        <w:rPr>
          <w:sz w:val="20"/>
          <w:szCs w:val="20"/>
          <w:color w:val="auto"/>
        </w:rPr>
        <w:tab/>
      </w:r>
      <w:r>
        <w:rPr>
          <w:rFonts w:ascii="Times New Roman" w:cs="Times New Roman" w:eastAsia="Times New Roman" w:hAnsi="Times New Roman"/>
          <w:sz w:val="18"/>
          <w:szCs w:val="18"/>
          <w:color w:val="auto"/>
        </w:rPr>
        <w:t>(Zip Code)</w:t>
      </w:r>
    </w:p>
    <w:p>
      <w:pPr>
        <w:spacing w:after="0" w:line="235" w:lineRule="exact"/>
        <w:rPr>
          <w:sz w:val="24"/>
          <w:szCs w:val="24"/>
          <w:color w:val="auto"/>
        </w:rPr>
      </w:pPr>
    </w:p>
    <w:p>
      <w:pPr>
        <w:ind w:left="5034"/>
        <w:spacing w:after="0"/>
        <w:rPr>
          <w:sz w:val="20"/>
          <w:szCs w:val="20"/>
          <w:color w:val="auto"/>
        </w:rPr>
      </w:pPr>
      <w:r>
        <w:rPr>
          <w:rFonts w:ascii="Times New Roman" w:cs="Times New Roman" w:eastAsia="Times New Roman" w:hAnsi="Times New Roman"/>
          <w:sz w:val="18"/>
          <w:szCs w:val="18"/>
          <w:b w:val="1"/>
          <w:bCs w:val="1"/>
          <w:color w:val="auto"/>
        </w:rPr>
        <w:t>(844) 933-3627</w:t>
      </w:r>
    </w:p>
    <w:p>
      <w:pPr>
        <w:spacing w:after="0" w:line="31" w:lineRule="exact"/>
        <w:rPr>
          <w:sz w:val="24"/>
          <w:szCs w:val="24"/>
          <w:color w:val="auto"/>
        </w:rPr>
      </w:pPr>
    </w:p>
    <w:p>
      <w:pPr>
        <w:ind w:left="3694"/>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9"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61" w:lineRule="exact"/>
        <w:rPr>
          <w:sz w:val="24"/>
          <w:szCs w:val="24"/>
          <w:color w:val="auto"/>
        </w:rPr>
      </w:pPr>
    </w:p>
    <w:p>
      <w:pPr>
        <w:ind w:left="23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243" w:lineRule="exact"/>
        <w:rPr>
          <w:sz w:val="24"/>
          <w:szCs w:val="24"/>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74" w:lineRule="exact"/>
        <w:rPr>
          <w:sz w:val="24"/>
          <w:szCs w:val="24"/>
          <w:color w:val="auto"/>
        </w:rPr>
      </w:pPr>
    </w:p>
    <w:p>
      <w:pPr>
        <w:ind w:left="23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02" w:lineRule="exact"/>
        <w:rPr>
          <w:sz w:val="24"/>
          <w:szCs w:val="24"/>
          <w:color w:val="auto"/>
        </w:rPr>
      </w:pPr>
    </w:p>
    <w:p>
      <w:pPr>
        <w:ind w:left="1834"/>
        <w:spacing w:after="0"/>
        <w:tabs>
          <w:tab w:leader="none" w:pos="5254" w:val="left"/>
          <w:tab w:leader="none" w:pos="7354"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151130</wp:posOffset>
            </wp:positionH>
            <wp:positionV relativeFrom="paragraph">
              <wp:posOffset>36830</wp:posOffset>
            </wp:positionV>
            <wp:extent cx="6780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80530" cy="8890"/>
                    </a:xfrm>
                    <a:prstGeom prst="rect">
                      <a:avLst/>
                    </a:prstGeom>
                    <a:noFill/>
                  </pic:spPr>
                </pic:pic>
              </a:graphicData>
            </a:graphic>
          </wp:anchor>
        </w:drawing>
      </w:r>
    </w:p>
    <w:p>
      <w:pPr>
        <w:sectPr>
          <w:pgSz w:w="11900" w:h="16838" w:orient="portrait"/>
          <w:cols w:equalWidth="0" w:num="1">
            <w:col w:w="11014"/>
          </w:cols>
          <w:pgMar w:left="346" w:top="1150" w:right="539" w:bottom="1440" w:gutter="0" w:footer="0" w:header="0"/>
        </w:sectPr>
      </w:pPr>
    </w:p>
    <w:p>
      <w:pPr>
        <w:spacing w:after="0" w:line="81" w:lineRule="exact"/>
        <w:rPr>
          <w:sz w:val="24"/>
          <w:szCs w:val="24"/>
          <w:color w:val="auto"/>
        </w:rPr>
      </w:pPr>
    </w:p>
    <w:p>
      <w:pPr>
        <w:ind w:left="254"/>
        <w:spacing w:after="0"/>
        <w:rPr>
          <w:sz w:val="20"/>
          <w:szCs w:val="20"/>
          <w:color w:val="auto"/>
        </w:rPr>
      </w:pPr>
      <w:r>
        <w:rPr>
          <w:rFonts w:ascii="Times New Roman" w:cs="Times New Roman" w:eastAsia="Times New Roman" w:hAnsi="Times New Roman"/>
          <w:sz w:val="18"/>
          <w:szCs w:val="18"/>
          <w:color w:val="auto"/>
        </w:rPr>
        <w:t>Class A Common Stock, $0.0001 par value per share</w:t>
      </w:r>
    </w:p>
    <w:p>
      <w:pPr>
        <w:spacing w:after="0" w:line="63" w:lineRule="exact"/>
        <w:rPr>
          <w:sz w:val="24"/>
          <w:szCs w:val="24"/>
          <w:color w:val="auto"/>
        </w:rPr>
      </w:pPr>
    </w:p>
    <w:p>
      <w:pPr>
        <w:jc w:val="both"/>
        <w:ind w:left="254" w:right="500"/>
        <w:spacing w:after="0" w:line="266" w:lineRule="auto"/>
        <w:rPr>
          <w:sz w:val="20"/>
          <w:szCs w:val="20"/>
          <w:color w:val="auto"/>
        </w:rPr>
      </w:pPr>
      <w:r>
        <w:rPr>
          <w:rFonts w:ascii="Times New Roman" w:cs="Times New Roman" w:eastAsia="Times New Roman" w:hAnsi="Times New Roman"/>
          <w:sz w:val="18"/>
          <w:szCs w:val="18"/>
          <w:color w:val="auto"/>
        </w:rPr>
        <w:t>Warrants, each whole warrant exercisable for one share of Class A Common Stock at an exercise price of $11.50 per share</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ind w:left="80"/>
        <w:spacing w:after="0"/>
        <w:tabs>
          <w:tab w:leader="none" w:pos="1860" w:val="left"/>
        </w:tabs>
        <w:rPr>
          <w:sz w:val="20"/>
          <w:szCs w:val="20"/>
          <w:color w:val="auto"/>
        </w:rPr>
      </w:pPr>
      <w:r>
        <w:rPr>
          <w:rFonts w:ascii="Times New Roman" w:cs="Times New Roman" w:eastAsia="Times New Roman" w:hAnsi="Times New Roman"/>
          <w:sz w:val="17"/>
          <w:szCs w:val="17"/>
          <w:color w:val="auto"/>
        </w:rPr>
        <w:t>MAPS</w:t>
      </w:r>
      <w:r>
        <w:rPr>
          <w:sz w:val="20"/>
          <w:szCs w:val="20"/>
          <w:color w:val="auto"/>
        </w:rPr>
        <w:tab/>
      </w:r>
      <w:r>
        <w:rPr>
          <w:rFonts w:ascii="Times New Roman" w:cs="Times New Roman" w:eastAsia="Times New Roman" w:hAnsi="Times New Roman"/>
          <w:sz w:val="17"/>
          <w:szCs w:val="17"/>
          <w:color w:val="auto"/>
        </w:rPr>
        <w:t>The Nasdaq Global Select Market</w:t>
      </w:r>
    </w:p>
    <w:p>
      <w:pPr>
        <w:spacing w:after="0" w:line="75" w:lineRule="exact"/>
        <w:rPr>
          <w:sz w:val="24"/>
          <w:szCs w:val="24"/>
          <w:color w:val="auto"/>
        </w:rPr>
      </w:pPr>
    </w:p>
    <w:p>
      <w:pPr>
        <w:spacing w:after="0"/>
        <w:tabs>
          <w:tab w:leader="none" w:pos="1860" w:val="left"/>
        </w:tabs>
        <w:rPr>
          <w:sz w:val="20"/>
          <w:szCs w:val="20"/>
          <w:color w:val="auto"/>
        </w:rPr>
      </w:pPr>
      <w:r>
        <w:rPr>
          <w:rFonts w:ascii="Times New Roman" w:cs="Times New Roman" w:eastAsia="Times New Roman" w:hAnsi="Times New Roman"/>
          <w:sz w:val="17"/>
          <w:szCs w:val="17"/>
          <w:color w:val="auto"/>
        </w:rPr>
        <w:t>MAPSW</w:t>
      </w:r>
      <w:r>
        <w:rPr>
          <w:sz w:val="20"/>
          <w:szCs w:val="20"/>
          <w:color w:val="auto"/>
        </w:rPr>
        <w:tab/>
      </w:r>
      <w:r>
        <w:rPr>
          <w:rFonts w:ascii="Times New Roman" w:cs="Times New Roman" w:eastAsia="Times New Roman" w:hAnsi="Times New Roman"/>
          <w:sz w:val="17"/>
          <w:szCs w:val="17"/>
          <w:color w:val="auto"/>
        </w:rPr>
        <w:t>The Nasdaq Global Select Market</w:t>
      </w:r>
    </w:p>
    <w:p>
      <w:pPr>
        <w:spacing w:after="0" w:line="706" w:lineRule="exact"/>
        <w:rPr>
          <w:sz w:val="24"/>
          <w:szCs w:val="24"/>
          <w:color w:val="auto"/>
        </w:rPr>
      </w:pPr>
    </w:p>
    <w:p>
      <w:pPr>
        <w:sectPr>
          <w:pgSz w:w="11900" w:h="16838" w:orient="portrait"/>
          <w:cols w:equalWidth="0" w:num="2">
            <w:col w:w="4934" w:space="720"/>
            <w:col w:w="5360"/>
          </w:cols>
          <w:pgMar w:left="346" w:top="1150" w:right="539" w:bottom="1440" w:gutter="0" w:footer="0" w:header="0"/>
          <w:type w:val="continuous"/>
        </w:sectPr>
      </w:pPr>
    </w:p>
    <w:p>
      <w:pPr>
        <w:spacing w:after="0" w:line="259" w:lineRule="exact"/>
        <w:rPr>
          <w:sz w:val="24"/>
          <w:szCs w:val="24"/>
          <w:color w:val="auto"/>
        </w:rPr>
      </w:pPr>
    </w:p>
    <w:p>
      <w:pPr>
        <w:ind w:left="234"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ind w:left="881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526415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14"/>
          </w:cols>
          <w:pgMar w:left="346" w:top="1150" w:right="539" w:bottom="1440" w:gutter="0" w:footer="0" w:header="0"/>
          <w:type w:val="continuous"/>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313055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580" w:top="472"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440055</wp:posOffset>
            </wp:positionV>
            <wp:extent cx="64636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3665"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646366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63665" cy="34290"/>
                    </a:xfrm>
                    <a:prstGeom prst="rect">
                      <a:avLst/>
                    </a:prstGeom>
                    <a:noFill/>
                  </pic:spPr>
                </pic:pic>
              </a:graphicData>
            </a:graphic>
          </wp:anchor>
        </w:drawing>
        <w:t>Item 2.02 Results of Operations and Financial Conditions</w:t>
      </w:r>
    </w:p>
    <w:p>
      <w:pPr>
        <w:spacing w:after="0" w:line="2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13, 2025, WM Technology, Inc. announced its financial results for the fourth quarter ended December 31, 2024. The full text of the press release issued in connection with the announcement is furnished as Exhibit 99.1 to this Current Report on Form 8-K and is incorporated by reference.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Item 2.02 and in the accompanying Exhibit 99.1 is being furnished and shall not be deemed "filed" for purposes of Section 18 of the Securities Exchange Act of 1934 (the "Exchange Act"), or otherwise subject to the liabilities of that section, nor shall they be deemed incorporated by reference in any filing under the Securities Act of 1933, as amended, or the Exchange Act, regardless of any general incorporation language in such filing, except as expressly set forth by specific reference in such a filing.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14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62407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40780" cy="8890"/>
                    </a:xfrm>
                    <a:prstGeom prst="rect">
                      <a:avLst/>
                    </a:prstGeom>
                    <a:noFill/>
                  </pic:spPr>
                </pic:pic>
              </a:graphicData>
            </a:graphic>
          </wp:anchor>
        </w:drawing>
      </w:r>
    </w:p>
    <w:p>
      <w:pPr>
        <w:spacing w:after="0" w:line="38" w:lineRule="exact"/>
        <w:rPr>
          <w:sz w:val="20"/>
          <w:szCs w:val="20"/>
          <w:color w:val="auto"/>
        </w:rPr>
      </w:pPr>
    </w:p>
    <w:p>
      <w:pPr>
        <w:ind w:left="300"/>
        <w:spacing w:after="0"/>
        <w:tabs>
          <w:tab w:leader="none" w:pos="102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u w:val="single" w:color="auto"/>
          <w:color w:val="0000FF"/>
        </w:rPr>
        <w:t>Press Release dated March 13,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035" w:right="559" w:bottom="1440" w:gutter="0" w:footer="0" w:header="0"/>
        </w:sectPr>
      </w:pPr>
    </w:p>
    <w:bookmarkStart w:id="3" w:name="page4"/>
    <w:bookmarkEnd w:id="3"/>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SIGNATURE</w:t>
      </w:r>
    </w:p>
    <w:p>
      <w:pPr>
        <w:spacing w:after="0" w:line="270" w:lineRule="exact"/>
        <w:rPr>
          <w:sz w:val="20"/>
          <w:szCs w:val="20"/>
          <w:color w:val="auto"/>
        </w:rPr>
      </w:pPr>
    </w:p>
    <w:p>
      <w:pPr>
        <w:ind w:left="2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13, 2025</w:t>
      </w:r>
    </w:p>
    <w:p>
      <w:pPr>
        <w:spacing w:after="0" w:line="200" w:lineRule="exact"/>
        <w:rPr>
          <w:sz w:val="20"/>
          <w:szCs w:val="20"/>
          <w:color w:val="auto"/>
        </w:rPr>
      </w:pPr>
    </w:p>
    <w:p>
      <w:pPr>
        <w:spacing w:after="0" w:line="291"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WM TECHNOLOGY, INC.</w:t>
      </w:r>
    </w:p>
    <w:p>
      <w:pPr>
        <w:spacing w:after="0" w:line="297" w:lineRule="exact"/>
        <w:rPr>
          <w:sz w:val="20"/>
          <w:szCs w:val="20"/>
          <w:color w:val="auto"/>
        </w:rPr>
      </w:pPr>
    </w:p>
    <w:p>
      <w:pPr>
        <w:ind w:left="7440"/>
        <w:spacing w:after="0"/>
        <w:tabs>
          <w:tab w:leader="none" w:pos="8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Susan Echard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5101590</wp:posOffset>
            </wp:positionH>
            <wp:positionV relativeFrom="paragraph">
              <wp:posOffset>34290</wp:posOffset>
            </wp:positionV>
            <wp:extent cx="18859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57"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Susan Echard</w:t>
      </w:r>
    </w:p>
    <w:p>
      <w:pPr>
        <w:spacing w:after="0" w:line="63"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137160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0"/>
          </w:cols>
          <w:pgMar w:left="340" w:top="657" w:right="5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88265</wp:posOffset>
            </wp:positionV>
            <wp:extent cx="2143125" cy="6686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4312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WM Technology, Inc. Reports Fourth Quarter and Full Year 2024 Financial Results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Fourth Quarter 2024 Revenue of $47.7 million and Full Year Revenue of $184.5 million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Ninth Consecutive Quarter of Adjusted EBITDA Profitability and Full Year Net Income Profitability</w:t>
      </w:r>
    </w:p>
    <w:p>
      <w:pPr>
        <w:spacing w:after="0" w:line="200" w:lineRule="exact"/>
        <w:rPr>
          <w:sz w:val="20"/>
          <w:szCs w:val="20"/>
          <w:color w:val="auto"/>
        </w:rPr>
      </w:pPr>
    </w:p>
    <w:p>
      <w:pPr>
        <w:spacing w:after="0" w:line="2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Irvine, Calif. -- March 13, 2025 -- </w:t>
      </w:r>
      <w:r>
        <w:rPr>
          <w:rFonts w:ascii="Times New Roman" w:cs="Times New Roman" w:eastAsia="Times New Roman" w:hAnsi="Times New Roman"/>
          <w:sz w:val="18"/>
          <w:szCs w:val="18"/>
          <w:color w:val="auto"/>
        </w:rPr>
        <w:t>WM Technology, Inc. (“WM Technology” or the “Company”) (Nasdaq: MAPS), a leading marketplace and technology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provider to the cannabis industry, today announced its financial results for the fourth quarter and year ending December 31, 2024.</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proud of our team's efforts and operational focus in delivering another period of strong financial results to close out the year," said Doug Francis, CEO of WM Technology. "Our operational discipline and ability to drive profitability have been key in navigating the unique challenges our industry faces, and we are now well-positioned to invest back in our people and technology. As we build for the future, we will continue to focus on the value of our marketplace and enhance the Weedmaps experience for both consumers and clients as we adapt in this evolving industry."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2024 Financial Highlights</w:t>
      </w:r>
    </w:p>
    <w:p>
      <w:pPr>
        <w:spacing w:after="0" w:line="162" w:lineRule="exact"/>
        <w:rPr>
          <w:sz w:val="20"/>
          <w:szCs w:val="20"/>
          <w:color w:val="auto"/>
        </w:rPr>
      </w:pPr>
    </w:p>
    <w:p>
      <w:pPr>
        <w:ind w:left="660" w:hanging="328"/>
        <w:spacing w:after="0" w:line="234" w:lineRule="auto"/>
        <w:tabs>
          <w:tab w:leader="none" w:pos="655"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Revenue of $47.7 million increased from $46.6 million in the prior quarter and $46.5 million in the prior year period. The increase from the prior year period was driven by increases in our Deal Listing and Display Ad products.</w:t>
      </w:r>
    </w:p>
    <w:p>
      <w:pPr>
        <w:spacing w:after="0" w:line="132" w:lineRule="exact"/>
        <w:rPr>
          <w:rFonts w:ascii="Times New Roman" w:cs="Times New Roman" w:eastAsia="Times New Roman" w:hAnsi="Times New Roman"/>
          <w:sz w:val="22"/>
          <w:szCs w:val="22"/>
          <w:b w:val="1"/>
          <w:bCs w:val="1"/>
          <w:color w:val="auto"/>
        </w:rPr>
      </w:pPr>
    </w:p>
    <w:p>
      <w:pPr>
        <w:ind w:left="1300" w:hanging="320"/>
        <w:spacing w:after="0" w:line="229" w:lineRule="auto"/>
        <w:tabs>
          <w:tab w:leader="none" w:pos="1296"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Average monthly paying clients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of 5,225 increased from 5,100 in the prior quarter and 5,014 in the prior year period. The increase from the prior year period was due to new client acquisitions and client reactivations, partially offset by churn across our mature markets.</w:t>
      </w:r>
    </w:p>
    <w:p>
      <w:pPr>
        <w:spacing w:after="0" w:line="130" w:lineRule="exact"/>
        <w:rPr>
          <w:rFonts w:ascii="Times New Roman" w:cs="Times New Roman" w:eastAsia="Times New Roman" w:hAnsi="Times New Roman"/>
          <w:sz w:val="22"/>
          <w:szCs w:val="22"/>
          <w:color w:val="auto"/>
        </w:rPr>
      </w:pPr>
    </w:p>
    <w:p>
      <w:pPr>
        <w:jc w:val="both"/>
        <w:ind w:left="1300" w:hanging="320"/>
        <w:spacing w:after="0"/>
        <w:tabs>
          <w:tab w:leader="none" w:pos="1296"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Average monthly revenue per paying client</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of $3,041 was consistent with $3,043 in the prior quarter and decreased from $3,089 in the prior year period. The decrease from the prior year period was driven by ongoing constraints on our clients' marketing budgets and their limited capacity for upsells.</w:t>
      </w:r>
    </w:p>
    <w:p>
      <w:pPr>
        <w:spacing w:after="0" w:line="9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decreased to $3.7 million from $5.3 million in the prior quarter and increased from net loss of $11.2 million in the prior year period.</w:t>
      </w:r>
    </w:p>
    <w:p>
      <w:pPr>
        <w:spacing w:after="0" w:line="1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increased to $11.9 million from $11.3 million in the prior quarter and $8.9 million in the prior year period.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2024 Financial Highlights</w:t>
      </w:r>
    </w:p>
    <w:p>
      <w:pPr>
        <w:spacing w:after="0" w:line="162" w:lineRule="exact"/>
        <w:rPr>
          <w:sz w:val="20"/>
          <w:szCs w:val="20"/>
          <w:color w:val="auto"/>
        </w:rPr>
      </w:pPr>
    </w:p>
    <w:p>
      <w:pPr>
        <w:jc w:val="both"/>
        <w:ind w:left="660" w:hanging="328"/>
        <w:spacing w:after="0" w:line="243" w:lineRule="auto"/>
        <w:tabs>
          <w:tab w:leader="none" w:pos="655"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Revenue of $184.5 million decreased from $188.0 million in the prior year. The decrease from the prior year was impacted by our clients continuing to face constrained marketing budgets, the ongoing consolidation of our industry, specifically amongst our client base, and a loss in revenue from products that were sunset in December 2023, partially offset by an increase in revenues from our Weedmaps for Business, driven by favorable pricing changes.</w:t>
      </w:r>
    </w:p>
    <w:p>
      <w:pPr>
        <w:spacing w:after="0" w:line="124" w:lineRule="exact"/>
        <w:rPr>
          <w:rFonts w:ascii="Times New Roman" w:cs="Times New Roman" w:eastAsia="Times New Roman" w:hAnsi="Times New Roman"/>
          <w:sz w:val="22"/>
          <w:szCs w:val="22"/>
          <w:b w:val="1"/>
          <w:bCs w:val="1"/>
          <w:color w:val="auto"/>
        </w:rPr>
      </w:pPr>
    </w:p>
    <w:p>
      <w:pPr>
        <w:jc w:val="both"/>
        <w:ind w:left="1300" w:hanging="320"/>
        <w:spacing w:after="0" w:line="236" w:lineRule="auto"/>
        <w:tabs>
          <w:tab w:leader="none" w:pos="1309"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Average monthly paying clients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of 5,077 decreased from 5,419 in the prior year. The decrease from the prior year was due to the decrease in client count related to the aforementioned sunset products, the removal of paying clients from our platform who have become delinquent, as well as client churn due to continued industry challenges, such as price deflation and ongoing consolidation.</w:t>
      </w:r>
    </w:p>
    <w:p>
      <w:pPr>
        <w:sectPr>
          <w:pgSz w:w="11900" w:h="16838" w:orient="portrait"/>
          <w:cols w:equalWidth="0" w:num="1">
            <w:col w:w="11240"/>
          </w:cols>
          <w:pgMar w:left="320" w:top="1035" w:right="339" w:bottom="1440" w:gutter="0" w:footer="0" w:header="0"/>
        </w:sectPr>
      </w:pPr>
    </w:p>
    <w:bookmarkStart w:id="5" w:name="page6"/>
    <w:bookmarkEnd w:id="5"/>
    <w:p>
      <w:pPr>
        <w:ind w:left="1300" w:hanging="320"/>
        <w:spacing w:after="0" w:line="230" w:lineRule="auto"/>
        <w:tabs>
          <w:tab w:leader="none" w:pos="1296"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Average monthly revenue per paying client</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of $3,029 increased from $2,891 in the prior year. The increase from prior year was due to the aforementioned sunset products, which had lower average monthly spending clients.</w:t>
      </w:r>
    </w:p>
    <w:p>
      <w:pPr>
        <w:spacing w:after="0" w:line="9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increased to $12.2 million from net loss of $15.7 million in the prior year.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increased to $42.9 million from $36.9 million in the prior year.</w:t>
      </w:r>
    </w:p>
    <w:p>
      <w:pPr>
        <w:spacing w:after="0" w:line="59"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shares outstanding across Class A and Class V Common Stock were 153.4 million as of December 31, 2024.</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increased to $52.0 million as of December 31, 2024, as compared to $34.4 million as of December 31,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GAAP to non-GAAP financial measures have been provided in the tables included in this release.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113"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monthly paying clients are defined as the average of the number of paying clients billed in a month across a particular period (and for which services were provided).</w:t>
      </w:r>
    </w:p>
    <w:p>
      <w:pPr>
        <w:spacing w:after="0" w:line="122" w:lineRule="exact"/>
        <w:rPr>
          <w:rFonts w:ascii="Times New Roman" w:cs="Times New Roman" w:eastAsia="Times New Roman" w:hAnsi="Times New Roman"/>
          <w:sz w:val="14"/>
          <w:szCs w:val="14"/>
          <w:color w:val="auto"/>
        </w:rPr>
      </w:pPr>
    </w:p>
    <w:p>
      <w:pPr>
        <w:jc w:val="both"/>
        <w:ind w:left="340" w:hanging="332"/>
        <w:spacing w:after="0" w:line="268" w:lineRule="auto"/>
        <w:tabs>
          <w:tab w:leader="none" w:pos="33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monthly revenues per paying client is defined as the average monthly revenues for any particular period divided by the average monthly paying clients in the same respective period. Average monthly revenues per paying client is calculated in the same manner as our previously-reported “Average monthly net revenue per paying client,” and the description of the metric is being updated solely because we changed the reporting line item from “Net revenue” to “Revenue”. See “Basis of Presentation” and “Revenue Recognition” of Note 2. “Summary of Significant Accounting Policies,” of the Company’s audited consolidated financial statements included in the Company’s Annual Report on Form 10-K for fiscal year December 31, 2024.</w:t>
      </w:r>
    </w:p>
    <w:p>
      <w:pPr>
        <w:spacing w:after="0" w:line="252" w:lineRule="exact"/>
        <w:rPr>
          <w:rFonts w:ascii="Times New Roman" w:cs="Times New Roman" w:eastAsia="Times New Roman" w:hAnsi="Times New Roman"/>
          <w:sz w:val="14"/>
          <w:szCs w:val="14"/>
          <w:color w:val="auto"/>
        </w:rPr>
      </w:pPr>
    </w:p>
    <w:p>
      <w:pPr>
        <w:ind w:left="340" w:hanging="332"/>
        <w:spacing w:after="0" w:line="302" w:lineRule="auto"/>
        <w:tabs>
          <w:tab w:leader="none" w:pos="33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further information about how we calculate EBITDA and Adjusted EBITDA as well as limitations of their use and a reconciliation of EBITDA and Adjusted EBITDA to net income (loss), see “Reconciliation of Net Income (Loss) to EBITDA and Adjusted EBITDA” below.</w:t>
      </w:r>
    </w:p>
    <w:p>
      <w:pPr>
        <w:spacing w:after="0" w:line="200" w:lineRule="exact"/>
        <w:rPr>
          <w:sz w:val="20"/>
          <w:szCs w:val="20"/>
          <w:color w:val="auto"/>
        </w:rPr>
      </w:pP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our financial performance directly reflects our ability to manage costs in line with revenue performance to maintain our profitability," said Susan Echard, CFO of WM Technology. "Through tighter collaboration across our teams and with our clients, we've been able to improve our accounts receivable and collections process, leading to recoveries of past-due accounts and strengthening the quality of our receivables. With a strong cash position and no financial debt, we remain focused on initiatives that provide the greatest impact to the company."</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are very pleased with the progress we made in 2024, the challenges we face as we enter 2025 remain and will require strategic investments to support our long-term growth and health. To that end, we are prioritizing key technology and marketing initiatives to further strengthen our platform. As a result, based on information available as of March 13, 2025, we are issuing guidance for the first quarter of 2025 as follows:</w:t>
      </w:r>
    </w:p>
    <w:p>
      <w:pPr>
        <w:spacing w:after="0" w:line="200" w:lineRule="exact"/>
        <w:rPr>
          <w:sz w:val="20"/>
          <w:szCs w:val="20"/>
          <w:color w:val="auto"/>
        </w:rPr>
      </w:pPr>
    </w:p>
    <w:p>
      <w:pPr>
        <w:spacing w:after="0" w:line="219"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is estimated to be approximately $43 million.</w:t>
      </w:r>
    </w:p>
    <w:p>
      <w:pPr>
        <w:spacing w:after="0" w:line="1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Non-GAAP Adjusted EBITDA is estimated to be approximately $7 million.</w:t>
      </w:r>
    </w:p>
    <w:p>
      <w:pPr>
        <w:spacing w:after="0" w:line="200" w:lineRule="exact"/>
        <w:rPr>
          <w:sz w:val="20"/>
          <w:szCs w:val="20"/>
          <w:color w:val="auto"/>
        </w:rPr>
      </w:pPr>
    </w:p>
    <w:p>
      <w:pPr>
        <w:spacing w:after="0" w:line="2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guidance provided above is only an estimate of what we believe is realizable as of the date of this release. We are not readily able to provide a reconciliation of projected Non-GAAP Adjusted EBITDA to projected net income without unreasonable effort. This guidance assumes that no business acquisitions, investments, restructurings, or legal settlements are concluded in the period. Our results are based on assumptions that we believe to be reasonable as of this date, but may be materially affected by many factors, as discussed below in “Forward-Looking Statements.” Actual results may vary from the guidance and the variations may be material. We undertake no intent or obligation to publicly update or revise any of these projections, whether as a result of new information, future events or otherwise, except as required by law.</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Conference Call and Webcasts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host a conference call and webcast today, Thursday, March 13, 2025, at 2:00 p.m. Pacific Time (5:00 p.m. Eastern Time) at https://edge.media-server.com/mmc/p/y4xujkrd. A webcast replay will also be archived at ir.weedmaps.com.</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used, and intends to continue to use, the investor relations portion of our website as a means of disclosing material non-public information and for complying with disclosure obligations under Regulation FD.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18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WM Technology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Founded in 2008, WM Technology operates Weedmaps, a leading cannabis marketplace for consumers, as well as a broad set of eCommerce and compliance software solutions for cannabis businesses and brands in U.S. state-legal markets. WM Technology holds a strong belief in the power of cannabis and the importance of enabling safe, legal access to consumers worldwide.</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Over the past 16 years, the Weedmaps marketplace has become a premier destination for cannabis consumers to discover and browse cannabis-related products, access daily dispensary deals, order ahead for pick-up and delivery by participating retailers (where applicable) and learn about the plant. The Company also offers eCommerce-enablement tools designed to help cannabis retailers and brands reach consumers, create business efficiency, and manage industry-specific compliance needs.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committed to advocating for full U.S. legalization, industry-wide social equity, and continued education about the plant through key partnerships and cannabis subject matter experts.</w:t>
      </w:r>
    </w:p>
    <w:p>
      <w:pPr>
        <w:spacing w:after="0" w:line="54" w:lineRule="exact"/>
        <w:rPr>
          <w:sz w:val="20"/>
          <w:szCs w:val="20"/>
          <w:color w:val="auto"/>
        </w:rPr>
      </w:pPr>
    </w:p>
    <w:p>
      <w:pPr>
        <w:ind w:right="860"/>
        <w:spacing w:after="0" w:line="375" w:lineRule="auto"/>
        <w:rPr>
          <w:sz w:val="20"/>
          <w:szCs w:val="20"/>
          <w:color w:val="auto"/>
        </w:rPr>
      </w:pPr>
      <w:r>
        <w:rPr>
          <w:rFonts w:ascii="Times New Roman" w:cs="Times New Roman" w:eastAsia="Times New Roman" w:hAnsi="Times New Roman"/>
          <w:sz w:val="18"/>
          <w:szCs w:val="18"/>
          <w:color w:val="auto"/>
        </w:rPr>
        <w:t xml:space="preserve">Headquartered in Irvine, California, WM Technology supports remote and hybrid work for eligible employees. Visit us at www.weedmaps.com. </w:t>
      </w:r>
      <w:r>
        <w:rPr>
          <w:rFonts w:ascii="Times New Roman" w:cs="Times New Roman" w:eastAsia="Times New Roman" w:hAnsi="Times New Roman"/>
          <w:sz w:val="18"/>
          <w:szCs w:val="18"/>
          <w:b w:val="1"/>
          <w:bCs w:val="1"/>
          <w:color w:val="auto"/>
        </w:rPr>
        <w:t>Forward-Looking Statements</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includes “forward-looking statements” regarding the Company’s future business expectations which involve risks and uncertainties. Forward looking statements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include, but are not limited to, statements regarding estimates and forecasts of financial and performance metrics. These statements are based on various assumptions, whether or not identified in this press release, and on the current expectations of the Company’s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the Company. These forward-looking statements are subject to a number of risks and uncertainties, including the Company’s financial and business performance, including key business metrics and any underlying assumptions thereunder; market opportunity and the Company’s ability to acquire new clients and retain existing clients; expectations and timing related to commercial product launches; success of the Company’s go-to-market strategy; the Company’s ability to scale its business and expand its offerings; the Company’s competitive advantages and growth strategies; the Company’s future capital requirements and sources and uses of cash; the Company’s ability to obtain funding for its future operations; the impact of the material weaknesses in the Company’s internal controls and ability to remediate these material weaknesses in the timing the Company anticipates, or at all; the Company’s ability to maintain its listing on the Nasdaq Stock Market LLC; the outcome of any known and unknown litigation and regulatory proceedings; changes in domestic and foreign business, market, financial, political and legal conditions; the effect of macroeconomic conditions, including but not limited to inflation, uncertain credit and global financial markets, recent and potential future disruptions in access to bank deposits or lending commitments due to bank failures and geopolitical events, including the military conflicts between Russia and Ukraine and Israel and Hamas and occurrence of a catastrophic event, including but not limited to severe weather, war, or terrorist attack; future global, regional or local economic and market conditions affecting the cannabis industry; the development, effects and enforcement of and changes to laws and regulations, including with respect to the cannabis industry; the Company’s ability to successfully capitalize on new and existing cannabis markets, including its ability to successfully monetize its solutions in those markets; the Company’s ability to manage future growth; the Company’s ability to effectively anticipate and address changes in the end-user market in the cannabis industry; the Company’s ability to develop new products and solutions, bring them to market in a timely manner, and make enhancements to its platform; the Company’s ability to maintain and grow its two-sided marketplace, including its ability to acquire and retain paying clients; the Company’s ability to continue to collect on outstanding receivables; the Company’s ability to realize the expected benefits of any strategic acquisitions; the effects of competition on the Company’s future business; the Company’s success in retaining or recruiting, or changes required in, officers, key employees or directors; cyber-attacks and security vulnerabilities; the possibility that the Company may be adversely affected by other economic, business or competitive and those factors discussed in the Company’s Annual Report for the fiscal year ended December 31, 2024, on Form 10-K filed with the Securities and Exchange Commission on March 13, 2025. If any of these risks materialize or these assumptions prove incorrect, actual results could differ materially from the results implied by these forward-looking statements. There may be additional risks that the Company does not presently know or that the Company currently believes are immaterial that could also cause actual results to differ from those contained in the forward-looking statements. In addition, forward-looking statements reflect the Company’s expectations, plans or forecasts of future events and views as of the date of this press release. The Company anticipates that subsequent events and developments will cause the Company’s assessments to change. However, while the Company may elect to update these forward-looking statements at some point in the future,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143" w:right="339" w:bottom="1440" w:gutter="0" w:footer="0" w:header="0"/>
        </w:sectPr>
      </w:pPr>
    </w:p>
    <w:bookmarkStart w:id="7" w:name="page8"/>
    <w:bookmarkEnd w:id="7"/>
    <w:p>
      <w:pPr>
        <w:jc w:val="both"/>
        <w:spacing w:after="0" w:line="266" w:lineRule="auto"/>
        <w:rPr>
          <w:sz w:val="20"/>
          <w:szCs w:val="20"/>
          <w:color w:val="auto"/>
        </w:rPr>
      </w:pPr>
      <w:r>
        <w:rPr>
          <w:rFonts w:ascii="Times New Roman" w:cs="Times New Roman" w:eastAsia="Times New Roman" w:hAnsi="Times New Roman"/>
          <w:sz w:val="18"/>
          <w:szCs w:val="18"/>
          <w:color w:val="auto"/>
        </w:rPr>
        <w:t>specifically disclaims any obligation to do so, except as required by law. These forward-looking statements should not be relied upon as representing the Company’s assessments as of any date subsequent to the date of this press release. Accordingly, undue reliance should not be placed upon the forward-looking statements.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financial statements, including net income (loss), are prepared in accordance with principles generally accepted in the United States of America (“GAAP”).</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provide investors with additional information regarding our financial results, we have disclosed EBITDA and Adjusted EBITDA, both of which are non-GAAP financial measures that we calculate as net income (loss) before interest, taxes and depreciation and amortization expense in the case of EBITDA and further adjusted to exclude stock-based compensation, change in fair value of warrant liability, transaction related bonus, legal settlements and other legal costs, discharge of holdback obligation related to prior acquisition, reduction in force, asset impairment charges, change in TRA liability and other non-cash, unusual and/or infrequent costs in the case of Adjusted EBITDA. Below we have provided a reconciliation of net income (loss) (the most directly comparable GAAP financial measure) to EBITDA; and from EBITDA to Adjusted EBITDA.</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present EBITDA and Adjusted EBITDA because these metrics are a key measure used by our management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of EBITDA and Adjusted EBITDA has limitations as an analytical tool, and you should not consider any of these non-GAAP financial measures in isolation or as a substitute for analysis of our results as reported under GAAP. Some of these limitations are as follows:</w:t>
      </w:r>
    </w:p>
    <w:p>
      <w:pPr>
        <w:spacing w:after="0" w:line="54" w:lineRule="exact"/>
        <w:rPr>
          <w:sz w:val="20"/>
          <w:szCs w:val="20"/>
          <w:color w:val="auto"/>
        </w:rPr>
      </w:pPr>
    </w:p>
    <w:p>
      <w:pPr>
        <w:jc w:val="both"/>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may have to be replaced in the future, and EBITDA and Adjusted EBITDA do not reflect cash capital expenditure requirements for such replacements or for new capital expenditure requirements;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changes in, or cash requirements for, our working capital needs;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tax payments that may represent a reduction in cash available to us.</w:t>
      </w:r>
    </w:p>
    <w:p>
      <w:pPr>
        <w:spacing w:after="0" w:line="1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Because of these limitations, you should consider EBITDA and Adjusted EBITDA alongside other financial performance measures, including net income (loss) and our other GAAP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14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tcBorders>
              <w:bottom w:val="single" w:sz="8" w:color="auto"/>
            </w:tcBorders>
          </w:tcPr>
          <w:p>
            <w:pPr>
              <w:spacing w:after="0"/>
              <w:rPr>
                <w:sz w:val="20"/>
                <w:szCs w:val="20"/>
                <w:color w:val="auto"/>
              </w:rPr>
            </w:pPr>
          </w:p>
        </w:tc>
      </w:tr>
      <w:tr>
        <w:trPr>
          <w:trHeight w:val="223"/>
        </w:trPr>
        <w:tc>
          <w:tcPr>
            <w:tcW w:w="72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w:t>
            </w:r>
          </w:p>
        </w:tc>
        <w:tc>
          <w:tcPr>
            <w:tcW w:w="122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51,966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34,350</w:t>
            </w:r>
          </w:p>
        </w:tc>
      </w:tr>
      <w:tr>
        <w:trPr>
          <w:trHeight w:val="230"/>
        </w:trPr>
        <w:tc>
          <w:tcPr>
            <w:tcW w:w="7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11,158</w:t>
            </w:r>
          </w:p>
        </w:tc>
      </w:tr>
      <w:tr>
        <w:trPr>
          <w:trHeight w:val="229"/>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7,486</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w:t>
            </w:r>
          </w:p>
        </w:tc>
      </w:tr>
      <w:tr>
        <w:trPr>
          <w:trHeight w:val="223"/>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69,512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51,486</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24,255</w:t>
            </w: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68,368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68,368</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w:t>
            </w: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15,629</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w:t>
            </w:r>
          </w:p>
        </w:tc>
      </w:tr>
      <w:tr>
        <w:trPr>
          <w:trHeight w:val="223"/>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22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181,866</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167,021</w:t>
            </w: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7"/>
        </w:trPr>
        <w:tc>
          <w:tcPr>
            <w:tcW w:w="72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22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21,182</w:t>
            </w:r>
          </w:p>
        </w:tc>
      </w:tr>
      <w:tr>
        <w:trPr>
          <w:trHeight w:val="229"/>
        </w:trPr>
        <w:tc>
          <w:tcPr>
            <w:tcW w:w="7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5,918</w:t>
            </w:r>
          </w:p>
        </w:tc>
      </w:tr>
      <w:tr>
        <w:trPr>
          <w:trHeight w:val="229"/>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6,493</w:t>
            </w:r>
          </w:p>
        </w:tc>
      </w:tr>
      <w:tr>
        <w:trPr>
          <w:trHeight w:val="230"/>
        </w:trPr>
        <w:tc>
          <w:tcPr>
            <w:tcW w:w="7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Tax receivable agreement liability, current</w:t>
            </w:r>
          </w:p>
        </w:tc>
        <w:tc>
          <w:tcPr>
            <w:tcW w:w="1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23"/>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33,715</w:t>
            </w: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26,601</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26,550</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receivable agreement liability, non-current</w:t>
            </w: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r>
      <w:tr>
        <w:trPr>
          <w:trHeight w:val="223"/>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61,799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63,870</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175"/>
        </w:trPr>
        <w:tc>
          <w:tcPr>
            <w:tcW w:w="724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Preferred Stock - $0.0001 par value; 75,000,000 shares authorized; no shares issued and</w:t>
            </w:r>
          </w:p>
        </w:tc>
        <w:tc>
          <w:tcPr>
            <w:tcW w:w="1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43"/>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outstanding at December 31, 2024 and December 31, 2023</w:t>
            </w:r>
          </w:p>
        </w:tc>
        <w:tc>
          <w:tcPr>
            <w:tcW w:w="122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24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Class A Common Stock - $0.0001 par value; 1,500,000,000 shares authorized; 99,033,110</w:t>
            </w:r>
          </w:p>
        </w:tc>
        <w:tc>
          <w:tcPr>
            <w:tcW w:w="1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184"/>
        </w:trPr>
        <w:tc>
          <w:tcPr>
            <w:tcW w:w="724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shares issued and outstanding at December 31, 2024 and 94,383,053 shares issued and</w:t>
            </w:r>
          </w:p>
        </w:tc>
        <w:tc>
          <w:tcPr>
            <w:tcW w:w="1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234"/>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2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176"/>
        </w:trPr>
        <w:tc>
          <w:tcPr>
            <w:tcW w:w="724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Class V Common Stock - $0.0001 par value; 500,000,000 shares authorized, 54,319,542 shares</w:t>
            </w:r>
          </w:p>
        </w:tc>
        <w:tc>
          <w:tcPr>
            <w:tcW w:w="1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4"/>
        </w:trPr>
        <w:tc>
          <w:tcPr>
            <w:tcW w:w="724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issued and outstanding at December 31, 2024 and 55,486,361 shares issued and outstanding</w:t>
            </w:r>
          </w:p>
        </w:tc>
        <w:tc>
          <w:tcPr>
            <w:tcW w:w="1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4"/>
        </w:trPr>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at December 31, 2023</w:t>
            </w:r>
          </w:p>
        </w:tc>
        <w:tc>
          <w:tcPr>
            <w:tcW w:w="1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92,941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80,884</w:t>
            </w:r>
          </w:p>
        </w:tc>
      </w:tr>
      <w:tr>
        <w:trPr>
          <w:trHeight w:val="229"/>
        </w:trPr>
        <w:tc>
          <w:tcPr>
            <w:tcW w:w="7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1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(56,879)</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(64,518)</w:t>
            </w:r>
          </w:p>
        </w:tc>
      </w:tr>
      <w:tr>
        <w:trPr>
          <w:trHeight w:val="223"/>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WM Technology, Inc. stockholders’ equity</w:t>
            </w: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16,380</w:t>
            </w:r>
          </w:p>
        </w:tc>
      </w:tr>
      <w:tr>
        <w:trPr>
          <w:trHeight w:val="229"/>
        </w:trPr>
        <w:tc>
          <w:tcPr>
            <w:tcW w:w="7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83,990</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86,771</w:t>
            </w:r>
          </w:p>
        </w:tc>
      </w:tr>
      <w:tr>
        <w:trPr>
          <w:trHeight w:val="223"/>
        </w:trPr>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equity</w:t>
            </w:r>
          </w:p>
        </w:tc>
        <w:tc>
          <w:tcPr>
            <w:tcW w:w="1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120,067</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103,151</w:t>
            </w:r>
          </w:p>
        </w:tc>
      </w:tr>
      <w:tr>
        <w:trPr>
          <w:trHeight w:val="223"/>
        </w:trPr>
        <w:tc>
          <w:tcPr>
            <w:tcW w:w="7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22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181,866</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167,021</w:t>
            </w:r>
          </w:p>
        </w:tc>
      </w:tr>
      <w:tr>
        <w:trPr>
          <w:trHeight w:val="20"/>
        </w:trPr>
        <w:tc>
          <w:tcPr>
            <w:tcW w:w="7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143" w:right="339" w:bottom="1440" w:gutter="0" w:footer="0" w:header="0"/>
        </w:sectPr>
      </w:pPr>
    </w:p>
    <w:bookmarkStart w:id="9" w:name="page10"/>
    <w:bookmarkEnd w:id="9"/>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320" w:type="dxa"/>
            <w:vAlign w:val="bottom"/>
          </w:tcPr>
          <w:p>
            <w:pPr>
              <w:spacing w:after="0"/>
              <w:rPr>
                <w:sz w:val="17"/>
                <w:szCs w:val="17"/>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60" w:type="dxa"/>
            <w:vAlign w:val="bottom"/>
            <w:gridSpan w:val="5"/>
            <w:vMerge w:val="continue"/>
          </w:tcPr>
          <w:p>
            <w:pPr>
              <w:spacing w:after="0"/>
              <w:rPr>
                <w:sz w:val="21"/>
                <w:szCs w:val="21"/>
                <w:color w:val="auto"/>
              </w:rPr>
            </w:pPr>
          </w:p>
        </w:tc>
        <w:tc>
          <w:tcPr>
            <w:tcW w:w="320" w:type="dxa"/>
            <w:vAlign w:val="bottom"/>
          </w:tcPr>
          <w:p>
            <w:pPr>
              <w:spacing w:after="0"/>
              <w:rPr>
                <w:sz w:val="21"/>
                <w:szCs w:val="21"/>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1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184,514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187,993</w:t>
            </w:r>
          </w:p>
        </w:tc>
        <w:tc>
          <w:tcPr>
            <w:tcW w:w="0" w:type="dxa"/>
            <w:vAlign w:val="bottom"/>
          </w:tcPr>
          <w:p>
            <w:pPr>
              <w:spacing w:after="0"/>
              <w:rPr>
                <w:sz w:val="1"/>
                <w:szCs w:val="1"/>
                <w:color w:val="auto"/>
              </w:rPr>
            </w:pPr>
          </w:p>
        </w:tc>
      </w:tr>
      <w:tr>
        <w:trPr>
          <w:trHeight w:val="256"/>
        </w:trPr>
        <w:tc>
          <w:tcPr>
            <w:tcW w:w="5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1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Cost of revenues (exclusive of depreciation and amortization shown</w:t>
            </w: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separately below)</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12,527</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40,424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47,073</w:t>
            </w:r>
          </w:p>
        </w:tc>
        <w:tc>
          <w:tcPr>
            <w:tcW w:w="0" w:type="dxa"/>
            <w:vAlign w:val="bottom"/>
          </w:tcPr>
          <w:p>
            <w:pPr>
              <w:spacing w:after="0"/>
              <w:rPr>
                <w:sz w:val="1"/>
                <w:szCs w:val="1"/>
                <w:color w:val="auto"/>
              </w:rPr>
            </w:pPr>
          </w:p>
        </w:tc>
      </w:tr>
      <w:tr>
        <w:trPr>
          <w:trHeight w:val="230"/>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development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36,001</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70,619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74,313</w:t>
            </w:r>
          </w:p>
        </w:tc>
        <w:tc>
          <w:tcPr>
            <w:tcW w:w="0" w:type="dxa"/>
            <w:vAlign w:val="bottom"/>
          </w:tcPr>
          <w:p>
            <w:pPr>
              <w:spacing w:after="0"/>
              <w:rPr>
                <w:sz w:val="1"/>
                <w:szCs w:val="1"/>
                <w:color w:val="auto"/>
              </w:rPr>
            </w:pPr>
          </w:p>
        </w:tc>
      </w:tr>
      <w:tr>
        <w:trPr>
          <w:trHeight w:val="230"/>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12,133</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 impairment charges</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24,403</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43,118</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59,011</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169,766</w:t>
            </w:r>
          </w:p>
        </w:tc>
        <w:tc>
          <w:tcPr>
            <w:tcW w:w="10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206,450</w:t>
            </w: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(18,457)</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(expenses), net</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0" w:type="dxa"/>
            <w:vAlign w:val="bottom"/>
          </w:tcPr>
          <w:p>
            <w:pPr>
              <w:spacing w:after="0"/>
              <w:rPr>
                <w:sz w:val="1"/>
                <w:szCs w:val="1"/>
                <w:color w:val="auto"/>
              </w:rPr>
            </w:pPr>
          </w:p>
        </w:tc>
      </w:tr>
      <w:tr>
        <w:trPr>
          <w:trHeight w:val="229"/>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0" w:type="dxa"/>
            <w:vAlign w:val="bottom"/>
          </w:tcPr>
          <w:p>
            <w:pPr>
              <w:spacing w:after="0"/>
              <w:rPr>
                <w:sz w:val="1"/>
                <w:szCs w:val="1"/>
                <w:color w:val="auto"/>
              </w:rPr>
            </w:pPr>
          </w:p>
        </w:tc>
      </w:tr>
      <w:tr>
        <w:trPr>
          <w:trHeight w:val="223"/>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(15,634)</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3"/>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(15,727)</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(5,829)</w:t>
            </w:r>
          </w:p>
        </w:tc>
        <w:tc>
          <w:tcPr>
            <w:tcW w:w="0" w:type="dxa"/>
            <w:vAlign w:val="bottom"/>
          </w:tcPr>
          <w:p>
            <w:pPr>
              <w:spacing w:after="0"/>
              <w:rPr>
                <w:sz w:val="1"/>
                <w:szCs w:val="1"/>
                <w:color w:val="auto"/>
              </w:rPr>
            </w:pPr>
          </w:p>
        </w:tc>
      </w:tr>
      <w:tr>
        <w:trPr>
          <w:trHeight w:val="223"/>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 (loss) attributable to WM Technology, Inc.</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7,639</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(9,898)</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income (loss)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30"/>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 income (loss)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56"/>
        </w:trPr>
        <w:tc>
          <w:tcPr>
            <w:tcW w:w="5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basic shares outstanding</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97,778,402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94,128,362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96,254,679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93,244,911</w:t>
            </w:r>
          </w:p>
        </w:tc>
        <w:tc>
          <w:tcPr>
            <w:tcW w:w="0" w:type="dxa"/>
            <w:vAlign w:val="bottom"/>
          </w:tcPr>
          <w:p>
            <w:pPr>
              <w:spacing w:after="0"/>
              <w:rPr>
                <w:sz w:val="1"/>
                <w:szCs w:val="1"/>
                <w:color w:val="auto"/>
              </w:rPr>
            </w:pPr>
          </w:p>
        </w:tc>
      </w:tr>
      <w:tr>
        <w:trPr>
          <w:trHeight w:val="234"/>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98,726,850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94,128,362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97,103,304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93,244,911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-4323080</wp:posOffset>
            </wp:positionV>
            <wp:extent cx="596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-4323080</wp:posOffset>
            </wp:positionV>
            <wp:extent cx="603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40" w:right="339" w:bottom="1440" w:gutter="0" w:footer="0" w:header="0"/>
        </w:sectPr>
      </w:pPr>
    </w:p>
    <w:bookmarkStart w:id="10" w:name="page11"/>
    <w:bookmarkEnd w:id="10"/>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20" w:type="dxa"/>
            <w:vAlign w:val="bottom"/>
          </w:tcPr>
          <w:p>
            <w:pPr>
              <w:spacing w:after="0"/>
              <w:rPr>
                <w:sz w:val="20"/>
                <w:szCs w:val="20"/>
                <w:color w:val="auto"/>
              </w:rPr>
            </w:pPr>
          </w:p>
        </w:tc>
        <w:tc>
          <w:tcPr>
            <w:tcW w:w="312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700" w:type="dxa"/>
            <w:vAlign w:val="bottom"/>
            <w:tcBorders>
              <w:bottom w:val="single" w:sz="8" w:color="auto"/>
            </w:tcBorders>
          </w:tcPr>
          <w:p>
            <w:pPr>
              <w:spacing w:after="0"/>
              <w:rPr>
                <w:sz w:val="20"/>
                <w:szCs w:val="20"/>
                <w:color w:val="auto"/>
              </w:rPr>
            </w:pPr>
          </w:p>
        </w:tc>
      </w:tr>
      <w:tr>
        <w:trPr>
          <w:trHeight w:val="223"/>
        </w:trPr>
        <w:tc>
          <w:tcPr>
            <w:tcW w:w="74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700" w:type="dxa"/>
            <w:vAlign w:val="bottom"/>
            <w:tcBorders>
              <w:bottom w:val="single" w:sz="8" w:color="auto"/>
            </w:tcBorders>
          </w:tcPr>
          <w:p>
            <w:pPr>
              <w:spacing w:after="0"/>
              <w:rPr>
                <w:sz w:val="19"/>
                <w:szCs w:val="19"/>
                <w:color w:val="auto"/>
              </w:rPr>
            </w:pPr>
          </w:p>
        </w:tc>
      </w:tr>
      <w:tr>
        <w:trPr>
          <w:trHeight w:val="20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3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12,187</w:t>
            </w:r>
          </w:p>
        </w:tc>
        <w:tc>
          <w:tcPr>
            <w:tcW w:w="100" w:type="dxa"/>
            <w:vAlign w:val="bottom"/>
          </w:tcPr>
          <w:p>
            <w:pPr>
              <w:spacing w:after="0"/>
              <w:rPr>
                <w:sz w:val="19"/>
                <w:szCs w:val="19"/>
                <w:color w:val="auto"/>
              </w:rPr>
            </w:pPr>
          </w:p>
        </w:tc>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(15,727)</w:t>
            </w:r>
          </w:p>
        </w:tc>
      </w:tr>
      <w:tr>
        <w:trPr>
          <w:trHeight w:val="22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provided by operating activities:</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7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13,278</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12,133</w:t>
            </w:r>
          </w:p>
        </w:tc>
      </w:tr>
      <w:tr>
        <w:trPr>
          <w:trHeight w:val="229"/>
        </w:trPr>
        <w:tc>
          <w:tcPr>
            <w:tcW w:w="7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r>
      <w:tr>
        <w:trPr>
          <w:trHeight w:val="229"/>
        </w:trPr>
        <w:tc>
          <w:tcPr>
            <w:tcW w:w="7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r>
      <w:tr>
        <w:trPr>
          <w:trHeight w:val="230"/>
        </w:trPr>
        <w:tc>
          <w:tcPr>
            <w:tcW w:w="7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right-of -use lease assets</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4,930</w:t>
            </w:r>
          </w:p>
        </w:tc>
      </w:tr>
      <w:tr>
        <w:trPr>
          <w:trHeight w:val="229"/>
        </w:trPr>
        <w:tc>
          <w:tcPr>
            <w:tcW w:w="7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 impairment charges</w:t>
            </w:r>
          </w:p>
        </w:tc>
        <w:tc>
          <w:tcPr>
            <w:tcW w:w="1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24,403</w:t>
            </w:r>
          </w:p>
        </w:tc>
      </w:tr>
      <w:tr>
        <w:trPr>
          <w:trHeight w:val="230"/>
        </w:trPr>
        <w:tc>
          <w:tcPr>
            <w:tcW w:w="7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13,515</w:t>
            </w:r>
          </w:p>
        </w:tc>
      </w:tr>
      <w:tr>
        <w:trPr>
          <w:trHeight w:val="229"/>
        </w:trPr>
        <w:tc>
          <w:tcPr>
            <w:tcW w:w="7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Discharge of holdback obligation related to prior acquisition</w:t>
            </w:r>
          </w:p>
        </w:tc>
        <w:tc>
          <w:tcPr>
            <w:tcW w:w="1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w:t>
            </w:r>
          </w:p>
        </w:tc>
      </w:tr>
      <w:tr>
        <w:trPr>
          <w:trHeight w:val="229"/>
        </w:trPr>
        <w:tc>
          <w:tcPr>
            <w:tcW w:w="7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 on lease termination</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r>
      <w:tr>
        <w:trPr>
          <w:trHeight w:val="22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9"/>
        </w:trPr>
        <w:tc>
          <w:tcPr>
            <w:tcW w:w="7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4,488</w:t>
            </w:r>
          </w:p>
        </w:tc>
      </w:tr>
      <w:tr>
        <w:trPr>
          <w:trHeight w:val="230"/>
        </w:trPr>
        <w:tc>
          <w:tcPr>
            <w:tcW w:w="7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w:t>
            </w:r>
          </w:p>
        </w:tc>
      </w:tr>
      <w:tr>
        <w:trPr>
          <w:trHeight w:val="229"/>
        </w:trPr>
        <w:tc>
          <w:tcPr>
            <w:tcW w:w="7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7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(15,275)</w:t>
            </w:r>
          </w:p>
        </w:tc>
      </w:tr>
      <w:tr>
        <w:trPr>
          <w:trHeight w:val="230"/>
        </w:trPr>
        <w:tc>
          <w:tcPr>
            <w:tcW w:w="7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30"/>
        </w:trPr>
        <w:tc>
          <w:tcPr>
            <w:tcW w:w="7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(5,568)</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(6,334)</w:t>
            </w:r>
          </w:p>
        </w:tc>
      </w:tr>
      <w:tr>
        <w:trPr>
          <w:trHeight w:val="223"/>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36,676</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22,928</w:t>
            </w:r>
          </w:p>
        </w:tc>
      </w:tr>
      <w:tr>
        <w:trPr>
          <w:trHeight w:val="236"/>
        </w:trPr>
        <w:tc>
          <w:tcPr>
            <w:tcW w:w="74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3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7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Capitalized software and expenditures</w:t>
            </w:r>
          </w:p>
        </w:tc>
        <w:tc>
          <w:tcPr>
            <w:tcW w:w="1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(11,637)</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(11,871)</w:t>
            </w:r>
          </w:p>
        </w:tc>
      </w:tr>
      <w:tr>
        <w:trPr>
          <w:trHeight w:val="223"/>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(11,637)</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(11,871)</w:t>
            </w:r>
          </w:p>
        </w:tc>
      </w:tr>
      <w:tr>
        <w:trPr>
          <w:trHeight w:val="237"/>
        </w:trPr>
        <w:tc>
          <w:tcPr>
            <w:tcW w:w="74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2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7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Distributions</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w:t>
            </w:r>
          </w:p>
        </w:tc>
      </w:tr>
      <w:tr>
        <w:trPr>
          <w:trHeight w:val="230"/>
        </w:trPr>
        <w:tc>
          <w:tcPr>
            <w:tcW w:w="7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Repayment of insurance premium financing</w:t>
            </w:r>
          </w:p>
        </w:tc>
        <w:tc>
          <w:tcPr>
            <w:tcW w:w="1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r>
      <w:tr>
        <w:trPr>
          <w:trHeight w:val="230"/>
        </w:trPr>
        <w:tc>
          <w:tcPr>
            <w:tcW w:w="7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7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collection of related party note receivable</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30"/>
        </w:trPr>
        <w:tc>
          <w:tcPr>
            <w:tcW w:w="7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 receivable agreement payment</w:t>
            </w:r>
          </w:p>
        </w:tc>
        <w:tc>
          <w:tcPr>
            <w:tcW w:w="1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(7,423)</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(5,290)</w:t>
            </w:r>
          </w:p>
        </w:tc>
      </w:tr>
      <w:tr>
        <w:trPr>
          <w:trHeight w:val="237"/>
        </w:trPr>
        <w:tc>
          <w:tcPr>
            <w:tcW w:w="74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3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17,616</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5,767</w:t>
            </w:r>
          </w:p>
        </w:tc>
      </w:tr>
      <w:tr>
        <w:trPr>
          <w:trHeight w:val="22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 beginning of year</w:t>
            </w:r>
          </w:p>
        </w:tc>
        <w:tc>
          <w:tcPr>
            <w:tcW w:w="1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34,350</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28,583</w:t>
            </w:r>
          </w:p>
        </w:tc>
      </w:tr>
      <w:tr>
        <w:trPr>
          <w:trHeight w:val="223"/>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 end of year</w:t>
            </w:r>
          </w:p>
        </w:tc>
        <w:tc>
          <w:tcPr>
            <w:tcW w:w="116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51,966</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34,350</w:t>
            </w:r>
          </w:p>
        </w:tc>
      </w:tr>
      <w:tr>
        <w:trPr>
          <w:trHeight w:val="21"/>
        </w:trPr>
        <w:tc>
          <w:tcPr>
            <w:tcW w:w="74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-5365750</wp:posOffset>
            </wp:positionV>
            <wp:extent cx="603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4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INCOME (LOSS) TO EBITDA AND ADJUSTED EBITDA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3420" w:type="dxa"/>
            <w:vAlign w:val="bottom"/>
            <w:gridSpan w:val="6"/>
          </w:tcPr>
          <w:p>
            <w:pPr>
              <w:ind w:left="8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20"/>
                <w:szCs w:val="20"/>
                <w:color w:val="auto"/>
              </w:rPr>
            </w:pPr>
          </w:p>
        </w:tc>
        <w:tc>
          <w:tcPr>
            <w:tcW w:w="18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1060" w:type="dxa"/>
            <w:vAlign w:val="bottom"/>
          </w:tcPr>
          <w:p>
            <w:pPr>
              <w:spacing w:after="0"/>
              <w:rPr>
                <w:sz w:val="20"/>
                <w:szCs w:val="20"/>
                <w:color w:val="auto"/>
              </w:rPr>
            </w:pPr>
          </w:p>
        </w:tc>
      </w:tr>
      <w:tr>
        <w:trPr>
          <w:trHeight w:val="241"/>
        </w:trPr>
        <w:tc>
          <w:tcPr>
            <w:tcW w:w="45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60" w:type="dxa"/>
            <w:vAlign w:val="bottom"/>
            <w:tcBorders>
              <w:bottom w:val="single" w:sz="8" w:color="auto"/>
            </w:tcBorders>
          </w:tcPr>
          <w:p>
            <w:pPr>
              <w:spacing w:after="0"/>
              <w:rPr>
                <w:sz w:val="20"/>
                <w:szCs w:val="20"/>
                <w:color w:val="auto"/>
              </w:rPr>
            </w:pPr>
          </w:p>
        </w:tc>
      </w:tr>
      <w:tr>
        <w:trPr>
          <w:trHeight w:val="225"/>
        </w:trPr>
        <w:tc>
          <w:tcPr>
            <w:tcW w:w="45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(15,727)</w:t>
            </w:r>
          </w:p>
        </w:tc>
      </w:tr>
      <w:tr>
        <w:trPr>
          <w:trHeight w:val="229"/>
        </w:trPr>
        <w:tc>
          <w:tcPr>
            <w:tcW w:w="4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30"/>
        </w:trPr>
        <w:tc>
          <w:tcPr>
            <w:tcW w:w="4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12,133</w:t>
            </w:r>
          </w:p>
        </w:tc>
      </w:tr>
      <w:tr>
        <w:trPr>
          <w:trHeight w:val="229"/>
        </w:trPr>
        <w:tc>
          <w:tcPr>
            <w:tcW w:w="45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Interest income, net</w:t>
            </w: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w:t>
            </w:r>
          </w:p>
        </w:tc>
      </w:tr>
      <w:tr>
        <w:trPr>
          <w:trHeight w:val="229"/>
        </w:trPr>
        <w:tc>
          <w:tcPr>
            <w:tcW w:w="4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13,515</w:t>
            </w:r>
          </w:p>
        </w:tc>
      </w:tr>
      <w:tr>
        <w:trPr>
          <w:trHeight w:val="229"/>
        </w:trPr>
        <w:tc>
          <w:tcPr>
            <w:tcW w:w="4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r>
      <w:tr>
        <w:trPr>
          <w:trHeight w:val="230"/>
        </w:trPr>
        <w:tc>
          <w:tcPr>
            <w:tcW w:w="4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 impairment charges</w:t>
            </w:r>
          </w:p>
        </w:tc>
        <w:tc>
          <w:tcPr>
            <w:tcW w:w="10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24,403</w:t>
            </w:r>
          </w:p>
        </w:tc>
      </w:tr>
      <w:tr>
        <w:trPr>
          <w:trHeight w:val="229"/>
        </w:trPr>
        <w:tc>
          <w:tcPr>
            <w:tcW w:w="4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Transaction related bonus expense</w:t>
            </w:r>
          </w:p>
        </w:tc>
        <w:tc>
          <w:tcPr>
            <w:tcW w:w="10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w:t>
            </w:r>
          </w:p>
        </w:tc>
      </w:tr>
      <w:tr>
        <w:trPr>
          <w:trHeight w:val="230"/>
        </w:trPr>
        <w:tc>
          <w:tcPr>
            <w:tcW w:w="452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Legal settlements and other legal costs</w:t>
            </w:r>
            <w:r>
              <w:rPr>
                <w:rFonts w:ascii="Times New Roman" w:cs="Times New Roman" w:eastAsia="Times New Roman" w:hAnsi="Times New Roman"/>
                <w:sz w:val="23"/>
                <w:szCs w:val="23"/>
                <w:color w:val="auto"/>
                <w:vertAlign w:val="superscript"/>
              </w:rPr>
              <w:t>(1)</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w:t>
            </w:r>
          </w:p>
        </w:tc>
      </w:tr>
      <w:tr>
        <w:trPr>
          <w:trHeight w:val="175"/>
        </w:trPr>
        <w:tc>
          <w:tcPr>
            <w:tcW w:w="45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Discharge of holdback obligation related to prior</w:t>
            </w:r>
          </w:p>
        </w:tc>
        <w:tc>
          <w:tcPr>
            <w:tcW w:w="10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43"/>
        </w:trPr>
        <w:tc>
          <w:tcPr>
            <w:tcW w:w="4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acquisition</w:t>
            </w:r>
          </w:p>
        </w:tc>
        <w:tc>
          <w:tcPr>
            <w:tcW w:w="10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w:t>
            </w:r>
          </w:p>
        </w:tc>
      </w:tr>
      <w:tr>
        <w:trPr>
          <w:trHeight w:val="229"/>
        </w:trPr>
        <w:tc>
          <w:tcPr>
            <w:tcW w:w="4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r>
      <w:tr>
        <w:trPr>
          <w:trHeight w:val="229"/>
        </w:trPr>
        <w:tc>
          <w:tcPr>
            <w:tcW w:w="4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Reduction in force expense</w:t>
            </w:r>
          </w:p>
        </w:tc>
        <w:tc>
          <w:tcPr>
            <w:tcW w:w="10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2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02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11,918</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8,879</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42,919</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36,907</w:t>
            </w:r>
          </w:p>
        </w:tc>
      </w:tr>
      <w:tr>
        <w:trPr>
          <w:trHeight w:val="21"/>
        </w:trPr>
        <w:tc>
          <w:tcPr>
            <w:tcW w:w="45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-2219960</wp:posOffset>
            </wp:positionV>
            <wp:extent cx="603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-2219960</wp:posOffset>
            </wp:positionV>
            <wp:extent cx="596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both"/>
        <w:ind w:firstLine="8"/>
        <w:spacing w:after="0" w:line="266" w:lineRule="auto"/>
        <w:tabs>
          <w:tab w:leader="none" w:pos="2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legal and advisory fees related to ongoing litigation related to shareholder derivative actions, the SEC enforcement matter and the SEC settlement for the years ended December 31, 2024 and 2023. See Note 6, “Commitments and Contingencies” to the Company’s audited consolidated financial statements included in the Company’s Annual Report on Form 10-K for fiscal year December 31, 2024.</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investors@weedmaps.com</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Contract: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press@weedmaps.com</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sectPr>
      <w:pgSz w:w="11900" w:h="16838" w:orient="portrait"/>
      <w:cols w:equalWidth="0" w:num="1">
        <w:col w:w="11240"/>
      </w:cols>
      <w:pgMar w:left="320" w:top="10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lvl w:ilvl="1">
      <w:lvlJc w:val="left"/>
      <w:lvlText w:val="◦"/>
      <w:numFmt w:val="bullet"/>
      <w:start w:val="1"/>
    </w:lvl>
  </w:abstractNum>
  <w:abstractNum w:abstractNumId="2">
    <w:nsid w:val="3D1B58BA"/>
    <w:multiLevelType w:val="hybridMultilevel"/>
    <w:lvl w:ilvl="0">
      <w:lvlJc w:val="left"/>
      <w:lvlText w:val="•"/>
      <w:numFmt w:val="bullet"/>
      <w:start w:val="1"/>
    </w:lvl>
    <w:lvl w:ilvl="1">
      <w:lvlJc w:val="left"/>
      <w:lvlText w:val="◦"/>
      <w:numFmt w:val="bullet"/>
      <w:start w:val="1"/>
    </w:lvl>
  </w:abstractNum>
  <w:abstractNum w:abstractNumId="3">
    <w:nsid w:val="507ED7AB"/>
    <w:multiLevelType w:val="hybridMultilevel"/>
    <w:lvl w:ilvl="0">
      <w:lvlJc w:val="left"/>
      <w:lvlText w:val="•"/>
      <w:numFmt w:val="bullet"/>
      <w:start w:val="1"/>
    </w:lvl>
    <w:lvl w:ilvl="1">
      <w:lvlJc w:val="left"/>
      <w:lvlText w:val="◦"/>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2025-03-13T15:34:03Z</dcterms:created>
  <dcterms:modified xsi:type="dcterms:W3CDTF">2025-03-13T15:34:03Z</dcterms:modified>
</cp:coreProperties>
</file>