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8, 2021</w:t>
      </w:r>
    </w:p>
    <w:p>
      <w:pPr>
        <w:spacing w:after="0" w:line="4" w:lineRule="exact"/>
        <w:rPr>
          <w:sz w:val="24"/>
          <w:szCs w:val="24"/>
          <w:color w:val="auto"/>
        </w:rPr>
      </w:pPr>
    </w:p>
    <w:p>
      <w:pPr>
        <w:ind w:left="81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81915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58420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S-1</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REGISTRATION STATEMENT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UNDER</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50165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WM Technology,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64"/>
        </w:trPr>
        <w:tc>
          <w:tcPr>
            <w:tcW w:w="33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1"/>
              </w:rPr>
              <w:t>Delaware</w:t>
            </w:r>
          </w:p>
        </w:tc>
        <w:tc>
          <w:tcPr>
            <w:tcW w:w="3100" w:type="dxa"/>
            <w:vAlign w:val="bottom"/>
          </w:tcPr>
          <w:p>
            <w:pPr>
              <w:jc w:val="center"/>
              <w:spacing w:after="0"/>
              <w:rPr>
                <w:sz w:val="20"/>
                <w:szCs w:val="20"/>
                <w:color w:val="auto"/>
              </w:rPr>
            </w:pPr>
            <w:r>
              <w:rPr>
                <w:rFonts w:ascii="Arial" w:cs="Arial" w:eastAsia="Arial" w:hAnsi="Arial"/>
                <w:sz w:val="13"/>
                <w:szCs w:val="13"/>
                <w:b w:val="1"/>
                <w:bCs w:val="1"/>
                <w:color w:val="auto"/>
                <w:w w:val="89"/>
              </w:rPr>
              <w:t>7374</w:t>
            </w:r>
          </w:p>
        </w:tc>
        <w:tc>
          <w:tcPr>
            <w:tcW w:w="200" w:type="dxa"/>
            <w:vAlign w:val="bottom"/>
          </w:tcPr>
          <w:p>
            <w:pPr>
              <w:spacing w:after="0"/>
              <w:rPr>
                <w:sz w:val="14"/>
                <w:szCs w:val="14"/>
                <w:color w:val="auto"/>
              </w:rPr>
            </w:pPr>
          </w:p>
        </w:tc>
        <w:tc>
          <w:tcPr>
            <w:tcW w:w="3120" w:type="dxa"/>
            <w:vAlign w:val="bottom"/>
          </w:tcPr>
          <w:p>
            <w:pPr>
              <w:jc w:val="right"/>
              <w:ind w:right="1197"/>
              <w:spacing w:after="0"/>
              <w:rPr>
                <w:sz w:val="20"/>
                <w:szCs w:val="20"/>
                <w:color w:val="auto"/>
              </w:rPr>
            </w:pPr>
            <w:r>
              <w:rPr>
                <w:rFonts w:ascii="Arial" w:cs="Arial" w:eastAsia="Arial" w:hAnsi="Arial"/>
                <w:sz w:val="13"/>
                <w:szCs w:val="13"/>
                <w:b w:val="1"/>
                <w:bCs w:val="1"/>
                <w:color w:val="auto"/>
              </w:rPr>
              <w:t>98-1605615</w:t>
            </w:r>
          </w:p>
        </w:tc>
      </w:tr>
      <w:tr>
        <w:trPr>
          <w:trHeight w:val="43"/>
        </w:trPr>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r>
      <w:tr>
        <w:trPr>
          <w:trHeight w:val="168"/>
        </w:trPr>
        <w:tc>
          <w:tcPr>
            <w:tcW w:w="330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(State or Other Jurisdiction of</w:t>
            </w:r>
          </w:p>
        </w:tc>
        <w:tc>
          <w:tcPr>
            <w:tcW w:w="330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(Primary Standard Industrial</w:t>
            </w:r>
          </w:p>
        </w:tc>
        <w:tc>
          <w:tcPr>
            <w:tcW w:w="3120" w:type="dxa"/>
            <w:vAlign w:val="bottom"/>
          </w:tcPr>
          <w:p>
            <w:pPr>
              <w:jc w:val="center"/>
              <w:spacing w:after="0"/>
              <w:rPr>
                <w:sz w:val="20"/>
                <w:szCs w:val="20"/>
                <w:color w:val="auto"/>
              </w:rPr>
            </w:pPr>
            <w:r>
              <w:rPr>
                <w:rFonts w:ascii="Arial" w:cs="Arial" w:eastAsia="Arial" w:hAnsi="Arial"/>
                <w:sz w:val="13"/>
                <w:szCs w:val="13"/>
                <w:color w:val="auto"/>
                <w:w w:val="90"/>
              </w:rPr>
              <w:t>(I.R.S. Employer</w:t>
            </w:r>
          </w:p>
        </w:tc>
      </w:tr>
      <w:tr>
        <w:trPr>
          <w:trHeight w:val="158"/>
        </w:trPr>
        <w:tc>
          <w:tcPr>
            <w:tcW w:w="3300" w:type="dxa"/>
            <w:vAlign w:val="bottom"/>
            <w:gridSpan w:val="2"/>
          </w:tcPr>
          <w:p>
            <w:pPr>
              <w:jc w:val="center"/>
              <w:ind w:right="180"/>
              <w:spacing w:after="0"/>
              <w:rPr>
                <w:sz w:val="20"/>
                <w:szCs w:val="20"/>
                <w:color w:val="auto"/>
              </w:rPr>
            </w:pPr>
            <w:r>
              <w:rPr>
                <w:rFonts w:ascii="Arial" w:cs="Arial" w:eastAsia="Arial" w:hAnsi="Arial"/>
                <w:sz w:val="13"/>
                <w:szCs w:val="13"/>
                <w:color w:val="auto"/>
                <w:w w:val="90"/>
              </w:rPr>
              <w:t>Incorporation or Organization)</w:t>
            </w:r>
          </w:p>
        </w:tc>
        <w:tc>
          <w:tcPr>
            <w:tcW w:w="330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Classification Code No.)</w:t>
            </w:r>
          </w:p>
        </w:tc>
        <w:tc>
          <w:tcPr>
            <w:tcW w:w="3120" w:type="dxa"/>
            <w:vAlign w:val="bottom"/>
          </w:tcPr>
          <w:p>
            <w:pPr>
              <w:ind w:left="1080"/>
              <w:spacing w:after="0"/>
              <w:rPr>
                <w:sz w:val="20"/>
                <w:szCs w:val="20"/>
                <w:color w:val="auto"/>
              </w:rPr>
            </w:pPr>
            <w:r>
              <w:rPr>
                <w:rFonts w:ascii="Arial" w:cs="Arial" w:eastAsia="Arial" w:hAnsi="Arial"/>
                <w:sz w:val="13"/>
                <w:szCs w:val="13"/>
                <w:color w:val="auto"/>
              </w:rPr>
              <w:t>Identification No.)</w:t>
            </w:r>
          </w:p>
        </w:tc>
      </w:tr>
    </w:tbl>
    <w:p>
      <w:pPr>
        <w:ind w:left="4680" w:hanging="160"/>
        <w:spacing w:after="0" w:line="216" w:lineRule="auto"/>
        <w:tabs>
          <w:tab w:leader="none" w:pos="468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Discovery</w:t>
      </w:r>
    </w:p>
    <w:p>
      <w:pPr>
        <w:ind w:left="4220"/>
        <w:spacing w:after="0" w:line="216" w:lineRule="auto"/>
        <w:rPr>
          <w:rFonts w:ascii="Arial" w:cs="Arial" w:eastAsia="Arial" w:hAnsi="Arial"/>
          <w:sz w:val="13"/>
          <w:szCs w:val="13"/>
          <w:b w:val="1"/>
          <w:bCs w:val="1"/>
          <w:color w:val="auto"/>
        </w:rPr>
      </w:pPr>
      <w:r>
        <w:rPr>
          <w:rFonts w:ascii="Arial" w:cs="Arial" w:eastAsia="Arial" w:hAnsi="Arial"/>
          <w:sz w:val="13"/>
          <w:szCs w:val="13"/>
          <w:b w:val="1"/>
          <w:bCs w:val="1"/>
          <w:color w:val="auto"/>
        </w:rPr>
        <w:t>Irvine, California 92618</w:t>
      </w:r>
    </w:p>
    <w:p>
      <w:pPr>
        <w:ind w:left="4360"/>
        <w:spacing w:after="0" w:line="216" w:lineRule="auto"/>
        <w:rPr>
          <w:rFonts w:ascii="Arial" w:cs="Arial" w:eastAsia="Arial" w:hAnsi="Arial"/>
          <w:sz w:val="13"/>
          <w:szCs w:val="13"/>
          <w:b w:val="1"/>
          <w:bCs w:val="1"/>
          <w:color w:val="auto"/>
        </w:rPr>
      </w:pPr>
      <w:r>
        <w:rPr>
          <w:rFonts w:ascii="Arial" w:cs="Arial" w:eastAsia="Arial" w:hAnsi="Arial"/>
          <w:sz w:val="13"/>
          <w:szCs w:val="13"/>
          <w:b w:val="1"/>
          <w:bCs w:val="1"/>
          <w:color w:val="auto"/>
        </w:rPr>
        <w:t>Tel: (844) 933-3627</w:t>
      </w:r>
    </w:p>
    <w:p>
      <w:pPr>
        <w:ind w:left="1800"/>
        <w:spacing w:after="0"/>
        <w:rPr>
          <w:sz w:val="20"/>
          <w:szCs w:val="20"/>
          <w:color w:val="auto"/>
        </w:rPr>
      </w:pPr>
      <w:r>
        <w:rPr>
          <w:rFonts w:ascii="Arial" w:cs="Arial" w:eastAsia="Arial" w:hAnsi="Arial"/>
          <w:sz w:val="13"/>
          <w:szCs w:val="13"/>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27940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59" w:lineRule="exact"/>
        <w:rPr>
          <w:sz w:val="24"/>
          <w:szCs w:val="24"/>
          <w:color w:val="auto"/>
        </w:rPr>
      </w:pPr>
    </w:p>
    <w:p>
      <w:pPr>
        <w:ind w:left="4500"/>
        <w:spacing w:after="0"/>
        <w:rPr>
          <w:sz w:val="20"/>
          <w:szCs w:val="20"/>
          <w:color w:val="auto"/>
        </w:rPr>
      </w:pPr>
      <w:r>
        <w:rPr>
          <w:rFonts w:ascii="Arial" w:cs="Arial" w:eastAsia="Arial" w:hAnsi="Arial"/>
          <w:sz w:val="13"/>
          <w:szCs w:val="13"/>
          <w:b w:val="1"/>
          <w:bCs w:val="1"/>
          <w:color w:val="auto"/>
        </w:rPr>
        <w:t>Brian Camire</w:t>
      </w:r>
    </w:p>
    <w:p>
      <w:pPr>
        <w:jc w:val="center"/>
        <w:spacing w:after="0" w:line="216" w:lineRule="auto"/>
        <w:rPr>
          <w:sz w:val="20"/>
          <w:szCs w:val="20"/>
          <w:color w:val="auto"/>
        </w:rPr>
      </w:pPr>
      <w:r>
        <w:rPr>
          <w:rFonts w:ascii="Arial" w:cs="Arial" w:eastAsia="Arial" w:hAnsi="Arial"/>
          <w:sz w:val="13"/>
          <w:szCs w:val="13"/>
          <w:b w:val="1"/>
          <w:bCs w:val="1"/>
          <w:color w:val="auto"/>
        </w:rPr>
        <w:t>General Counsel</w:t>
      </w:r>
    </w:p>
    <w:p>
      <w:pPr>
        <w:jc w:val="center"/>
        <w:spacing w:after="0" w:line="217" w:lineRule="auto"/>
        <w:rPr>
          <w:sz w:val="20"/>
          <w:szCs w:val="20"/>
          <w:color w:val="auto"/>
        </w:rPr>
      </w:pPr>
      <w:r>
        <w:rPr>
          <w:rFonts w:ascii="Arial" w:cs="Arial" w:eastAsia="Arial" w:hAnsi="Arial"/>
          <w:sz w:val="13"/>
          <w:szCs w:val="13"/>
          <w:b w:val="1"/>
          <w:bCs w:val="1"/>
          <w:color w:val="auto"/>
        </w:rPr>
        <w:t>WM Technology, Inc.</w:t>
      </w:r>
    </w:p>
    <w:p>
      <w:pPr>
        <w:ind w:left="4680" w:hanging="160"/>
        <w:spacing w:after="0" w:line="217" w:lineRule="auto"/>
        <w:tabs>
          <w:tab w:leader="none" w:pos="468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Discovery</w:t>
      </w:r>
    </w:p>
    <w:p>
      <w:pPr>
        <w:ind w:left="4220"/>
        <w:spacing w:after="0" w:line="216" w:lineRule="auto"/>
        <w:rPr>
          <w:rFonts w:ascii="Arial" w:cs="Arial" w:eastAsia="Arial" w:hAnsi="Arial"/>
          <w:sz w:val="13"/>
          <w:szCs w:val="13"/>
          <w:b w:val="1"/>
          <w:bCs w:val="1"/>
          <w:color w:val="auto"/>
        </w:rPr>
      </w:pPr>
      <w:r>
        <w:rPr>
          <w:rFonts w:ascii="Arial" w:cs="Arial" w:eastAsia="Arial" w:hAnsi="Arial"/>
          <w:sz w:val="13"/>
          <w:szCs w:val="13"/>
          <w:b w:val="1"/>
          <w:bCs w:val="1"/>
          <w:color w:val="auto"/>
        </w:rPr>
        <w:t>Irvine, California 92618</w:t>
      </w:r>
    </w:p>
    <w:p>
      <w:pPr>
        <w:ind w:left="4360"/>
        <w:spacing w:after="0" w:line="216" w:lineRule="auto"/>
        <w:rPr>
          <w:rFonts w:ascii="Arial" w:cs="Arial" w:eastAsia="Arial" w:hAnsi="Arial"/>
          <w:sz w:val="13"/>
          <w:szCs w:val="13"/>
          <w:b w:val="1"/>
          <w:bCs w:val="1"/>
          <w:color w:val="auto"/>
        </w:rPr>
      </w:pPr>
      <w:r>
        <w:rPr>
          <w:rFonts w:ascii="Arial" w:cs="Arial" w:eastAsia="Arial" w:hAnsi="Arial"/>
          <w:sz w:val="13"/>
          <w:szCs w:val="13"/>
          <w:b w:val="1"/>
          <w:bCs w:val="1"/>
          <w:color w:val="auto"/>
        </w:rPr>
        <w:t>Tel: (844) 933-3627</w:t>
      </w:r>
    </w:p>
    <w:p>
      <w:pPr>
        <w:jc w:val="center"/>
        <w:spacing w:after="0"/>
        <w:rPr>
          <w:sz w:val="20"/>
          <w:szCs w:val="20"/>
          <w:color w:val="auto"/>
        </w:rPr>
      </w:pPr>
      <w:r>
        <w:rPr>
          <w:rFonts w:ascii="Arial" w:cs="Arial" w:eastAsia="Arial" w:hAnsi="Arial"/>
          <w:sz w:val="13"/>
          <w:szCs w:val="13"/>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27940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Copies to:</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Dave Peinsipp</w:t>
      </w:r>
    </w:p>
    <w:p>
      <w:pPr>
        <w:jc w:val="center"/>
        <w:spacing w:after="0" w:line="216" w:lineRule="auto"/>
        <w:rPr>
          <w:sz w:val="20"/>
          <w:szCs w:val="20"/>
          <w:color w:val="auto"/>
        </w:rPr>
      </w:pPr>
      <w:r>
        <w:rPr>
          <w:rFonts w:ascii="Arial" w:cs="Arial" w:eastAsia="Arial" w:hAnsi="Arial"/>
          <w:sz w:val="13"/>
          <w:szCs w:val="13"/>
          <w:b w:val="1"/>
          <w:bCs w:val="1"/>
          <w:color w:val="auto"/>
        </w:rPr>
        <w:t>Garth Osterman</w:t>
      </w:r>
    </w:p>
    <w:p>
      <w:pPr>
        <w:jc w:val="center"/>
        <w:spacing w:after="0" w:line="217" w:lineRule="auto"/>
        <w:rPr>
          <w:sz w:val="20"/>
          <w:szCs w:val="20"/>
          <w:color w:val="auto"/>
        </w:rPr>
      </w:pPr>
      <w:r>
        <w:rPr>
          <w:rFonts w:ascii="Arial" w:cs="Arial" w:eastAsia="Arial" w:hAnsi="Arial"/>
          <w:sz w:val="13"/>
          <w:szCs w:val="13"/>
          <w:b w:val="1"/>
          <w:bCs w:val="1"/>
          <w:color w:val="auto"/>
        </w:rPr>
        <w:t>Kristin VanderPas</w:t>
      </w:r>
    </w:p>
    <w:p>
      <w:pPr>
        <w:jc w:val="center"/>
        <w:spacing w:after="0" w:line="217" w:lineRule="auto"/>
        <w:rPr>
          <w:sz w:val="20"/>
          <w:szCs w:val="20"/>
          <w:color w:val="auto"/>
        </w:rPr>
      </w:pPr>
      <w:r>
        <w:rPr>
          <w:rFonts w:ascii="Arial" w:cs="Arial" w:eastAsia="Arial" w:hAnsi="Arial"/>
          <w:sz w:val="13"/>
          <w:szCs w:val="13"/>
          <w:b w:val="1"/>
          <w:bCs w:val="1"/>
          <w:color w:val="auto"/>
        </w:rPr>
        <w:t>Peter Byrne</w:t>
      </w:r>
    </w:p>
    <w:p>
      <w:pPr>
        <w:jc w:val="center"/>
        <w:spacing w:after="0" w:line="203" w:lineRule="auto"/>
        <w:rPr>
          <w:sz w:val="20"/>
          <w:szCs w:val="20"/>
          <w:color w:val="auto"/>
        </w:rPr>
      </w:pPr>
      <w:r>
        <w:rPr>
          <w:rFonts w:ascii="Arial" w:cs="Arial" w:eastAsia="Arial" w:hAnsi="Arial"/>
          <w:sz w:val="13"/>
          <w:szCs w:val="13"/>
          <w:b w:val="1"/>
          <w:bCs w:val="1"/>
          <w:color w:val="auto"/>
        </w:rPr>
        <w:t>Cooley LLP</w:t>
      </w:r>
    </w:p>
    <w:p>
      <w:pPr>
        <w:jc w:val="center"/>
        <w:spacing w:after="0" w:line="187" w:lineRule="auto"/>
        <w:rPr>
          <w:sz w:val="20"/>
          <w:szCs w:val="20"/>
          <w:color w:val="auto"/>
        </w:rPr>
      </w:pPr>
      <w:r>
        <w:rPr>
          <w:rFonts w:ascii="Arial" w:cs="Arial" w:eastAsia="Arial" w:hAnsi="Arial"/>
          <w:sz w:val="10"/>
          <w:szCs w:val="10"/>
          <w:b w:val="1"/>
          <w:bCs w:val="1"/>
          <w:color w:val="auto"/>
        </w:rPr>
        <w:t>101 California Street, 5</w:t>
      </w:r>
      <w:r>
        <w:rPr>
          <w:rFonts w:ascii="Arial" w:cs="Arial" w:eastAsia="Arial" w:hAnsi="Arial"/>
          <w:sz w:val="16"/>
          <w:szCs w:val="16"/>
          <w:b w:val="1"/>
          <w:bCs w:val="1"/>
          <w:color w:val="auto"/>
          <w:vertAlign w:val="superscript"/>
        </w:rPr>
        <w:t>th</w:t>
      </w:r>
      <w:r>
        <w:rPr>
          <w:rFonts w:ascii="Arial" w:cs="Arial" w:eastAsia="Arial" w:hAnsi="Arial"/>
          <w:sz w:val="10"/>
          <w:szCs w:val="10"/>
          <w:b w:val="1"/>
          <w:bCs w:val="1"/>
          <w:color w:val="auto"/>
        </w:rPr>
        <w:t xml:space="preserve"> Floor</w:t>
      </w:r>
    </w:p>
    <w:p>
      <w:pPr>
        <w:jc w:val="center"/>
        <w:spacing w:after="0" w:line="217" w:lineRule="auto"/>
        <w:rPr>
          <w:sz w:val="20"/>
          <w:szCs w:val="20"/>
          <w:color w:val="auto"/>
        </w:rPr>
      </w:pPr>
      <w:r>
        <w:rPr>
          <w:rFonts w:ascii="Arial" w:cs="Arial" w:eastAsia="Arial" w:hAnsi="Arial"/>
          <w:sz w:val="13"/>
          <w:szCs w:val="13"/>
          <w:b w:val="1"/>
          <w:bCs w:val="1"/>
          <w:color w:val="auto"/>
        </w:rPr>
        <w:t>San Francisco, California 94111</w:t>
      </w:r>
    </w:p>
    <w:p>
      <w:pPr>
        <w:jc w:val="center"/>
        <w:spacing w:after="0"/>
        <w:rPr>
          <w:sz w:val="20"/>
          <w:szCs w:val="20"/>
          <w:color w:val="auto"/>
        </w:rPr>
      </w:pPr>
      <w:r>
        <w:rPr>
          <w:rFonts w:ascii="Arial" w:cs="Arial" w:eastAsia="Arial" w:hAnsi="Arial"/>
          <w:sz w:val="13"/>
          <w:szCs w:val="13"/>
          <w:b w:val="1"/>
          <w:bCs w:val="1"/>
          <w:color w:val="auto"/>
        </w:rPr>
        <w:t>Tel: (415) 693-2177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27940</wp:posOffset>
            </wp:positionV>
            <wp:extent cx="10972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60" w:lineRule="exact"/>
        <w:rPr>
          <w:sz w:val="24"/>
          <w:szCs w:val="24"/>
          <w:color w:val="auto"/>
        </w:rPr>
      </w:pPr>
    </w:p>
    <w:p>
      <w:pPr>
        <w:ind w:left="360"/>
        <w:spacing w:after="0"/>
        <w:rPr>
          <w:sz w:val="20"/>
          <w:szCs w:val="20"/>
          <w:color w:val="auto"/>
        </w:rPr>
      </w:pPr>
      <w:r>
        <w:rPr>
          <w:rFonts w:ascii="Arial" w:cs="Arial" w:eastAsia="Arial" w:hAnsi="Arial"/>
          <w:sz w:val="13"/>
          <w:szCs w:val="13"/>
          <w:b w:val="1"/>
          <w:bCs w:val="1"/>
          <w:color w:val="auto"/>
        </w:rPr>
        <w:t>Approximate date of commencement of proposed sale to the public: From time to time after the effective date of this registration statement.</w:t>
      </w:r>
    </w:p>
    <w:p>
      <w:pPr>
        <w:spacing w:after="0" w:line="30" w:lineRule="exact"/>
        <w:rPr>
          <w:sz w:val="24"/>
          <w:szCs w:val="24"/>
          <w:color w:val="auto"/>
        </w:rPr>
      </w:pPr>
    </w:p>
    <w:p>
      <w:pPr>
        <w:ind w:firstLine="360"/>
        <w:spacing w:after="0" w:line="161"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3"/>
          <w:szCs w:val="13"/>
          <w:color w:val="auto"/>
        </w:rPr>
        <w:t>☒</w:t>
      </w:r>
    </w:p>
    <w:p>
      <w:pPr>
        <w:ind w:firstLine="360"/>
        <w:spacing w:after="0" w:line="157"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firstLine="360"/>
        <w:spacing w:after="0" w:line="161"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ind w:firstLine="360"/>
        <w:spacing w:after="0" w:line="157"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firstLine="360"/>
        <w:spacing w:after="0" w:line="376"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8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196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tcPr>
          <w:p>
            <w:pPr>
              <w:ind w:left="1180"/>
              <w:spacing w:after="0"/>
              <w:rPr>
                <w:sz w:val="20"/>
                <w:szCs w:val="20"/>
                <w:color w:val="auto"/>
              </w:rPr>
            </w:pPr>
            <w:r>
              <w:rPr>
                <w:rFonts w:ascii="Arial" w:cs="Arial" w:eastAsia="Arial" w:hAnsi="Arial"/>
                <w:sz w:val="13"/>
                <w:szCs w:val="13"/>
                <w:color w:val="auto"/>
              </w:rPr>
              <w:t>Accelerated filer</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1800" w:type="dxa"/>
            <w:vAlign w:val="bottom"/>
          </w:tcPr>
          <w:p>
            <w:pPr>
              <w:spacing w:after="0"/>
              <w:rPr>
                <w:sz w:val="20"/>
                <w:szCs w:val="20"/>
                <w:color w:val="auto"/>
              </w:rPr>
            </w:pPr>
            <w:r>
              <w:rPr>
                <w:rFonts w:ascii="Arial" w:cs="Arial" w:eastAsia="Arial" w:hAnsi="Arial"/>
                <w:sz w:val="13"/>
                <w:szCs w:val="13"/>
                <w:color w:val="auto"/>
              </w:rPr>
              <w:t>Non-accelerated filer</w:t>
            </w:r>
          </w:p>
        </w:tc>
        <w:tc>
          <w:tcPr>
            <w:tcW w:w="1960" w:type="dxa"/>
            <w:vAlign w:val="bottom"/>
          </w:tcPr>
          <w:p>
            <w:pPr>
              <w:ind w:left="680"/>
              <w:spacing w:after="0" w:line="131" w:lineRule="exact"/>
              <w:rPr>
                <w:sz w:val="20"/>
                <w:szCs w:val="20"/>
                <w:color w:val="auto"/>
              </w:rPr>
            </w:pPr>
            <w:r>
              <w:rPr>
                <w:rFonts w:ascii="MS PGothic" w:cs="MS PGothic" w:eastAsia="MS PGothic" w:hAnsi="MS PGothic"/>
                <w:sz w:val="13"/>
                <w:szCs w:val="13"/>
                <w:color w:val="auto"/>
              </w:rPr>
              <w:t>☒</w:t>
            </w:r>
          </w:p>
        </w:tc>
        <w:tc>
          <w:tcPr>
            <w:tcW w:w="3100" w:type="dxa"/>
            <w:vAlign w:val="bottom"/>
          </w:tcPr>
          <w:p>
            <w:pPr>
              <w:ind w:left="1180"/>
              <w:spacing w:after="0"/>
              <w:rPr>
                <w:sz w:val="20"/>
                <w:szCs w:val="20"/>
                <w:color w:val="auto"/>
              </w:rPr>
            </w:pPr>
            <w:r>
              <w:rPr>
                <w:rFonts w:ascii="Arial" w:cs="Arial" w:eastAsia="Arial" w:hAnsi="Arial"/>
                <w:sz w:val="13"/>
                <w:szCs w:val="13"/>
                <w:color w:val="auto"/>
              </w:rPr>
              <w:t>Smaller reporting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0"/>
        </w:trPr>
        <w:tc>
          <w:tcPr>
            <w:tcW w:w="1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100" w:type="dxa"/>
            <w:vAlign w:val="bottom"/>
          </w:tcPr>
          <w:p>
            <w:pPr>
              <w:ind w:left="1180"/>
              <w:spacing w:after="0"/>
              <w:rPr>
                <w:sz w:val="20"/>
                <w:szCs w:val="20"/>
                <w:color w:val="auto"/>
              </w:rPr>
            </w:pPr>
            <w:r>
              <w:rPr>
                <w:rFonts w:ascii="Arial" w:cs="Arial" w:eastAsia="Arial" w:hAnsi="Arial"/>
                <w:sz w:val="13"/>
                <w:szCs w:val="13"/>
                <w:color w:val="auto"/>
              </w:rPr>
              <w:t>Emerging growth company</w:t>
            </w:r>
          </w:p>
        </w:tc>
        <w:tc>
          <w:tcPr>
            <w:tcW w:w="680" w:type="dxa"/>
            <w:vAlign w:val="bottom"/>
          </w:tcPr>
          <w:p>
            <w:pPr>
              <w:ind w:left="560"/>
              <w:spacing w:after="0" w:line="131" w:lineRule="exact"/>
              <w:rPr>
                <w:sz w:val="20"/>
                <w:szCs w:val="20"/>
                <w:color w:val="auto"/>
              </w:rPr>
            </w:pPr>
            <w:r>
              <w:rPr>
                <w:rFonts w:ascii="MS PGothic" w:cs="MS PGothic" w:eastAsia="MS PGothic" w:hAnsi="MS PGothic"/>
                <w:sz w:val="13"/>
                <w:szCs w:val="13"/>
                <w:color w:val="auto"/>
                <w:w w:val="76"/>
              </w:rPr>
              <w:t>☒</w:t>
            </w:r>
          </w:p>
        </w:tc>
      </w:tr>
    </w:tbl>
    <w:p>
      <w:pPr>
        <w:ind w:firstLine="36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61722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8890"/>
                    </a:xfrm>
                    <a:prstGeom prst="rect">
                      <a:avLst/>
                    </a:prstGeom>
                    <a:noFill/>
                  </pic:spPr>
                </pic:pic>
              </a:graphicData>
            </a:graphic>
          </wp:anchor>
        </w:drawing>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Borders>
              <w:top w:val="single" w:sz="8" w:color="auto"/>
            </w:tcBorders>
          </w:tcPr>
          <w:p>
            <w:pPr>
              <w:spacing w:after="0"/>
              <w:rPr>
                <w:sz w:val="20"/>
                <w:szCs w:val="20"/>
                <w:color w:val="auto"/>
              </w:rPr>
            </w:pPr>
          </w:p>
        </w:tc>
        <w:tc>
          <w:tcPr>
            <w:tcW w:w="80" w:type="dxa"/>
            <w:vAlign w:val="bottom"/>
            <w:tcBorders>
              <w:top w:val="single" w:sz="8" w:color="auto"/>
              <w:right w:val="single" w:sz="8" w:color="auto"/>
            </w:tcBorders>
          </w:tcPr>
          <w:p>
            <w:pPr>
              <w:spacing w:after="0"/>
              <w:rPr>
                <w:sz w:val="20"/>
                <w:szCs w:val="20"/>
                <w:color w:val="auto"/>
              </w:rPr>
            </w:pPr>
          </w:p>
        </w:tc>
        <w:tc>
          <w:tcPr>
            <w:tcW w:w="1320" w:type="dxa"/>
            <w:vAlign w:val="bottom"/>
            <w:tcBorders>
              <w:top w:val="single" w:sz="8" w:color="auto"/>
              <w:right w:val="single" w:sz="8" w:color="auto"/>
            </w:tcBorders>
          </w:tcPr>
          <w:p>
            <w:pPr>
              <w:spacing w:after="0"/>
              <w:rPr>
                <w:sz w:val="20"/>
                <w:szCs w:val="20"/>
                <w:color w:val="auto"/>
              </w:rPr>
            </w:pPr>
          </w:p>
        </w:tc>
        <w:tc>
          <w:tcPr>
            <w:tcW w:w="1280" w:type="dxa"/>
            <w:vAlign w:val="bottom"/>
            <w:tcBorders>
              <w:top w:val="single" w:sz="8" w:color="auto"/>
              <w:right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3"/>
              </w:rPr>
              <w:t>Proposed</w:t>
            </w:r>
          </w:p>
        </w:tc>
        <w:tc>
          <w:tcPr>
            <w:tcW w:w="1280" w:type="dxa"/>
            <w:vAlign w:val="bottom"/>
            <w:tcBorders>
              <w:top w:val="single" w:sz="8" w:color="auto"/>
              <w:right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3"/>
              </w:rPr>
              <w:t>Proposed</w:t>
            </w:r>
          </w:p>
        </w:tc>
        <w:tc>
          <w:tcPr>
            <w:tcW w:w="1200" w:type="dxa"/>
            <w:vAlign w:val="bottom"/>
            <w:tcBorders>
              <w:top w:val="single" w:sz="8" w:color="auto"/>
            </w:tcBorders>
          </w:tcPr>
          <w:p>
            <w:pPr>
              <w:spacing w:after="0"/>
              <w:rPr>
                <w:sz w:val="20"/>
                <w:szCs w:val="20"/>
                <w:color w:val="auto"/>
              </w:rPr>
            </w:pPr>
          </w:p>
        </w:tc>
      </w:tr>
      <w:tr>
        <w:trPr>
          <w:trHeight w:val="135"/>
        </w:trPr>
        <w:tc>
          <w:tcPr>
            <w:tcW w:w="45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Maximum</w:t>
            </w:r>
          </w:p>
        </w:tc>
        <w:tc>
          <w:tcPr>
            <w:tcW w:w="1280" w:type="dxa"/>
            <w:vAlign w:val="bottom"/>
            <w:tcBorders>
              <w:right w:val="single" w:sz="8" w:color="auto"/>
            </w:tcBorders>
          </w:tcPr>
          <w:p>
            <w:pPr>
              <w:jc w:val="center"/>
              <w:ind w:right="17"/>
              <w:spacing w:after="0" w:line="135" w:lineRule="exact"/>
              <w:rPr>
                <w:sz w:val="20"/>
                <w:szCs w:val="20"/>
                <w:color w:val="auto"/>
              </w:rPr>
            </w:pPr>
            <w:r>
              <w:rPr>
                <w:rFonts w:ascii="Arial" w:cs="Arial" w:eastAsia="Arial" w:hAnsi="Arial"/>
                <w:sz w:val="13"/>
                <w:szCs w:val="13"/>
                <w:b w:val="1"/>
                <w:bCs w:val="1"/>
                <w:color w:val="auto"/>
                <w:w w:val="93"/>
              </w:rPr>
              <w:t>Maximum</w:t>
            </w:r>
          </w:p>
        </w:tc>
        <w:tc>
          <w:tcPr>
            <w:tcW w:w="1200" w:type="dxa"/>
            <w:vAlign w:val="bottom"/>
          </w:tcPr>
          <w:p>
            <w:pPr>
              <w:spacing w:after="0"/>
              <w:rPr>
                <w:sz w:val="11"/>
                <w:szCs w:val="11"/>
                <w:color w:val="auto"/>
              </w:rPr>
            </w:pPr>
          </w:p>
        </w:tc>
      </w:tr>
      <w:tr>
        <w:trPr>
          <w:trHeight w:val="129"/>
        </w:trPr>
        <w:tc>
          <w:tcPr>
            <w:tcW w:w="45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89"/>
              </w:rPr>
              <w:t>Amount</w:t>
            </w:r>
          </w:p>
        </w:tc>
        <w:tc>
          <w:tcPr>
            <w:tcW w:w="1280" w:type="dxa"/>
            <w:vAlign w:val="bottom"/>
            <w:tcBorders>
              <w:right w:val="single" w:sz="8" w:color="auto"/>
            </w:tcBorders>
          </w:tcPr>
          <w:p>
            <w:pPr>
              <w:jc w:val="center"/>
              <w:ind w:right="37"/>
              <w:spacing w:after="0" w:line="129" w:lineRule="exact"/>
              <w:rPr>
                <w:sz w:val="20"/>
                <w:szCs w:val="20"/>
                <w:color w:val="auto"/>
              </w:rPr>
            </w:pPr>
            <w:r>
              <w:rPr>
                <w:rFonts w:ascii="Arial" w:cs="Arial" w:eastAsia="Arial" w:hAnsi="Arial"/>
                <w:sz w:val="13"/>
                <w:szCs w:val="13"/>
                <w:b w:val="1"/>
                <w:bCs w:val="1"/>
                <w:color w:val="auto"/>
                <w:w w:val="90"/>
              </w:rPr>
              <w:t>Offering</w:t>
            </w:r>
          </w:p>
        </w:tc>
        <w:tc>
          <w:tcPr>
            <w:tcW w:w="1280" w:type="dxa"/>
            <w:vAlign w:val="bottom"/>
            <w:tcBorders>
              <w:right w:val="single" w:sz="8" w:color="auto"/>
            </w:tcBorders>
          </w:tcPr>
          <w:p>
            <w:pPr>
              <w:jc w:val="center"/>
              <w:ind w:right="17"/>
              <w:spacing w:after="0" w:line="129" w:lineRule="exact"/>
              <w:rPr>
                <w:sz w:val="20"/>
                <w:szCs w:val="20"/>
                <w:color w:val="auto"/>
              </w:rPr>
            </w:pPr>
            <w:r>
              <w:rPr>
                <w:rFonts w:ascii="Arial" w:cs="Arial" w:eastAsia="Arial" w:hAnsi="Arial"/>
                <w:sz w:val="13"/>
                <w:szCs w:val="13"/>
                <w:b w:val="1"/>
                <w:bCs w:val="1"/>
                <w:color w:val="auto"/>
                <w:w w:val="87"/>
              </w:rPr>
              <w:t>Aggregate</w:t>
            </w:r>
          </w:p>
        </w:tc>
        <w:tc>
          <w:tcPr>
            <w:tcW w:w="120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86"/>
              </w:rPr>
              <w:t>Amount of</w:t>
            </w:r>
          </w:p>
        </w:tc>
      </w:tr>
      <w:tr>
        <w:trPr>
          <w:trHeight w:val="213"/>
        </w:trPr>
        <w:tc>
          <w:tcPr>
            <w:tcW w:w="4560" w:type="dxa"/>
            <w:vAlign w:val="bottom"/>
            <w:tcBorders>
              <w:bottom w:val="single" w:sz="8" w:color="auto"/>
            </w:tcBorders>
          </w:tcPr>
          <w:p>
            <w:pPr>
              <w:ind w:left="980"/>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80" w:type="dxa"/>
            <w:vAlign w:val="bottom"/>
            <w:tcBorders>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13"/>
                <w:szCs w:val="13"/>
                <w:b w:val="1"/>
                <w:bCs w:val="1"/>
                <w:color w:val="auto"/>
                <w:w w:val="84"/>
              </w:rPr>
              <w:t>to be Registered</w:t>
            </w:r>
            <w:r>
              <w:rPr>
                <w:rFonts w:ascii="Arial" w:cs="Arial" w:eastAsia="Arial" w:hAnsi="Arial"/>
                <w:sz w:val="20"/>
                <w:szCs w:val="20"/>
                <w:b w:val="1"/>
                <w:bCs w:val="1"/>
                <w:color w:val="auto"/>
                <w:w w:val="84"/>
                <w:vertAlign w:val="superscript"/>
              </w:rPr>
              <w:t>(1)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Price Per Share</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Offering Price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w:t>
            </w:r>
          </w:p>
        </w:tc>
      </w:tr>
      <w:tr>
        <w:trPr>
          <w:trHeight w:val="193"/>
        </w:trPr>
        <w:tc>
          <w:tcPr>
            <w:tcW w:w="46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Primary Offering</w:t>
            </w:r>
          </w:p>
        </w:tc>
        <w:tc>
          <w:tcPr>
            <w:tcW w:w="132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00" w:type="dxa"/>
            <w:vAlign w:val="bottom"/>
          </w:tcPr>
          <w:p>
            <w:pPr>
              <w:spacing w:after="0"/>
              <w:rPr>
                <w:sz w:val="16"/>
                <w:szCs w:val="16"/>
                <w:color w:val="auto"/>
              </w:rPr>
            </w:pPr>
          </w:p>
        </w:tc>
      </w:tr>
      <w:tr>
        <w:trPr>
          <w:trHeight w:val="214"/>
        </w:trPr>
        <w:tc>
          <w:tcPr>
            <w:tcW w:w="4640" w:type="dxa"/>
            <w:vAlign w:val="bottom"/>
            <w:tcBorders>
              <w:right w:val="single" w:sz="8" w:color="auto"/>
            </w:tcBorders>
            <w:gridSpan w:val="2"/>
          </w:tcPr>
          <w:p>
            <w:pPr>
              <w:ind w:left="180"/>
              <w:spacing w:after="0"/>
              <w:rPr>
                <w:sz w:val="20"/>
                <w:szCs w:val="20"/>
                <w:color w:val="auto"/>
              </w:rPr>
            </w:pPr>
            <w:r>
              <w:rPr>
                <w:rFonts w:ascii="Arial" w:cs="Arial" w:eastAsia="Arial" w:hAnsi="Arial"/>
                <w:sz w:val="13"/>
                <w:szCs w:val="13"/>
                <w:color w:val="auto"/>
              </w:rPr>
              <w:t>Class A Common Stock, $0.0001 par value per share</w:t>
            </w:r>
          </w:p>
        </w:tc>
        <w:tc>
          <w:tcPr>
            <w:tcW w:w="13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3"/>
                <w:szCs w:val="13"/>
                <w:color w:val="auto"/>
                <w:w w:val="85"/>
              </w:rPr>
              <w:t>110,898,382</w:t>
            </w:r>
            <w:r>
              <w:rPr>
                <w:rFonts w:ascii="Arial" w:cs="Arial" w:eastAsia="Arial" w:hAnsi="Arial"/>
                <w:sz w:val="20"/>
                <w:szCs w:val="20"/>
                <w:color w:val="auto"/>
                <w:w w:val="85"/>
                <w:vertAlign w:val="superscript"/>
              </w:rPr>
              <w:t>(2)</w:t>
            </w:r>
          </w:p>
        </w:tc>
        <w:tc>
          <w:tcPr>
            <w:tcW w:w="128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13"/>
                <w:szCs w:val="13"/>
                <w:color w:val="auto"/>
                <w:w w:val="81"/>
              </w:rPr>
              <w:t>$17.04</w:t>
            </w:r>
            <w:r>
              <w:rPr>
                <w:rFonts w:ascii="Arial" w:cs="Arial" w:eastAsia="Arial" w:hAnsi="Arial"/>
                <w:sz w:val="20"/>
                <w:szCs w:val="20"/>
                <w:color w:val="auto"/>
                <w:w w:val="81"/>
                <w:vertAlign w:val="superscript"/>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$1,889,708,438</w:t>
            </w:r>
          </w:p>
        </w:tc>
        <w:tc>
          <w:tcPr>
            <w:tcW w:w="1200" w:type="dxa"/>
            <w:vAlign w:val="bottom"/>
          </w:tcPr>
          <w:p>
            <w:pPr>
              <w:jc w:val="center"/>
              <w:spacing w:after="0"/>
              <w:rPr>
                <w:sz w:val="20"/>
                <w:szCs w:val="20"/>
                <w:color w:val="auto"/>
              </w:rPr>
            </w:pPr>
            <w:r>
              <w:rPr>
                <w:rFonts w:ascii="Arial" w:cs="Arial" w:eastAsia="Arial" w:hAnsi="Arial"/>
                <w:sz w:val="13"/>
                <w:szCs w:val="13"/>
                <w:color w:val="auto"/>
                <w:w w:val="88"/>
              </w:rPr>
              <w:t>$206,168</w:t>
            </w:r>
          </w:p>
        </w:tc>
      </w:tr>
      <w:tr>
        <w:trPr>
          <w:trHeight w:val="164"/>
        </w:trPr>
        <w:tc>
          <w:tcPr>
            <w:tcW w:w="4640" w:type="dxa"/>
            <w:vAlign w:val="bottom"/>
            <w:tcBorders>
              <w:right w:val="single" w:sz="8" w:color="auto"/>
            </w:tcBorders>
            <w:gridSpan w:val="2"/>
          </w:tcPr>
          <w:p>
            <w:pPr>
              <w:spacing w:after="0"/>
              <w:rPr>
                <w:sz w:val="20"/>
                <w:szCs w:val="20"/>
                <w:color w:val="auto"/>
              </w:rPr>
            </w:pPr>
            <w:r>
              <w:rPr>
                <w:rFonts w:ascii="Arial" w:cs="Arial" w:eastAsia="Arial" w:hAnsi="Arial"/>
                <w:sz w:val="13"/>
                <w:szCs w:val="13"/>
                <w:b w:val="1"/>
                <w:bCs w:val="1"/>
                <w:color w:val="auto"/>
              </w:rPr>
              <w:t>Secondary Offering</w:t>
            </w:r>
          </w:p>
        </w:tc>
        <w:tc>
          <w:tcPr>
            <w:tcW w:w="132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spacing w:after="0"/>
              <w:rPr>
                <w:sz w:val="14"/>
                <w:szCs w:val="14"/>
                <w:color w:val="auto"/>
              </w:rPr>
            </w:pPr>
          </w:p>
        </w:tc>
        <w:tc>
          <w:tcPr>
            <w:tcW w:w="1200" w:type="dxa"/>
            <w:vAlign w:val="bottom"/>
          </w:tcPr>
          <w:p>
            <w:pPr>
              <w:spacing w:after="0"/>
              <w:rPr>
                <w:sz w:val="14"/>
                <w:szCs w:val="14"/>
                <w:color w:val="auto"/>
              </w:rPr>
            </w:pPr>
          </w:p>
        </w:tc>
      </w:tr>
      <w:tr>
        <w:trPr>
          <w:trHeight w:val="212"/>
        </w:trPr>
        <w:tc>
          <w:tcPr>
            <w:tcW w:w="4640" w:type="dxa"/>
            <w:vAlign w:val="bottom"/>
            <w:tcBorders>
              <w:right w:val="single" w:sz="8" w:color="auto"/>
            </w:tcBorders>
            <w:gridSpan w:val="2"/>
          </w:tcPr>
          <w:p>
            <w:pPr>
              <w:ind w:left="180"/>
              <w:spacing w:after="0"/>
              <w:rPr>
                <w:sz w:val="20"/>
                <w:szCs w:val="20"/>
                <w:color w:val="auto"/>
              </w:rPr>
            </w:pPr>
            <w:r>
              <w:rPr>
                <w:rFonts w:ascii="Arial" w:cs="Arial" w:eastAsia="Arial" w:hAnsi="Arial"/>
                <w:sz w:val="13"/>
                <w:szCs w:val="13"/>
                <w:color w:val="auto"/>
              </w:rPr>
              <w:t>Class A Common Stock, $0.0001 par value per share</w:t>
            </w:r>
          </w:p>
        </w:tc>
        <w:tc>
          <w:tcPr>
            <w:tcW w:w="1320" w:type="dxa"/>
            <w:vAlign w:val="bottom"/>
            <w:tcBorders>
              <w:right w:val="single" w:sz="8" w:color="auto"/>
            </w:tcBorders>
          </w:tcPr>
          <w:p>
            <w:pPr>
              <w:jc w:val="center"/>
              <w:spacing w:after="0" w:line="211" w:lineRule="exact"/>
              <w:rPr>
                <w:sz w:val="20"/>
                <w:szCs w:val="20"/>
                <w:color w:val="auto"/>
              </w:rPr>
            </w:pPr>
            <w:r>
              <w:rPr>
                <w:rFonts w:ascii="Arial" w:cs="Arial" w:eastAsia="Arial" w:hAnsi="Arial"/>
                <w:sz w:val="13"/>
                <w:szCs w:val="13"/>
                <w:color w:val="auto"/>
                <w:w w:val="85"/>
              </w:rPr>
              <w:t>105,014,011</w:t>
            </w:r>
            <w:r>
              <w:rPr>
                <w:rFonts w:ascii="Arial" w:cs="Arial" w:eastAsia="Arial" w:hAnsi="Arial"/>
                <w:sz w:val="20"/>
                <w:szCs w:val="20"/>
                <w:color w:val="auto"/>
                <w:w w:val="85"/>
                <w:vertAlign w:val="superscript"/>
              </w:rPr>
              <w:t>(4)</w:t>
            </w:r>
          </w:p>
        </w:tc>
        <w:tc>
          <w:tcPr>
            <w:tcW w:w="1280" w:type="dxa"/>
            <w:vAlign w:val="bottom"/>
            <w:tcBorders>
              <w:right w:val="single" w:sz="8" w:color="auto"/>
            </w:tcBorders>
          </w:tcPr>
          <w:p>
            <w:pPr>
              <w:jc w:val="center"/>
              <w:spacing w:after="0" w:line="211" w:lineRule="exact"/>
              <w:rPr>
                <w:sz w:val="20"/>
                <w:szCs w:val="20"/>
                <w:color w:val="auto"/>
              </w:rPr>
            </w:pPr>
            <w:r>
              <w:rPr>
                <w:rFonts w:ascii="Arial" w:cs="Arial" w:eastAsia="Arial" w:hAnsi="Arial"/>
                <w:sz w:val="13"/>
                <w:szCs w:val="13"/>
                <w:color w:val="auto"/>
                <w:w w:val="81"/>
              </w:rPr>
              <w:t>$17.04</w:t>
            </w:r>
            <w:r>
              <w:rPr>
                <w:rFonts w:ascii="Arial" w:cs="Arial" w:eastAsia="Arial" w:hAnsi="Arial"/>
                <w:sz w:val="20"/>
                <w:szCs w:val="20"/>
                <w:color w:val="auto"/>
                <w:w w:val="81"/>
                <w:vertAlign w:val="superscript"/>
              </w:rPr>
              <w:t>(3)</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$1,793,135,086</w:t>
            </w:r>
          </w:p>
        </w:tc>
        <w:tc>
          <w:tcPr>
            <w:tcW w:w="1200" w:type="dxa"/>
            <w:vAlign w:val="bottom"/>
          </w:tcPr>
          <w:p>
            <w:pPr>
              <w:jc w:val="center"/>
              <w:spacing w:after="0"/>
              <w:rPr>
                <w:sz w:val="20"/>
                <w:szCs w:val="20"/>
                <w:color w:val="auto"/>
              </w:rPr>
            </w:pPr>
            <w:r>
              <w:rPr>
                <w:rFonts w:ascii="Arial" w:cs="Arial" w:eastAsia="Arial" w:hAnsi="Arial"/>
                <w:sz w:val="13"/>
                <w:szCs w:val="13"/>
                <w:color w:val="auto"/>
                <w:w w:val="88"/>
              </w:rPr>
              <w:t>$195,632</w:t>
            </w:r>
          </w:p>
        </w:tc>
      </w:tr>
      <w:tr>
        <w:trPr>
          <w:trHeight w:val="195"/>
        </w:trPr>
        <w:tc>
          <w:tcPr>
            <w:tcW w:w="4640" w:type="dxa"/>
            <w:vAlign w:val="bottom"/>
            <w:tcBorders>
              <w:right w:val="single" w:sz="8" w:color="auto"/>
            </w:tcBorders>
            <w:gridSpan w:val="2"/>
          </w:tcPr>
          <w:p>
            <w:pPr>
              <w:ind w:left="180"/>
              <w:spacing w:after="0"/>
              <w:rPr>
                <w:sz w:val="20"/>
                <w:szCs w:val="20"/>
                <w:color w:val="auto"/>
              </w:rPr>
            </w:pPr>
            <w:r>
              <w:rPr>
                <w:rFonts w:ascii="Arial" w:cs="Arial" w:eastAsia="Arial" w:hAnsi="Arial"/>
                <w:sz w:val="13"/>
                <w:szCs w:val="13"/>
                <w:color w:val="auto"/>
              </w:rPr>
              <w:t>Warrants to purchase Class A Common Stock</w:t>
            </w:r>
          </w:p>
        </w:tc>
        <w:tc>
          <w:tcPr>
            <w:tcW w:w="13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3"/>
                <w:szCs w:val="13"/>
                <w:color w:val="auto"/>
                <w:w w:val="86"/>
              </w:rPr>
              <w:t>7,000,000</w:t>
            </w:r>
            <w:r>
              <w:rPr>
                <w:rFonts w:ascii="Arial" w:cs="Arial" w:eastAsia="Arial" w:hAnsi="Arial"/>
                <w:sz w:val="20"/>
                <w:szCs w:val="20"/>
                <w:color w:val="auto"/>
                <w:w w:val="86"/>
                <w:vertAlign w:val="superscript"/>
              </w:rPr>
              <w:t>(5)</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1"/>
              </w:rPr>
              <w:t>—</w:t>
            </w:r>
          </w:p>
        </w:tc>
        <w:tc>
          <w:tcPr>
            <w:tcW w:w="1200" w:type="dxa"/>
            <w:vAlign w:val="bottom"/>
          </w:tcPr>
          <w:p>
            <w:pPr>
              <w:jc w:val="center"/>
              <w:spacing w:after="0" w:line="195" w:lineRule="exact"/>
              <w:rPr>
                <w:sz w:val="20"/>
                <w:szCs w:val="20"/>
                <w:color w:val="auto"/>
              </w:rPr>
            </w:pPr>
            <w:r>
              <w:rPr>
                <w:rFonts w:ascii="Arial" w:cs="Arial" w:eastAsia="Arial" w:hAnsi="Arial"/>
                <w:sz w:val="22"/>
                <w:szCs w:val="22"/>
                <w:color w:val="auto"/>
                <w:w w:val="89"/>
                <w:vertAlign w:val="subscript"/>
              </w:rPr>
              <w:t>—</w:t>
            </w:r>
            <w:r>
              <w:rPr>
                <w:rFonts w:ascii="Arial" w:cs="Arial" w:eastAsia="Arial" w:hAnsi="Arial"/>
                <w:sz w:val="10"/>
                <w:szCs w:val="10"/>
                <w:color w:val="auto"/>
                <w:w w:val="89"/>
              </w:rPr>
              <w:t>(6)</w:t>
            </w:r>
          </w:p>
        </w:tc>
      </w:tr>
      <w:tr>
        <w:trPr>
          <w:trHeight w:val="160"/>
        </w:trPr>
        <w:tc>
          <w:tcPr>
            <w:tcW w:w="4640" w:type="dxa"/>
            <w:vAlign w:val="bottom"/>
            <w:tcBorders>
              <w:right w:val="single" w:sz="8" w:color="auto"/>
            </w:tcBorders>
            <w:gridSpan w:val="2"/>
          </w:tcPr>
          <w:p>
            <w:pPr>
              <w:spacing w:after="0"/>
              <w:rPr>
                <w:sz w:val="20"/>
                <w:szCs w:val="20"/>
                <w:color w:val="auto"/>
              </w:rPr>
            </w:pPr>
            <w:r>
              <w:rPr>
                <w:rFonts w:ascii="Arial" w:cs="Arial" w:eastAsia="Arial" w:hAnsi="Arial"/>
                <w:sz w:val="13"/>
                <w:szCs w:val="13"/>
                <w:color w:val="auto"/>
              </w:rPr>
              <w:t>Total</w:t>
            </w:r>
          </w:p>
        </w:tc>
        <w:tc>
          <w:tcPr>
            <w:tcW w:w="132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c>
          <w:tcPr>
            <w:tcW w:w="12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86"/>
              </w:rPr>
              <w:t>$3,682,843,524</w:t>
            </w:r>
          </w:p>
        </w:tc>
        <w:tc>
          <w:tcPr>
            <w:tcW w:w="1200" w:type="dxa"/>
            <w:vAlign w:val="bottom"/>
          </w:tcPr>
          <w:p>
            <w:pPr>
              <w:jc w:val="center"/>
              <w:spacing w:after="0"/>
              <w:rPr>
                <w:sz w:val="20"/>
                <w:szCs w:val="20"/>
                <w:color w:val="auto"/>
              </w:rPr>
            </w:pPr>
            <w:r>
              <w:rPr>
                <w:rFonts w:ascii="Arial" w:cs="Arial" w:eastAsia="Arial" w:hAnsi="Arial"/>
                <w:sz w:val="13"/>
                <w:szCs w:val="13"/>
                <w:color w:val="auto"/>
                <w:w w:val="88"/>
              </w:rPr>
              <w:t>$401,800</w:t>
            </w:r>
          </w:p>
        </w:tc>
      </w:tr>
      <w:tr>
        <w:trPr>
          <w:trHeight w:val="43"/>
        </w:trPr>
        <w:tc>
          <w:tcPr>
            <w:tcW w:w="4560" w:type="dxa"/>
            <w:vAlign w:val="bottom"/>
            <w:tcBorders>
              <w:bottom w:val="single" w:sz="8" w:color="auto"/>
            </w:tcBorders>
          </w:tcPr>
          <w:p>
            <w:pPr>
              <w:spacing w:after="0"/>
              <w:rPr>
                <w:sz w:val="3"/>
                <w:szCs w:val="3"/>
                <w:color w:val="auto"/>
              </w:rPr>
            </w:pPr>
          </w:p>
        </w:tc>
        <w:tc>
          <w:tcPr>
            <w:tcW w:w="8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48"/>
        </w:trPr>
        <w:tc>
          <w:tcPr>
            <w:tcW w:w="4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2891155</wp:posOffset>
            </wp:positionH>
            <wp:positionV relativeFrom="paragraph">
              <wp:posOffset>-814070</wp:posOffset>
            </wp:positionV>
            <wp:extent cx="51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 w:lineRule="exact"/>
        <w:rPr>
          <w:sz w:val="24"/>
          <w:szCs w:val="24"/>
          <w:color w:val="auto"/>
        </w:rPr>
      </w:pPr>
    </w:p>
    <w:p>
      <w:pPr>
        <w:ind w:left="360" w:hanging="356"/>
        <w:spacing w:after="0" w:line="235"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Pursuant to Rule 416(a), there are also being registered an indeterminable number of additional securities as may be issued to prevent dilution resulting from share splits, share dividends or similar transactions.</w:t>
      </w:r>
    </w:p>
    <w:p>
      <w:pPr>
        <w:jc w:val="both"/>
        <w:ind w:left="360" w:hanging="356"/>
        <w:spacing w:after="0" w:line="219"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Consists of the primary issuance of 110,898,382 shares of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12,499,933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(together with the Class A Common Stock, the “Common Stock”), par value $0.0001 per share (together with the Class A Units, the “Paired Interests”) and (iv) 25,896,042 shares of Class A Common Stock issuable upon exchange of Class P units representing limited liability company interests of WMH LLC (“Class P Units”).</w:t>
      </w:r>
    </w:p>
    <w:p>
      <w:pPr>
        <w:spacing w:after="0" w:line="5" w:lineRule="exact"/>
        <w:rPr>
          <w:rFonts w:ascii="Arial" w:cs="Arial" w:eastAsia="Arial" w:hAnsi="Arial"/>
          <w:sz w:val="13"/>
          <w:szCs w:val="13"/>
          <w:color w:val="auto"/>
        </w:rPr>
      </w:pPr>
    </w:p>
    <w:p>
      <w:pPr>
        <w:ind w:left="360" w:hanging="356"/>
        <w:spacing w:after="0" w:line="235"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Pursuant to Rule 457(c) under the Securities Act, and solely for the purpose of calculating the registration fee, the proposed maximum offering price per share is $17.04, which is the average of the high and low prices of the Class A Common Stock on July 6, 2021 on The Nasdaq Global Select Market.</w:t>
      </w:r>
    </w:p>
    <w:p>
      <w:pPr>
        <w:jc w:val="both"/>
        <w:ind w:left="360" w:hanging="356"/>
        <w:spacing w:after="0" w:line="223"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Consists of 105,014,011 shares of Class A Common Stock registered for resale by the selling securityholders named in this registration statement,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w:t>
      </w:r>
    </w:p>
    <w:p>
      <w:pPr>
        <w:spacing w:after="0" w:line="1" w:lineRule="exact"/>
        <w:rPr>
          <w:rFonts w:ascii="Arial" w:cs="Arial" w:eastAsia="Arial" w:hAnsi="Arial"/>
          <w:sz w:val="13"/>
          <w:szCs w:val="13"/>
          <w:color w:val="auto"/>
        </w:rPr>
      </w:pPr>
    </w:p>
    <w:p>
      <w:pPr>
        <w:ind w:left="360" w:hanging="356"/>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resale of 7,000,000 Private Placement Warrants, which were issued on August 12, 2019 and will become exercisable on July 16, 2021.</w:t>
      </w:r>
    </w:p>
    <w:p>
      <w:pPr>
        <w:spacing w:after="0" w:line="16" w:lineRule="exact"/>
        <w:rPr>
          <w:rFonts w:ascii="Arial" w:cs="Arial" w:eastAsia="Arial" w:hAnsi="Arial"/>
          <w:sz w:val="13"/>
          <w:szCs w:val="13"/>
          <w:color w:val="auto"/>
        </w:rPr>
      </w:pPr>
    </w:p>
    <w:p>
      <w:pPr>
        <w:ind w:left="360" w:hanging="356"/>
        <w:spacing w:after="0" w:line="236"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accordance with Rule 457(i), the entire registration fee for the Warrants (as defined below) is allocated to the shares of Class A Common Stock underlying the Warrants, and no separate fee is payable for the Warrants.</w:t>
      </w:r>
    </w:p>
    <w:p>
      <w:pPr>
        <w:spacing w:after="0" w:line="16" w:lineRule="exact"/>
        <w:rPr>
          <w:sz w:val="24"/>
          <w:szCs w:val="24"/>
          <w:color w:val="auto"/>
        </w:rPr>
      </w:pPr>
    </w:p>
    <w:p>
      <w:pPr>
        <w:jc w:val="both"/>
        <w:ind w:firstLine="360"/>
        <w:spacing w:after="0" w:line="230" w:lineRule="auto"/>
        <w:rPr>
          <w:sz w:val="20"/>
          <w:szCs w:val="20"/>
          <w:color w:val="auto"/>
        </w:rPr>
      </w:pPr>
      <w:r>
        <w:rPr>
          <w:rFonts w:ascii="Arial" w:cs="Arial" w:eastAsia="Arial" w:hAnsi="Arial"/>
          <w:sz w:val="13"/>
          <w:szCs w:val="13"/>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318770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61722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181610</wp:posOffset>
            </wp:positionV>
            <wp:extent cx="617220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26035"/>
                    </a:xfrm>
                    <a:prstGeom prst="rect">
                      <a:avLst/>
                    </a:prstGeom>
                    <a:noFill/>
                  </pic:spPr>
                </pic:pic>
              </a:graphicData>
            </a:graphic>
          </wp:anchor>
        </w:drawing>
      </w:r>
    </w:p>
    <w:p>
      <w:pPr>
        <w:sectPr>
          <w:pgSz w:w="11900" w:h="16838" w:orient="portrait"/>
          <w:cols w:equalWidth="0" w:num="1">
            <w:col w:w="9720"/>
          </w:cols>
          <w:pgMar w:left="1080" w:top="225" w:right="1099" w:bottom="868" w:gutter="0" w:footer="0" w:header="0"/>
        </w:sectPr>
      </w:pPr>
    </w:p>
    <w:bookmarkStart w:id="1" w:name="page2"/>
    <w:bookmarkEnd w:id="1"/>
    <w:p>
      <w:pPr>
        <w:ind w:left="7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760" w:right="800"/>
        <w:spacing w:after="0" w:line="247"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82" w:lineRule="exact"/>
        <w:rPr>
          <w:sz w:val="20"/>
          <w:szCs w:val="20"/>
          <w:color w:val="auto"/>
        </w:rPr>
      </w:pPr>
    </w:p>
    <w:p>
      <w:pPr>
        <w:ind w:left="760"/>
        <w:spacing w:after="0"/>
        <w:tabs>
          <w:tab w:leader="none" w:pos="6160" w:val="left"/>
        </w:tabs>
        <w:rPr>
          <w:sz w:val="20"/>
          <w:szCs w:val="20"/>
          <w:color w:val="auto"/>
        </w:rPr>
      </w:pPr>
      <w:r>
        <w:rPr>
          <w:rFonts w:ascii="Arial" w:cs="Arial" w:eastAsia="Arial" w:hAnsi="Arial"/>
          <w:sz w:val="18"/>
          <w:szCs w:val="18"/>
          <w:color w:val="FC0014"/>
        </w:rPr>
        <w:t>PRELIMINARY PROSPECTUS</w:t>
      </w:r>
      <w:r>
        <w:rPr>
          <w:sz w:val="20"/>
          <w:szCs w:val="20"/>
          <w:color w:val="auto"/>
        </w:rPr>
        <w:tab/>
      </w:r>
      <w:r>
        <w:rPr>
          <w:rFonts w:ascii="Arial" w:cs="Arial" w:eastAsia="Arial" w:hAnsi="Arial"/>
          <w:sz w:val="17"/>
          <w:szCs w:val="17"/>
          <w:color w:val="FC0014"/>
        </w:rPr>
        <w:t>SUBJECT TO COMPLETION—DATED JULY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117475</wp:posOffset>
            </wp:positionV>
            <wp:extent cx="3257550" cy="9683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755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110,898,382 Shares of Class A 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105,014,011 Shares of Class A Common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7,000,000 Warrants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66040</wp:posOffset>
            </wp:positionV>
            <wp:extent cx="10972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191" w:lineRule="exact"/>
        <w:rPr>
          <w:sz w:val="20"/>
          <w:szCs w:val="20"/>
          <w:color w:val="auto"/>
        </w:rPr>
      </w:pPr>
    </w:p>
    <w:p>
      <w:pPr>
        <w:jc w:val="both"/>
        <w:ind w:left="760" w:right="760" w:firstLine="360"/>
        <w:spacing w:after="0" w:line="269" w:lineRule="auto"/>
        <w:rPr>
          <w:sz w:val="20"/>
          <w:szCs w:val="20"/>
          <w:color w:val="auto"/>
        </w:rPr>
      </w:pPr>
      <w:r>
        <w:rPr>
          <w:rFonts w:ascii="Arial" w:cs="Arial" w:eastAsia="Arial" w:hAnsi="Arial"/>
          <w:sz w:val="17"/>
          <w:szCs w:val="17"/>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We will receive the proceeds from any exercise of any Warrants for cash.</w:t>
      </w:r>
    </w:p>
    <w:p>
      <w:pPr>
        <w:spacing w:after="0" w:line="74" w:lineRule="exact"/>
        <w:rPr>
          <w:sz w:val="20"/>
          <w:szCs w:val="20"/>
          <w:color w:val="auto"/>
        </w:rPr>
      </w:pPr>
    </w:p>
    <w:p>
      <w:pPr>
        <w:jc w:val="both"/>
        <w:ind w:left="760" w:right="760" w:firstLine="360"/>
        <w:spacing w:after="0" w:line="289" w:lineRule="auto"/>
        <w:rPr>
          <w:sz w:val="20"/>
          <w:szCs w:val="20"/>
          <w:color w:val="auto"/>
        </w:rPr>
      </w:pPr>
      <w:r>
        <w:rPr>
          <w:rFonts w:ascii="Arial" w:cs="Arial" w:eastAsia="Arial" w:hAnsi="Arial"/>
          <w:sz w:val="16"/>
          <w:szCs w:val="16"/>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58" w:lineRule="exact"/>
        <w:rPr>
          <w:sz w:val="20"/>
          <w:szCs w:val="20"/>
          <w:color w:val="auto"/>
        </w:rPr>
      </w:pPr>
    </w:p>
    <w:p>
      <w:pPr>
        <w:jc w:val="both"/>
        <w:ind w:left="760" w:right="760" w:firstLine="360"/>
        <w:spacing w:after="0" w:line="255" w:lineRule="auto"/>
        <w:rPr>
          <w:sz w:val="20"/>
          <w:szCs w:val="20"/>
          <w:color w:val="auto"/>
        </w:rPr>
      </w:pPr>
      <w:r>
        <w:rPr>
          <w:rFonts w:ascii="Arial" w:cs="Arial" w:eastAsia="Arial" w:hAnsi="Arial"/>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4" w:lineRule="exact"/>
        <w:rPr>
          <w:sz w:val="20"/>
          <w:szCs w:val="20"/>
          <w:color w:val="auto"/>
        </w:rPr>
      </w:pPr>
    </w:p>
    <w:p>
      <w:pPr>
        <w:jc w:val="both"/>
        <w:ind w:left="760" w:right="780" w:firstLine="360"/>
        <w:spacing w:after="0" w:line="263"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and are subject to reduced public company reporting requirements. This prospectus complies with the requirements that apply to an issuer that is an emerging growth company.</w:t>
      </w:r>
    </w:p>
    <w:p>
      <w:pPr>
        <w:spacing w:after="0" w:line="76" w:lineRule="exact"/>
        <w:rPr>
          <w:sz w:val="20"/>
          <w:szCs w:val="20"/>
          <w:color w:val="auto"/>
        </w:rPr>
      </w:pPr>
    </w:p>
    <w:p>
      <w:pPr>
        <w:jc w:val="both"/>
        <w:ind w:left="760" w:right="760" w:firstLine="360"/>
        <w:spacing w:after="0" w:line="263" w:lineRule="auto"/>
        <w:rPr>
          <w:sz w:val="20"/>
          <w:szCs w:val="20"/>
          <w:color w:val="auto"/>
        </w:rPr>
      </w:pPr>
      <w:r>
        <w:rPr>
          <w:rFonts w:ascii="Arial" w:cs="Arial" w:eastAsia="Arial" w:hAnsi="Arial"/>
          <w:sz w:val="18"/>
          <w:szCs w:val="18"/>
          <w:color w:val="auto"/>
        </w:rPr>
        <w:t>Our Class A Common Stock and Public Warrants are listed on The Nasdaq Global Select Market (“Nasdaq”) under the symbols “MAPS” and “MAPSW,” respectively. On July 7, 2021, the closing price of our Class A Common Stock was $18.29 and the closing price for our Public Warrants was $6.72.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57150</wp:posOffset>
            </wp:positionV>
            <wp:extent cx="10972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173" w:lineRule="exact"/>
        <w:rPr>
          <w:sz w:val="20"/>
          <w:szCs w:val="20"/>
          <w:color w:val="auto"/>
        </w:rPr>
      </w:pPr>
    </w:p>
    <w:p>
      <w:pPr>
        <w:jc w:val="both"/>
        <w:ind w:left="760" w:right="780" w:firstLine="36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See the section entitled “Risk Factors” beginning on page </w:t>
      </w:r>
      <w:hyperlink w:anchor="page13">
        <w:r>
          <w:rPr>
            <w:rFonts w:ascii="Arial" w:cs="Arial" w:eastAsia="Arial" w:hAnsi="Arial"/>
            <w:sz w:val="18"/>
            <w:szCs w:val="18"/>
            <w:b w:val="1"/>
            <w:bCs w:val="1"/>
            <w:u w:val="single" w:color="auto"/>
            <w:color w:val="0000EE"/>
          </w:rPr>
          <w:t>7</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to read about factors you should consider before buying our securities.</w:t>
      </w:r>
    </w:p>
    <w:p>
      <w:pPr>
        <w:spacing w:after="0" w:line="54" w:lineRule="exact"/>
        <w:rPr>
          <w:sz w:val="20"/>
          <w:szCs w:val="20"/>
          <w:color w:val="auto"/>
        </w:rPr>
      </w:pPr>
    </w:p>
    <w:p>
      <w:pPr>
        <w:jc w:val="both"/>
        <w:ind w:left="760" w:right="780"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3840"/>
              <w:spacing w:after="0"/>
              <w:rPr>
                <w:sz w:val="20"/>
                <w:szCs w:val="20"/>
                <w:color w:val="auto"/>
              </w:rPr>
            </w:pPr>
            <w:r>
              <w:rPr>
                <w:rFonts w:ascii="Arial" w:cs="Arial" w:eastAsia="Arial" w:hAnsi="Arial"/>
                <w:sz w:val="18"/>
                <w:szCs w:val="18"/>
                <w:b w:val="1"/>
                <w:bCs w:val="1"/>
                <w:color w:val="auto"/>
                <w:w w:val="98"/>
              </w:rPr>
              <w:t>The date of this prospectus is</w:t>
            </w:r>
          </w:p>
        </w:tc>
        <w:tc>
          <w:tcPr>
            <w:tcW w:w="4640" w:type="dxa"/>
            <w:vAlign w:val="bottom"/>
          </w:tcPr>
          <w:p>
            <w:pPr>
              <w:jc w:val="right"/>
              <w:ind w:right="3770"/>
              <w:spacing w:after="0"/>
              <w:rPr>
                <w:sz w:val="20"/>
                <w:szCs w:val="20"/>
                <w:color w:val="auto"/>
              </w:rPr>
            </w:pPr>
            <w:r>
              <w:rPr>
                <w:rFonts w:ascii="Arial" w:cs="Arial" w:eastAsia="Arial" w:hAnsi="Arial"/>
                <w:sz w:val="18"/>
                <w:szCs w:val="18"/>
                <w:b w:val="1"/>
                <w:bCs w:val="1"/>
                <w:color w:val="auto"/>
              </w:rPr>
              <w:t>, 2021.</w:t>
            </w:r>
          </w:p>
        </w:tc>
      </w:tr>
      <w:tr>
        <w:trPr>
          <w:trHeight w:val="183"/>
        </w:trPr>
        <w:tc>
          <w:tcPr>
            <w:tcW w:w="638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2" w:name="page3"/>
    <w:bookmarkEnd w:id="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7"/>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9"/>
            <w:shd w:val="clear" w:color="auto" w:fill="CCEEFF"/>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gridSpan w:val="4"/>
            <w:shd w:val="clear" w:color="auto" w:fill="CCEEFF"/>
          </w:tcPr>
          <w:p>
            <w:pPr>
              <w:jc w:val="right"/>
              <w:ind w:right="20"/>
              <w:spacing w:after="0"/>
              <w:rPr>
                <w:rFonts w:ascii="Arial" w:cs="Arial" w:eastAsia="Arial" w:hAnsi="Arial"/>
                <w:sz w:val="18"/>
                <w:szCs w:val="18"/>
                <w:color w:val="0000EE"/>
              </w:rPr>
            </w:pPr>
            <w:hyperlink w:anchor="page4">
              <w:r>
                <w:rPr>
                  <w:rFonts w:ascii="Arial" w:cs="Arial" w:eastAsia="Arial" w:hAnsi="Arial"/>
                  <w:sz w:val="18"/>
                  <w:szCs w:val="18"/>
                  <w:color w:val="0000EE"/>
                </w:rPr>
                <w:t>ii</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CAUTIONARY NOTE REGARDING FORWARD-LOOKING STATEMENTS</w:t>
              </w:r>
            </w:hyperlink>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5"/>
          </w:tcPr>
          <w:p>
            <w:pPr>
              <w:jc w:val="right"/>
              <w:ind w:right="40"/>
              <w:spacing w:after="0"/>
              <w:rPr>
                <w:rFonts w:ascii="Arial" w:cs="Arial" w:eastAsia="Arial" w:hAnsi="Arial"/>
                <w:sz w:val="18"/>
                <w:szCs w:val="18"/>
                <w:color w:val="0000EE"/>
              </w:rPr>
            </w:pPr>
            <w:hyperlink w:anchor="page5">
              <w:r>
                <w:rPr>
                  <w:rFonts w:ascii="Arial" w:cs="Arial" w:eastAsia="Arial" w:hAnsi="Arial"/>
                  <w:sz w:val="18"/>
                  <w:szCs w:val="18"/>
                  <w:color w:val="0000EE"/>
                </w:rPr>
                <w:t>iii</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9"/>
            <w:shd w:val="clear" w:color="auto" w:fill="CCEEFF"/>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PROSPECTUS SUMMARY</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280" w:type="dxa"/>
            <w:vAlign w:val="bottom"/>
            <w:gridSpan w:val="6"/>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7</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USE OF PROCEEDS</w:t>
              </w:r>
            </w:hyperlink>
          </w:p>
        </w:tc>
        <w:tc>
          <w:tcPr>
            <w:tcW w:w="280" w:type="dxa"/>
            <w:vAlign w:val="bottom"/>
            <w:gridSpan w:val="6"/>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9"/>
            <w:shd w:val="clear" w:color="auto" w:fill="CCEEFF"/>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DETERMINATION OF OFFERING PRICE</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MARKET INFORMATION FOR COMMON STOCK AND DIVIDEND POLICY</w:t>
              </w:r>
            </w:hyperlink>
          </w:p>
        </w:tc>
        <w:tc>
          <w:tcPr>
            <w:tcW w:w="280" w:type="dxa"/>
            <w:vAlign w:val="bottom"/>
            <w:gridSpan w:val="6"/>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SELECTED HISTORICAL FINANCIAL AND OPERATING DATA OF LEGACY WMH</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SELECTED HISTORICAL FINANCIAL INFORMATION OF SILVER SPIKE</w:t>
              </w:r>
            </w:hyperlink>
          </w:p>
        </w:tc>
        <w:tc>
          <w:tcPr>
            <w:tcW w:w="280" w:type="dxa"/>
            <w:vAlign w:val="bottom"/>
            <w:gridSpan w:val="6"/>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9"/>
            <w:shd w:val="clear" w:color="auto" w:fill="CCEEFF"/>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UNAUDITED PRO FORMA CONDENSED COMBINED FINANCIAL INFORMATION</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38</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7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560" w:type="dxa"/>
            <w:vAlign w:val="bottom"/>
            <w:tcBorders>
              <w:top w:val="single" w:sz="8" w:color="0000EE"/>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7760" w:type="dxa"/>
            <w:vAlign w:val="bottom"/>
            <w:tcBorders>
              <w:bottom w:val="single" w:sz="8" w:color="0000EE"/>
            </w:tcBorders>
            <w:gridSpan w:val="28"/>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OPERATIONS</w:t>
              </w:r>
            </w:hyperlink>
          </w:p>
        </w:tc>
        <w:tc>
          <w:tcPr>
            <w:tcW w:w="280" w:type="dxa"/>
            <w:vAlign w:val="bottom"/>
            <w:gridSpan w:val="6"/>
          </w:tcPr>
          <w:p>
            <w:pPr>
              <w:jc w:val="right"/>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47</w:t>
              </w:r>
            </w:hyperlink>
          </w:p>
        </w:tc>
        <w:tc>
          <w:tcPr>
            <w:tcW w:w="20" w:type="dxa"/>
            <w:vAlign w:val="bottom"/>
          </w:tcPr>
          <w:p>
            <w:pPr>
              <w:spacing w:after="0"/>
              <w:rPr>
                <w:sz w:val="17"/>
                <w:szCs w:val="17"/>
                <w:color w:val="auto"/>
              </w:rPr>
            </w:pPr>
          </w:p>
        </w:tc>
      </w:tr>
      <w:tr>
        <w:trPr>
          <w:trHeight w:val="75"/>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9"/>
            <w:shd w:val="clear" w:color="auto" w:fill="CCEEFF"/>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BUSINESS</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71</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MANAGEMENT</w:t>
              </w:r>
            </w:hyperlink>
          </w:p>
        </w:tc>
        <w:tc>
          <w:tcPr>
            <w:tcW w:w="280" w:type="dxa"/>
            <w:vAlign w:val="bottom"/>
            <w:gridSpan w:val="6"/>
          </w:tcPr>
          <w:p>
            <w:pPr>
              <w:jc w:val="right"/>
              <w:spacing w:after="0"/>
              <w:rPr>
                <w:rFonts w:ascii="Arial" w:cs="Arial" w:eastAsia="Arial" w:hAnsi="Arial"/>
                <w:sz w:val="18"/>
                <w:szCs w:val="18"/>
                <w:color w:val="0000EE"/>
              </w:rPr>
            </w:pPr>
            <w:hyperlink w:anchor="page93">
              <w:r>
                <w:rPr>
                  <w:rFonts w:ascii="Arial" w:cs="Arial" w:eastAsia="Arial" w:hAnsi="Arial"/>
                  <w:sz w:val="18"/>
                  <w:szCs w:val="18"/>
                  <w:color w:val="0000EE"/>
                </w:rPr>
                <w:t>87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EXECUTIVE COMPENSATION</w:t>
              </w:r>
            </w:hyperlink>
          </w:p>
        </w:tc>
        <w:tc>
          <w:tcPr>
            <w:tcW w:w="280" w:type="dxa"/>
            <w:vAlign w:val="bottom"/>
            <w:gridSpan w:val="6"/>
            <w:shd w:val="clear" w:color="auto" w:fill="CCEEFF"/>
          </w:tcPr>
          <w:p>
            <w:pPr>
              <w:jc w:val="right"/>
              <w:spacing w:after="0"/>
              <w:rPr>
                <w:rFonts w:ascii="Arial" w:cs="Arial" w:eastAsia="Arial" w:hAnsi="Arial"/>
                <w:sz w:val="18"/>
                <w:szCs w:val="18"/>
                <w:color w:val="0000EE"/>
              </w:rPr>
            </w:pPr>
            <w:hyperlink w:anchor="page99">
              <w:r>
                <w:rPr>
                  <w:rFonts w:ascii="Arial" w:cs="Arial" w:eastAsia="Arial" w:hAnsi="Arial"/>
                  <w:sz w:val="18"/>
                  <w:szCs w:val="18"/>
                  <w:color w:val="0000EE"/>
                </w:rPr>
                <w:t>93</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PARTY TRANSACTIONS</w:t>
              </w:r>
            </w:hyperlink>
          </w:p>
        </w:tc>
        <w:tc>
          <w:tcPr>
            <w:tcW w:w="300" w:type="dxa"/>
            <w:vAlign w:val="bottom"/>
            <w:gridSpan w:val="7"/>
          </w:tcPr>
          <w:p>
            <w:pPr>
              <w:jc w:val="right"/>
              <w:ind w:right="20"/>
              <w:spacing w:after="0"/>
              <w:rPr>
                <w:rFonts w:ascii="Arial" w:cs="Arial" w:eastAsia="Arial" w:hAnsi="Arial"/>
                <w:sz w:val="18"/>
                <w:szCs w:val="18"/>
                <w:color w:val="0000EE"/>
                <w:w w:val="86"/>
              </w:rPr>
            </w:pPr>
            <w:hyperlink w:anchor="page107">
              <w:r>
                <w:rPr>
                  <w:rFonts w:ascii="Arial" w:cs="Arial" w:eastAsia="Arial" w:hAnsi="Arial"/>
                  <w:sz w:val="18"/>
                  <w:szCs w:val="18"/>
                  <w:color w:val="0000EE"/>
                  <w:w w:val="86"/>
                </w:rPr>
                <w:t>101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9"/>
            <w:shd w:val="clear" w:color="auto" w:fill="CCEEFF"/>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PRINCIPAL SECURITYHOLDERS</w:t>
              </w:r>
            </w:hyperlink>
          </w:p>
        </w:tc>
        <w:tc>
          <w:tcPr>
            <w:tcW w:w="300" w:type="dxa"/>
            <w:vAlign w:val="bottom"/>
            <w:gridSpan w:val="7"/>
            <w:shd w:val="clear" w:color="auto" w:fill="CCEEFF"/>
          </w:tcPr>
          <w:p>
            <w:pPr>
              <w:jc w:val="right"/>
              <w:ind w:right="20"/>
              <w:spacing w:after="0"/>
              <w:rPr>
                <w:rFonts w:ascii="Arial" w:cs="Arial" w:eastAsia="Arial" w:hAnsi="Arial"/>
                <w:sz w:val="18"/>
                <w:szCs w:val="18"/>
                <w:color w:val="0000EE"/>
                <w:w w:val="86"/>
              </w:rPr>
            </w:pPr>
            <w:hyperlink w:anchor="page113">
              <w:r>
                <w:rPr>
                  <w:rFonts w:ascii="Arial" w:cs="Arial" w:eastAsia="Arial" w:hAnsi="Arial"/>
                  <w:sz w:val="18"/>
                  <w:szCs w:val="18"/>
                  <w:color w:val="0000EE"/>
                  <w:w w:val="86"/>
                </w:rPr>
                <w:t>107</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9"/>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SELLING SECURITYHOLDERS</w:t>
              </w:r>
            </w:hyperlink>
          </w:p>
        </w:tc>
        <w:tc>
          <w:tcPr>
            <w:tcW w:w="300" w:type="dxa"/>
            <w:vAlign w:val="bottom"/>
            <w:gridSpan w:val="7"/>
          </w:tcPr>
          <w:p>
            <w:pPr>
              <w:jc w:val="right"/>
              <w:ind w:right="20"/>
              <w:spacing w:after="0"/>
              <w:rPr>
                <w:rFonts w:ascii="Arial" w:cs="Arial" w:eastAsia="Arial" w:hAnsi="Arial"/>
                <w:sz w:val="18"/>
                <w:szCs w:val="18"/>
                <w:color w:val="0000EE"/>
                <w:w w:val="86"/>
              </w:rPr>
            </w:pPr>
            <w:hyperlink w:anchor="page115">
              <w:r>
                <w:rPr>
                  <w:rFonts w:ascii="Arial" w:cs="Arial" w:eastAsia="Arial" w:hAnsi="Arial"/>
                  <w:sz w:val="18"/>
                  <w:szCs w:val="18"/>
                  <w:color w:val="0000EE"/>
                  <w:w w:val="86"/>
                </w:rPr>
                <w:t>109</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9"/>
            <w:shd w:val="clear" w:color="auto" w:fill="CCEEFF"/>
          </w:tcPr>
          <w:p>
            <w:pPr>
              <w:spacing w:after="0"/>
              <w:rPr>
                <w:rFonts w:ascii="Arial" w:cs="Arial" w:eastAsia="Arial" w:hAnsi="Arial"/>
                <w:sz w:val="18"/>
                <w:szCs w:val="18"/>
                <w:color w:val="0000EE"/>
              </w:rPr>
            </w:pPr>
            <w:hyperlink w:anchor="page124">
              <w:r>
                <w:rPr>
                  <w:rFonts w:ascii="Arial" w:cs="Arial" w:eastAsia="Arial" w:hAnsi="Arial"/>
                  <w:sz w:val="18"/>
                  <w:szCs w:val="18"/>
                  <w:color w:val="0000EE"/>
                </w:rPr>
                <w:t>DESCRIPTION OF SECURITIES</w:t>
              </w:r>
            </w:hyperlink>
          </w:p>
        </w:tc>
        <w:tc>
          <w:tcPr>
            <w:tcW w:w="280" w:type="dxa"/>
            <w:vAlign w:val="bottom"/>
            <w:gridSpan w:val="6"/>
            <w:shd w:val="clear" w:color="auto" w:fill="CCEEFF"/>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116</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9"/>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MATERIAL UNITED STATES FEDERAL INCOME TAX CONSEQUENCES</w:t>
              </w:r>
            </w:hyperlink>
          </w:p>
        </w:tc>
        <w:tc>
          <w:tcPr>
            <w:tcW w:w="300" w:type="dxa"/>
            <w:vAlign w:val="bottom"/>
            <w:gridSpan w:val="7"/>
          </w:tcPr>
          <w:p>
            <w:pPr>
              <w:jc w:val="right"/>
              <w:ind w:right="20"/>
              <w:spacing w:after="0"/>
              <w:rPr>
                <w:rFonts w:ascii="Arial" w:cs="Arial" w:eastAsia="Arial" w:hAnsi="Arial"/>
                <w:sz w:val="18"/>
                <w:szCs w:val="18"/>
                <w:color w:val="0000EE"/>
                <w:w w:val="86"/>
              </w:rPr>
            </w:pPr>
            <w:hyperlink w:anchor="page132">
              <w:r>
                <w:rPr>
                  <w:rFonts w:ascii="Arial" w:cs="Arial" w:eastAsia="Arial" w:hAnsi="Arial"/>
                  <w:sz w:val="18"/>
                  <w:szCs w:val="18"/>
                  <w:color w:val="0000EE"/>
                  <w:w w:val="86"/>
                </w:rPr>
                <w:t>124</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PLAN OF DISTRIBUTION</w:t>
              </w:r>
            </w:hyperlink>
          </w:p>
        </w:tc>
        <w:tc>
          <w:tcPr>
            <w:tcW w:w="300" w:type="dxa"/>
            <w:vAlign w:val="bottom"/>
            <w:gridSpan w:val="7"/>
            <w:shd w:val="clear" w:color="auto" w:fill="CCEEFF"/>
          </w:tcPr>
          <w:p>
            <w:pPr>
              <w:jc w:val="right"/>
              <w:ind w:right="20"/>
              <w:spacing w:after="0"/>
              <w:rPr>
                <w:rFonts w:ascii="Arial" w:cs="Arial" w:eastAsia="Arial" w:hAnsi="Arial"/>
                <w:sz w:val="18"/>
                <w:szCs w:val="18"/>
                <w:color w:val="0000EE"/>
                <w:w w:val="86"/>
              </w:rPr>
            </w:pPr>
            <w:hyperlink w:anchor="page137">
              <w:r>
                <w:rPr>
                  <w:rFonts w:ascii="Arial" w:cs="Arial" w:eastAsia="Arial" w:hAnsi="Arial"/>
                  <w:sz w:val="18"/>
                  <w:szCs w:val="18"/>
                  <w:color w:val="0000EE"/>
                  <w:w w:val="86"/>
                </w:rPr>
                <w:t>129</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9"/>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LEGAL MATTERS</w:t>
              </w:r>
            </w:hyperlink>
          </w:p>
        </w:tc>
        <w:tc>
          <w:tcPr>
            <w:tcW w:w="300" w:type="dxa"/>
            <w:vAlign w:val="bottom"/>
            <w:gridSpan w:val="7"/>
          </w:tcPr>
          <w:p>
            <w:pPr>
              <w:jc w:val="right"/>
              <w:ind w:righ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EXPERTS</w:t>
              </w:r>
            </w:hyperlink>
          </w:p>
        </w:tc>
        <w:tc>
          <w:tcPr>
            <w:tcW w:w="300" w:type="dxa"/>
            <w:vAlign w:val="bottom"/>
            <w:gridSpan w:val="7"/>
            <w:shd w:val="clear" w:color="auto" w:fill="CCEEFF"/>
          </w:tcPr>
          <w:p>
            <w:pPr>
              <w:jc w:val="right"/>
              <w:ind w:righ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9"/>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CHANGE IN REGISTRANT’S CERTIFYING ACCOUNTANT</w:t>
              </w:r>
            </w:hyperlink>
          </w:p>
        </w:tc>
        <w:tc>
          <w:tcPr>
            <w:tcW w:w="300" w:type="dxa"/>
            <w:vAlign w:val="bottom"/>
            <w:gridSpan w:val="7"/>
          </w:tcPr>
          <w:p>
            <w:pPr>
              <w:jc w:val="right"/>
              <w:ind w:right="20"/>
              <w:spacing w:after="0"/>
              <w:rPr>
                <w:rFonts w:ascii="Arial" w:cs="Arial" w:eastAsia="Arial" w:hAnsi="Arial"/>
                <w:sz w:val="18"/>
                <w:szCs w:val="18"/>
                <w:color w:val="0000EE"/>
                <w:w w:val="86"/>
              </w:rPr>
            </w:pPr>
            <w:hyperlink w:anchor="page139">
              <w:r>
                <w:rPr>
                  <w:rFonts w:ascii="Arial" w:cs="Arial" w:eastAsia="Arial" w:hAnsi="Arial"/>
                  <w:sz w:val="18"/>
                  <w:szCs w:val="18"/>
                  <w:color w:val="0000EE"/>
                  <w:w w:val="86"/>
                </w:rPr>
                <w:t>131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WHERE YOU CAN FIND MORE INFORMATION</w:t>
              </w:r>
            </w:hyperlink>
          </w:p>
        </w:tc>
        <w:tc>
          <w:tcPr>
            <w:tcW w:w="300" w:type="dxa"/>
            <w:vAlign w:val="bottom"/>
            <w:gridSpan w:val="7"/>
            <w:shd w:val="clear" w:color="auto" w:fill="CCEEFF"/>
          </w:tcPr>
          <w:p>
            <w:pPr>
              <w:jc w:val="right"/>
              <w:ind w:right="20"/>
              <w:spacing w:after="0"/>
              <w:rPr>
                <w:rFonts w:ascii="Arial" w:cs="Arial" w:eastAsia="Arial" w:hAnsi="Arial"/>
                <w:sz w:val="18"/>
                <w:szCs w:val="18"/>
                <w:color w:val="0000EE"/>
                <w:w w:val="86"/>
              </w:rPr>
            </w:pPr>
            <w:hyperlink w:anchor="page140">
              <w:r>
                <w:rPr>
                  <w:rFonts w:ascii="Arial" w:cs="Arial" w:eastAsia="Arial" w:hAnsi="Arial"/>
                  <w:sz w:val="18"/>
                  <w:szCs w:val="18"/>
                  <w:color w:val="0000EE"/>
                  <w:w w:val="86"/>
                </w:rPr>
                <w:t>132</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INDEX TO FINANCIAL STATEMENTS</w:t>
              </w:r>
            </w:hyperlink>
          </w:p>
        </w:tc>
        <w:tc>
          <w:tcPr>
            <w:tcW w:w="20" w:type="dxa"/>
            <w:vAlign w:val="bottom"/>
          </w:tcPr>
          <w:p>
            <w:pPr>
              <w:spacing w:after="0"/>
              <w:rPr>
                <w:sz w:val="19"/>
                <w:szCs w:val="19"/>
                <w:color w:val="auto"/>
              </w:rPr>
            </w:pPr>
          </w:p>
        </w:tc>
        <w:tc>
          <w:tcPr>
            <w:tcW w:w="280" w:type="dxa"/>
            <w:vAlign w:val="bottom"/>
            <w:gridSpan w:val="6"/>
          </w:tcPr>
          <w:p>
            <w:pPr>
              <w:jc w:val="right"/>
              <w:ind w:right="20"/>
              <w:spacing w:after="0"/>
              <w:rPr>
                <w:rFonts w:ascii="Arial" w:cs="Arial" w:eastAsia="Arial" w:hAnsi="Arial"/>
                <w:sz w:val="18"/>
                <w:szCs w:val="18"/>
                <w:color w:val="0000EE"/>
                <w:w w:val="88"/>
              </w:rPr>
            </w:pPr>
            <w:hyperlink w:anchor="page141">
              <w:r>
                <w:rPr>
                  <w:rFonts w:ascii="Arial" w:cs="Arial" w:eastAsia="Arial" w:hAnsi="Arial"/>
                  <w:sz w:val="18"/>
                  <w:szCs w:val="18"/>
                  <w:color w:val="0000EE"/>
                  <w:w w:val="88"/>
                </w:rPr>
                <w:t>F-1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211">
              <w:r>
                <w:rPr>
                  <w:rFonts w:ascii="Arial" w:cs="Arial" w:eastAsia="Arial" w:hAnsi="Arial"/>
                  <w:sz w:val="18"/>
                  <w:szCs w:val="18"/>
                  <w:color w:val="0000EE"/>
                </w:rPr>
                <w:t>PART II INFORMATION NOT REQUIRED IN PROSPECTUS</w:t>
              </w:r>
            </w:hyperlink>
          </w:p>
        </w:tc>
        <w:tc>
          <w:tcPr>
            <w:tcW w:w="300" w:type="dxa"/>
            <w:vAlign w:val="bottom"/>
            <w:gridSpan w:val="7"/>
            <w:shd w:val="clear" w:color="auto" w:fill="CCEEFF"/>
          </w:tcPr>
          <w:p>
            <w:pPr>
              <w:jc w:val="right"/>
              <w:ind w:right="20"/>
              <w:spacing w:after="0"/>
              <w:rPr>
                <w:rFonts w:ascii="Arial" w:cs="Arial" w:eastAsia="Arial" w:hAnsi="Arial"/>
                <w:sz w:val="18"/>
                <w:szCs w:val="18"/>
                <w:color w:val="0000EE"/>
                <w:w w:val="99"/>
              </w:rPr>
            </w:pPr>
            <w:hyperlink w:anchor="page211">
              <w:r>
                <w:rPr>
                  <w:rFonts w:ascii="Arial" w:cs="Arial" w:eastAsia="Arial" w:hAnsi="Arial"/>
                  <w:sz w:val="18"/>
                  <w:szCs w:val="18"/>
                  <w:color w:val="0000EE"/>
                  <w:w w:val="99"/>
                </w:rPr>
                <w:t>II-1</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9"/>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SIGNATURES</w:t>
              </w:r>
            </w:hyperlink>
          </w:p>
        </w:tc>
        <w:tc>
          <w:tcPr>
            <w:tcW w:w="300" w:type="dxa"/>
            <w:vAlign w:val="bottom"/>
            <w:gridSpan w:val="7"/>
          </w:tcPr>
          <w:p>
            <w:pPr>
              <w:jc w:val="right"/>
              <w:ind w:right="20"/>
              <w:spacing w:after="0"/>
              <w:rPr>
                <w:rFonts w:ascii="Arial" w:cs="Arial" w:eastAsia="Arial" w:hAnsi="Arial"/>
                <w:sz w:val="18"/>
                <w:szCs w:val="18"/>
                <w:color w:val="0000EE"/>
                <w:w w:val="99"/>
              </w:rPr>
            </w:pPr>
            <w:hyperlink w:anchor="page216">
              <w:r>
                <w:rPr>
                  <w:rFonts w:ascii="Arial" w:cs="Arial" w:eastAsia="Arial" w:hAnsi="Arial"/>
                  <w:sz w:val="18"/>
                  <w:szCs w:val="18"/>
                  <w:color w:val="0000EE"/>
                  <w:w w:val="99"/>
                </w:rPr>
                <w:t>II-6</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9"/>
            <w:shd w:val="clear" w:color="auto" w:fill="CCEEFF"/>
          </w:tcPr>
          <w:p>
            <w:pPr>
              <w:spacing w:after="0"/>
              <w:rPr>
                <w:rFonts w:ascii="Arial" w:cs="Arial" w:eastAsia="Arial" w:hAnsi="Arial"/>
                <w:sz w:val="18"/>
                <w:szCs w:val="18"/>
                <w:color w:val="0000EE"/>
              </w:rPr>
            </w:pPr>
            <w:hyperlink w:anchor="page216">
              <w:r>
                <w:rPr>
                  <w:rFonts w:ascii="Arial" w:cs="Arial" w:eastAsia="Arial" w:hAnsi="Arial"/>
                  <w:sz w:val="18"/>
                  <w:szCs w:val="18"/>
                  <w:color w:val="0000EE"/>
                </w:rPr>
                <w:t>POWER OF ATTORNEY</w:t>
              </w:r>
            </w:hyperlink>
          </w:p>
        </w:tc>
        <w:tc>
          <w:tcPr>
            <w:tcW w:w="300" w:type="dxa"/>
            <w:vAlign w:val="bottom"/>
            <w:gridSpan w:val="7"/>
            <w:shd w:val="clear" w:color="auto" w:fill="CCEEFF"/>
          </w:tcPr>
          <w:p>
            <w:pPr>
              <w:jc w:val="right"/>
              <w:ind w:right="20"/>
              <w:spacing w:after="0"/>
              <w:rPr>
                <w:rFonts w:ascii="Arial" w:cs="Arial" w:eastAsia="Arial" w:hAnsi="Arial"/>
                <w:sz w:val="18"/>
                <w:szCs w:val="18"/>
                <w:color w:val="0000EE"/>
                <w:w w:val="99"/>
              </w:rPr>
            </w:pPr>
            <w:hyperlink w:anchor="page216">
              <w:r>
                <w:rPr>
                  <w:rFonts w:ascii="Arial" w:cs="Arial" w:eastAsia="Arial" w:hAnsi="Arial"/>
                  <w:sz w:val="18"/>
                  <w:szCs w:val="18"/>
                  <w:color w:val="0000EE"/>
                  <w:w w:val="99"/>
                </w:rPr>
                <w:t>II-6</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56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-6120130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2311400</wp:posOffset>
            </wp:positionH>
            <wp:positionV relativeFrom="paragraph">
              <wp:posOffset>154305</wp:posOffset>
            </wp:positionV>
            <wp:extent cx="10972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7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the ability of the combined business to grow and manage growth profitably;</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and business performance, including financial projections and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projections of market opportunity and market share;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related to our ability to scale our business and expand our offerings;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regarding the time during which we will be an emerging growth company under the JOBS Act;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expansion plans and opportunities;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statements are subject to known and unknown risks, uncertainties and assumptions that could cause actual results to differ materially from those projected or otherwise implied by the forward-looking statements, including the following:</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and the ability of the combined business to grow and manage growth profitably;</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development, effects and enforcement of laws and regulations, including with respect to the cannabis industry;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any legal proceedings;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12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67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73" w:lineRule="auto"/>
        <w:rPr>
          <w:sz w:val="20"/>
          <w:szCs w:val="20"/>
          <w:color w:val="auto"/>
        </w:rPr>
      </w:pPr>
      <w:r>
        <w:rPr>
          <w:rFonts w:ascii="Arial" w:cs="Arial" w:eastAsia="Arial" w:hAnsi="Arial"/>
          <w:sz w:val="17"/>
          <w:szCs w:val="17"/>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“Unaudited Pro Forma Condensed Combined Financial Information,” “Business” and the consolidated financial statements and related notes included elsewhere in this prospectus before making an investment decision.</w:t>
      </w:r>
    </w:p>
    <w:p>
      <w:pPr>
        <w:spacing w:after="0" w:line="2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85" w:lineRule="auto"/>
        <w:rPr>
          <w:sz w:val="20"/>
          <w:szCs w:val="20"/>
          <w:color w:val="auto"/>
        </w:rPr>
      </w:pPr>
      <w:r>
        <w:rPr>
          <w:rFonts w:ascii="Arial" w:cs="Arial" w:eastAsia="Arial" w:hAnsi="Arial"/>
          <w:sz w:val="16"/>
          <w:szCs w:val="16"/>
          <w:color w:val="auto"/>
        </w:rPr>
        <w:t>We were founded in 2008, and operate a leading listings marketplace with one of the most comprehensive SaaS subscription offerings sold to retailers and brands in the U.S. state-legal and Canadian cannabis markets. We also provide information on the cannabis plant and the industry and advocates for legalization. We address the challenges facing both consumers seeking to understand cannabis products and businesses seeking brand awareness in a legally compliant fashion with our Weedmaps platform and WM Business SaaS solution.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participating retailers. Consumers do not purchase cannabis products using Weedmaps, and all confirmation of product availability, final order entry, order fulfillment, and processing of payments is handled directly between the consumer and our client outside of the Weedmaps listings marketplace.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66"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27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6"/>
          <w:szCs w:val="16"/>
          <w:color w:val="auto"/>
        </w:rPr>
        <w:t>We were originally known as Silver Spike Acquisition Corp. 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Prior to the Closing Date, each of Silver Spike’s then currently issued and outstanding Class A Ordinary Shares and Class B ordinary shares (“Class B Ordinary Shares”) automatically converted by operation of law, on a one-for-one basis, into shares of Class A Common Stock of Silver Spike. Similarly, all of Silver Spike’s outstanding warrants became warrants to acquire shares of Class A Common Stock of Silver Spike, and no other changes were made to the terms of any outstanding warrants.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59" w:lineRule="exact"/>
        <w:rPr>
          <w:sz w:val="20"/>
          <w:szCs w:val="20"/>
          <w:color w:val="auto"/>
        </w:rPr>
      </w:pPr>
    </w:p>
    <w:p>
      <w:pPr>
        <w:jc w:val="both"/>
        <w:ind w:left="320" w:right="279" w:firstLine="360"/>
        <w:spacing w:after="0" w:line="253" w:lineRule="auto"/>
        <w:rPr>
          <w:sz w:val="20"/>
          <w:szCs w:val="20"/>
          <w:color w:val="auto"/>
        </w:rPr>
      </w:pPr>
      <w:r>
        <w:rPr>
          <w:rFonts w:ascii="Arial" w:cs="Arial" w:eastAsia="Arial" w:hAnsi="Arial"/>
          <w:sz w:val="18"/>
          <w:szCs w:val="18"/>
          <w:color w:val="auto"/>
        </w:rPr>
        <w:t>The Business Combination was accomplished through what is commonly referred to as an “Up-C” structure, which is often used by partnerships and limited liability companies undertaking an initial public offering. The Up-C structure allowed the Legacy WMH equity holders to retain their equity ownership in WMH LLC, an entity that is classified as a partnership for U.S. federal income tax purposes, in the form of Class A Units and Class P Units and provides potential future tax benefits for both us and the Unit holders when they ultimately exchange their pass-through interests for shares of Class A Common Stock. The Paired Interests are exchangeable on a one-for-one basis for shares of Class A common stock and the Class P Units, upon vesting, are exchangeable into shares of Class A Common Stock at a variable exchange ratio, of up to a one-for-one basis, that accounts for the participation threshold</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spacing w:after="0" w:line="342" w:lineRule="auto"/>
        <w:rPr>
          <w:sz w:val="20"/>
          <w:szCs w:val="20"/>
          <w:color w:val="auto"/>
        </w:rPr>
      </w:pPr>
      <w:r>
        <w:rPr>
          <w:rFonts w:ascii="Arial" w:cs="Arial" w:eastAsia="Arial" w:hAnsi="Arial"/>
          <w:sz w:val="16"/>
          <w:szCs w:val="16"/>
          <w:color w:val="auto"/>
        </w:rPr>
        <w:t>of the exchanged Class P Units. We are a holding company, and immediately after the consummation of the Business Combination, our principal asset is our ownership interest and managing member interest in WMH LLC.</w:t>
      </w:r>
    </w:p>
    <w:p>
      <w:pPr>
        <w:spacing w:after="0" w:line="16"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In December 2020, a number of purchasers subscribed to purchase from Silver Spike an aggregate of 32,500,000 shares of the Silver Spike’s Class A Common Stock (the “PIPE Shares”), for a purchase price of $10.00 per share and an aggregate purchase price of $325,000,000, pursuant to separate subscription agreements (each, a “Subscription Agreement”). The sale of PIPE Shares was consummated concurrently with the Closing.</w:t>
      </w:r>
    </w:p>
    <w:p>
      <w:pPr>
        <w:spacing w:after="0" w:line="49"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Our Class A Common Stock and Public Warrants are currently listed on Nasdaq under the symbols “MAPS” and “MAPSW,” respectively.</w:t>
      </w:r>
    </w:p>
    <w:p>
      <w:pPr>
        <w:spacing w:after="0" w:line="62" w:lineRule="exact"/>
        <w:rPr>
          <w:sz w:val="20"/>
          <w:szCs w:val="20"/>
          <w:color w:val="auto"/>
        </w:rPr>
      </w:pPr>
    </w:p>
    <w:p>
      <w:pPr>
        <w:jc w:val="both"/>
        <w:ind w:left="320" w:right="299" w:firstLine="360"/>
        <w:spacing w:after="0" w:line="273" w:lineRule="auto"/>
        <w:rPr>
          <w:sz w:val="20"/>
          <w:szCs w:val="20"/>
          <w:color w:val="auto"/>
        </w:rPr>
      </w:pPr>
      <w:r>
        <w:rPr>
          <w:rFonts w:ascii="Arial" w:cs="Arial" w:eastAsia="Arial" w:hAnsi="Arial"/>
          <w:sz w:val="17"/>
          <w:szCs w:val="17"/>
          <w:color w:val="auto"/>
        </w:rPr>
        <w:t>The rights of holders of our Class A Common Stock and Warrants are governed by our certificate of incorporation (our “Certificate of Incorporation”), our amended and restated bylaws (our “Bylaws”) and the Delaware General Corporation Law (the “DGCL”), and, in the case of the Warrants, the Warrant Agreement, dated as of August 7, 2019 (the “Warrant Agreement”), between Silver Spike and the Continental Stock Transfer &amp; Trust Company, as the warrant agent (in such capacity, the “Warrant Agent”). See the sections entitled “Description of our Securities” and “Certain Relationships and Related Party Transactions.”</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20" w:right="299" w:hanging="350"/>
        <w:spacing w:after="0" w:line="342" w:lineRule="auto"/>
        <w:tabs>
          <w:tab w:leader="none" w:pos="102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are currently subject to an ongoing inquiry by the U.S. Attorney’s Office for the Eastern District of California, the results of which could result in material liability and have an adverse effect on our business.</w:t>
      </w:r>
    </w:p>
    <w:p>
      <w:pPr>
        <w:spacing w:after="0" w:line="15" w:lineRule="exact"/>
        <w:rPr>
          <w:rFonts w:ascii="Arial" w:cs="Arial" w:eastAsia="Arial" w:hAnsi="Arial"/>
          <w:sz w:val="16"/>
          <w:szCs w:val="16"/>
          <w:color w:val="auto"/>
        </w:rPr>
      </w:pPr>
    </w:p>
    <w:p>
      <w:pPr>
        <w:jc w:val="both"/>
        <w:ind w:left="1020" w:right="299" w:hanging="350"/>
        <w:spacing w:after="0" w:line="27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20" w:right="299" w:hanging="350"/>
        <w:spacing w:after="0" w:line="27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473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847344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020" w:right="299" w:hanging="350"/>
        <w:spacing w:after="0" w:line="308"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320" w:right="279" w:firstLine="360"/>
        <w:spacing w:after="0" w:line="254" w:lineRule="auto"/>
        <w:rPr>
          <w:sz w:val="20"/>
          <w:szCs w:val="20"/>
          <w:color w:val="auto"/>
        </w:rPr>
      </w:pPr>
      <w:r>
        <w:rPr>
          <w:rFonts w:ascii="Arial" w:cs="Arial" w:eastAsia="Arial" w:hAnsi="Arial"/>
          <w:sz w:val="18"/>
          <w:szCs w:val="18"/>
          <w:color w:val="auto"/>
        </w:rPr>
        <w:t>We are an emerging growth company as defined in the Jumpstart Our Business Startups Act of 2012 (the “JOBS Act”). We will remain an emerging growth company under the JOBS Act until the earliest of (a) the last day of our first fiscal year following the fifth anniversary of Silver Spike’s IPO, (b) the last date of our fiscal year in which we have total annual gross revenue of at least $1.07 billion, (c) the date on which we are deemed to be a “large accelerated filer” under the rules of the SEC with at least $700.0 million of outstanding securities held by non-affiliates or (d) the date on which we have issued more than $1.0 billion in non-convertible debt securities during the previous three years.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1821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3405" cy="182118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20" w:right="279" w:firstLine="360"/>
        <w:spacing w:after="0" w:line="271" w:lineRule="auto"/>
        <w:rPr>
          <w:sz w:val="20"/>
          <w:szCs w:val="20"/>
          <w:color w:val="auto"/>
        </w:rPr>
      </w:pPr>
      <w:r>
        <w:rPr>
          <w:rFonts w:ascii="Arial" w:cs="Arial" w:eastAsia="Arial" w:hAnsi="Arial"/>
          <w:sz w:val="17"/>
          <w:szCs w:val="17"/>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70"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As a result, the information in this prospectus and that we provide to our investors in the future may be different than what you might receive from other public reporting companies.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90170</wp:posOffset>
            </wp:positionV>
            <wp:extent cx="5653405" cy="7753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3405" cy="775335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135" w:lineRule="exact"/>
        <w:rPr>
          <w:sz w:val="20"/>
          <w:szCs w:val="20"/>
          <w:color w:val="auto"/>
        </w:rPr>
      </w:pPr>
    </w:p>
    <w:p>
      <w:pPr>
        <w:ind w:left="1320"/>
        <w:spacing w:after="0"/>
        <w:tabs>
          <w:tab w:leader="none" w:pos="56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WM Technology, Inc. (f/k/a Silver Spike Acquisition</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Corp.).</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Issuance of Class A Common Stock</w:t>
      </w:r>
    </w:p>
    <w:p>
      <w:pPr>
        <w:sectPr>
          <w:pgSz w:w="11900" w:h="16838" w:orient="portrait"/>
          <w:cols w:equalWidth="0" w:num="1">
            <w:col w:w="11020"/>
          </w:cols>
          <w:pgMar w:left="440" w:top="265" w:right="439" w:bottom="1440" w:gutter="0" w:footer="0" w:header="0"/>
        </w:sectPr>
      </w:pPr>
    </w:p>
    <w:p>
      <w:pPr>
        <w:spacing w:after="0" w:line="148"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80" w:right="40" w:hanging="179"/>
        <w:spacing w:after="0" w:line="263" w:lineRule="auto"/>
        <w:rPr>
          <w:sz w:val="20"/>
          <w:szCs w:val="20"/>
          <w:color w:val="auto"/>
        </w:rPr>
      </w:pPr>
      <w:r>
        <w:rPr>
          <w:rFonts w:ascii="Arial" w:cs="Arial" w:eastAsia="Arial" w:hAnsi="Arial"/>
          <w:sz w:val="18"/>
          <w:szCs w:val="18"/>
          <w:color w:val="auto"/>
        </w:rPr>
        <w:t>Shares of Class A Common Stock Outstanding Prior to Exercise of All Warrants and Exchange of Paired Interests and Class P Units</w:t>
      </w:r>
    </w:p>
    <w:p>
      <w:pPr>
        <w:spacing w:after="0" w:line="116" w:lineRule="exact"/>
        <w:rPr>
          <w:sz w:val="20"/>
          <w:szCs w:val="20"/>
          <w:color w:val="auto"/>
        </w:rPr>
      </w:pPr>
    </w:p>
    <w:p>
      <w:pPr>
        <w:ind w:left="1480" w:hanging="179"/>
        <w:spacing w:after="0" w:line="263" w:lineRule="auto"/>
        <w:rPr>
          <w:sz w:val="20"/>
          <w:szCs w:val="20"/>
          <w:color w:val="auto"/>
        </w:rPr>
      </w:pPr>
      <w:r>
        <w:rPr>
          <w:rFonts w:ascii="Arial" w:cs="Arial" w:eastAsia="Arial" w:hAnsi="Arial"/>
          <w:sz w:val="18"/>
          <w:szCs w:val="18"/>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88" w:lineRule="auto"/>
        <w:rPr>
          <w:sz w:val="20"/>
          <w:szCs w:val="20"/>
          <w:color w:val="auto"/>
        </w:rPr>
      </w:pPr>
      <w:r>
        <w:rPr>
          <w:rFonts w:ascii="Arial" w:cs="Arial" w:eastAsia="Arial" w:hAnsi="Arial"/>
          <w:sz w:val="16"/>
          <w:szCs w:val="16"/>
          <w:color w:val="auto"/>
        </w:rPr>
        <w:t>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63,738,563 shares (as of June 16, 2021).</w:t>
      </w:r>
    </w:p>
    <w:p>
      <w:pPr>
        <w:spacing w:after="0" w:line="200" w:lineRule="exact"/>
        <w:rPr>
          <w:sz w:val="20"/>
          <w:szCs w:val="20"/>
          <w:color w:val="auto"/>
        </w:rPr>
      </w:pPr>
    </w:p>
    <w:p>
      <w:pPr>
        <w:spacing w:after="0" w:line="349" w:lineRule="exact"/>
        <w:rPr>
          <w:sz w:val="20"/>
          <w:szCs w:val="20"/>
          <w:color w:val="auto"/>
        </w:rPr>
      </w:pPr>
    </w:p>
    <w:p>
      <w:pPr>
        <w:jc w:val="both"/>
        <w:ind w:right="1300"/>
        <w:spacing w:after="0" w:line="277" w:lineRule="auto"/>
        <w:rPr>
          <w:sz w:val="20"/>
          <w:szCs w:val="20"/>
          <w:color w:val="auto"/>
        </w:rPr>
      </w:pPr>
      <w:r>
        <w:rPr>
          <w:rFonts w:ascii="Arial" w:cs="Arial" w:eastAsia="Arial" w:hAnsi="Arial"/>
          <w:sz w:val="18"/>
          <w:szCs w:val="18"/>
          <w:color w:val="auto"/>
        </w:rPr>
        <w:t>174,636,240 shares (based on total shares outstanding as of June 16, 2021).</w:t>
      </w:r>
    </w:p>
    <w:p>
      <w:pPr>
        <w:spacing w:after="0" w:line="103" w:lineRule="exact"/>
        <w:rPr>
          <w:sz w:val="20"/>
          <w:szCs w:val="20"/>
          <w:color w:val="auto"/>
        </w:rPr>
      </w:pPr>
    </w:p>
    <w:p>
      <w:pPr>
        <w:sectPr>
          <w:pgSz w:w="11900" w:h="16838" w:orient="portrait"/>
          <w:cols w:equalWidth="0" w:num="2">
            <w:col w:w="5300" w:space="340"/>
            <w:col w:w="5380"/>
          </w:cols>
          <w:pgMar w:left="440" w:top="265" w:right="439" w:bottom="1440" w:gutter="0" w:footer="0" w:header="0"/>
          <w:type w:val="continuous"/>
        </w:sectPr>
      </w:pPr>
    </w:p>
    <w:p>
      <w:pPr>
        <w:ind w:left="1320"/>
        <w:spacing w:after="0"/>
        <w:tabs>
          <w:tab w:leader="none" w:pos="5620" w:val="left"/>
        </w:tabs>
        <w:rPr>
          <w:sz w:val="20"/>
          <w:szCs w:val="20"/>
          <w:color w:val="auto"/>
        </w:rPr>
      </w:pPr>
      <w:r>
        <w:rPr>
          <w:rFonts w:ascii="Arial" w:cs="Arial" w:eastAsia="Arial" w:hAnsi="Arial"/>
          <w:sz w:val="18"/>
          <w:szCs w:val="18"/>
          <w:color w:val="auto"/>
        </w:rPr>
        <w:t>Exercise Price of Warrants</w:t>
      </w:r>
      <w:r>
        <w:rPr>
          <w:sz w:val="20"/>
          <w:szCs w:val="20"/>
          <w:color w:val="auto"/>
        </w:rPr>
        <w:tab/>
      </w:r>
      <w:r>
        <w:rPr>
          <w:rFonts w:ascii="Arial" w:cs="Arial" w:eastAsia="Arial" w:hAnsi="Arial"/>
          <w:sz w:val="17"/>
          <w:szCs w:val="17"/>
          <w:color w:val="auto"/>
        </w:rPr>
        <w:t>$11.50 per share, subject to adjustment as described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herein.</w:t>
      </w:r>
    </w:p>
    <w:p>
      <w:pPr>
        <w:spacing w:after="0" w:line="130" w:lineRule="exact"/>
        <w:rPr>
          <w:sz w:val="20"/>
          <w:szCs w:val="20"/>
          <w:color w:val="auto"/>
        </w:rPr>
      </w:pPr>
    </w:p>
    <w:p>
      <w:pPr>
        <w:ind w:left="1320"/>
        <w:spacing w:after="0"/>
        <w:tabs>
          <w:tab w:leader="none" w:pos="56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7"/>
          <w:szCs w:val="17"/>
          <w:color w:val="auto"/>
        </w:rPr>
        <w:t>We will receive up to an aggregate of approximately</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$224.3  million  from  the  exercise  of  the  Warrants,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assuming the exercise in full of all of the Warrants for</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cash. We expect to use the net proceeds from the</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exercise of the Warrants for general corporate purposes.</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See the section entitled “Use of Proceeds.”</w:t>
      </w:r>
    </w:p>
    <w:p>
      <w:pPr>
        <w:spacing w:after="0" w:line="139"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Shares of Class A Common Stock Offered by the</w:t>
      </w:r>
    </w:p>
    <w:p>
      <w:pPr>
        <w:spacing w:after="0" w:line="23" w:lineRule="exact"/>
        <w:rPr>
          <w:sz w:val="20"/>
          <w:szCs w:val="20"/>
          <w:color w:val="auto"/>
        </w:rPr>
      </w:pPr>
    </w:p>
    <w:p>
      <w:pPr>
        <w:ind w:left="1480"/>
        <w:spacing w:after="0"/>
        <w:tabs>
          <w:tab w:leader="none" w:pos="5620" w:val="left"/>
        </w:tabs>
        <w:rPr>
          <w:sz w:val="20"/>
          <w:szCs w:val="20"/>
          <w:color w:val="auto"/>
        </w:rPr>
      </w:pPr>
      <w:r>
        <w:rPr>
          <w:rFonts w:ascii="Arial" w:cs="Arial" w:eastAsia="Arial" w:hAnsi="Arial"/>
          <w:sz w:val="18"/>
          <w:szCs w:val="18"/>
          <w:color w:val="auto"/>
        </w:rPr>
        <w:t>Selling Securityholders</w:t>
      </w:r>
      <w:r>
        <w:rPr>
          <w:sz w:val="20"/>
          <w:szCs w:val="20"/>
          <w:color w:val="auto"/>
        </w:rPr>
        <w:tab/>
      </w:r>
      <w:r>
        <w:rPr>
          <w:rFonts w:ascii="Arial" w:cs="Arial" w:eastAsia="Arial" w:hAnsi="Arial"/>
          <w:sz w:val="16"/>
          <w:szCs w:val="16"/>
          <w:color w:val="auto"/>
        </w:rPr>
        <w:t>Up to (i) 105,014,011 shares of Class A Common Stock,</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consisting  of  (i)  38,750,000  issued  and  outstanding</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shares of Class A Common Stock, (ii) 59,264,011 shares</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of Class A Common Stock issuable upon exchange of</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such Selling Securityholder’s Paired Interests or Class P</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Units and (iii) 7,000,000 shares of Class A Common</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Stock issuable upon exercise of the Private Placement</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Warrants.</w:t>
      </w:r>
    </w:p>
    <w:p>
      <w:pPr>
        <w:sectPr>
          <w:pgSz w:w="11900" w:h="16838" w:orient="portrait"/>
          <w:cols w:equalWidth="0" w:num="1">
            <w:col w:w="11020"/>
          </w:cols>
          <w:pgMar w:left="440" w:top="265" w:right="439" w:bottom="1440" w:gutter="0" w:footer="0" w:header="0"/>
          <w:type w:val="continuous"/>
        </w:sectPr>
      </w:pPr>
    </w:p>
    <w:p>
      <w:pPr>
        <w:spacing w:after="0" w:line="143" w:lineRule="exact"/>
        <w:rPr>
          <w:sz w:val="20"/>
          <w:szCs w:val="20"/>
          <w:color w:val="auto"/>
        </w:rPr>
      </w:pPr>
    </w:p>
    <w:p>
      <w:pPr>
        <w:ind w:left="1320" w:right="140"/>
        <w:spacing w:after="0" w:line="481" w:lineRule="auto"/>
        <w:rPr>
          <w:sz w:val="20"/>
          <w:szCs w:val="20"/>
          <w:color w:val="auto"/>
        </w:rPr>
      </w:pPr>
      <w:r>
        <w:rPr>
          <w:rFonts w:ascii="Arial" w:cs="Arial" w:eastAsia="Arial" w:hAnsi="Arial"/>
          <w:sz w:val="18"/>
          <w:szCs w:val="18"/>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7,000,000 Private Placement Warrants.</w:t>
      </w:r>
    </w:p>
    <w:p>
      <w:pPr>
        <w:spacing w:after="0" w:line="158" w:lineRule="exact"/>
        <w:rPr>
          <w:sz w:val="20"/>
          <w:szCs w:val="20"/>
          <w:color w:val="auto"/>
        </w:rPr>
      </w:pPr>
    </w:p>
    <w:p>
      <w:pPr>
        <w:jc w:val="both"/>
        <w:ind w:right="1300"/>
        <w:spacing w:after="0" w:line="286" w:lineRule="auto"/>
        <w:rPr>
          <w:sz w:val="20"/>
          <w:szCs w:val="20"/>
          <w:color w:val="auto"/>
        </w:rPr>
      </w:pPr>
      <w:r>
        <w:rPr>
          <w:rFonts w:ascii="Arial" w:cs="Arial" w:eastAsia="Arial" w:hAnsi="Arial"/>
          <w:sz w:val="17"/>
          <w:szCs w:val="17"/>
          <w:color w:val="auto"/>
        </w:rPr>
        <w:t>The Warrants are redeemable in certain circumstances. See the section entitled “Description of our Securities— Warrants” for further discussion.</w:t>
      </w:r>
    </w:p>
    <w:p>
      <w:pPr>
        <w:spacing w:after="0" w:line="98" w:lineRule="exact"/>
        <w:rPr>
          <w:sz w:val="20"/>
          <w:szCs w:val="20"/>
          <w:color w:val="auto"/>
        </w:rPr>
      </w:pPr>
    </w:p>
    <w:p>
      <w:pPr>
        <w:sectPr>
          <w:pgSz w:w="11900" w:h="16838" w:orient="portrait"/>
          <w:cols w:equalWidth="0" w:num="2">
            <w:col w:w="4920" w:space="720"/>
            <w:col w:w="5380"/>
          </w:cols>
          <w:pgMar w:left="440" w:top="265" w:right="4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2880" w:type="dxa"/>
            <w:vAlign w:val="bottom"/>
          </w:tcPr>
          <w:p>
            <w:pPr>
              <w:ind w:left="240"/>
              <w:spacing w:after="0"/>
              <w:rPr>
                <w:sz w:val="20"/>
                <w:szCs w:val="20"/>
                <w:color w:val="auto"/>
              </w:rPr>
            </w:pPr>
            <w:r>
              <w:rPr>
                <w:rFonts w:ascii="Arial" w:cs="Arial" w:eastAsia="Arial" w:hAnsi="Arial"/>
                <w:sz w:val="18"/>
                <w:szCs w:val="18"/>
                <w:color w:val="auto"/>
              </w:rPr>
              <w:t>Use of Proceeds</w:t>
            </w:r>
          </w:p>
        </w:tc>
        <w:tc>
          <w:tcPr>
            <w:tcW w:w="7060" w:type="dxa"/>
            <w:vAlign w:val="bottom"/>
            <w:gridSpan w:val="2"/>
          </w:tcPr>
          <w:p>
            <w:pPr>
              <w:ind w:left="1680"/>
              <w:spacing w:after="0"/>
              <w:rPr>
                <w:sz w:val="20"/>
                <w:szCs w:val="20"/>
                <w:color w:val="auto"/>
              </w:rPr>
            </w:pPr>
            <w:r>
              <w:rPr>
                <w:rFonts w:ascii="Arial" w:cs="Arial" w:eastAsia="Arial" w:hAnsi="Arial"/>
                <w:sz w:val="18"/>
                <w:szCs w:val="18"/>
                <w:color w:val="auto"/>
              </w:rPr>
              <w:t>We will not receive any proceeds from the sale of shares</w:t>
            </w:r>
          </w:p>
        </w:tc>
      </w:tr>
      <w:tr>
        <w:trPr>
          <w:trHeight w:val="216"/>
        </w:trPr>
        <w:tc>
          <w:tcPr>
            <w:tcW w:w="10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7060" w:type="dxa"/>
            <w:vAlign w:val="bottom"/>
            <w:gridSpan w:val="2"/>
          </w:tcPr>
          <w:p>
            <w:pPr>
              <w:ind w:left="1680"/>
              <w:spacing w:after="0"/>
              <w:rPr>
                <w:sz w:val="20"/>
                <w:szCs w:val="20"/>
                <w:color w:val="auto"/>
              </w:rPr>
            </w:pPr>
            <w:r>
              <w:rPr>
                <w:rFonts w:ascii="Arial" w:cs="Arial" w:eastAsia="Arial" w:hAnsi="Arial"/>
                <w:sz w:val="18"/>
                <w:szCs w:val="18"/>
                <w:color w:val="auto"/>
              </w:rPr>
              <w:t>of Class A Common Stock or Warrants by the Selling</w:t>
            </w:r>
          </w:p>
        </w:tc>
      </w:tr>
      <w:tr>
        <w:trPr>
          <w:trHeight w:val="230"/>
        </w:trPr>
        <w:tc>
          <w:tcPr>
            <w:tcW w:w="10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60" w:type="dxa"/>
            <w:vAlign w:val="bottom"/>
            <w:gridSpan w:val="2"/>
          </w:tcPr>
          <w:p>
            <w:pPr>
              <w:ind w:left="1680"/>
              <w:spacing w:after="0"/>
              <w:rPr>
                <w:sz w:val="20"/>
                <w:szCs w:val="20"/>
                <w:color w:val="auto"/>
              </w:rPr>
            </w:pPr>
            <w:r>
              <w:rPr>
                <w:rFonts w:ascii="Arial" w:cs="Arial" w:eastAsia="Arial" w:hAnsi="Arial"/>
                <w:sz w:val="18"/>
                <w:szCs w:val="18"/>
                <w:color w:val="auto"/>
              </w:rPr>
              <w:t>Securityholders.</w:t>
            </w:r>
          </w:p>
        </w:tc>
      </w:tr>
      <w:tr>
        <w:trPr>
          <w:trHeight w:val="213"/>
        </w:trPr>
        <w:tc>
          <w:tcPr>
            <w:tcW w:w="1080" w:type="dxa"/>
            <w:vAlign w:val="bottom"/>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6020" w:type="dxa"/>
            <w:vAlign w:val="bottom"/>
            <w:tcBorders>
              <w:bottom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0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020" w:type="dxa"/>
            <w:vAlign w:val="bottom"/>
          </w:tcPr>
          <w:p>
            <w:pPr>
              <w:jc w:val="right"/>
              <w:ind w:right="4350"/>
              <w:spacing w:after="0"/>
              <w:rPr>
                <w:sz w:val="20"/>
                <w:szCs w:val="20"/>
                <w:color w:val="auto"/>
              </w:rPr>
            </w:pPr>
            <w:r>
              <w:rPr>
                <w:rFonts w:ascii="Arial" w:cs="Arial" w:eastAsia="Arial" w:hAnsi="Arial"/>
                <w:sz w:val="18"/>
                <w:szCs w:val="18"/>
                <w:color w:val="auto"/>
              </w:rPr>
              <w:t>5</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60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type w:val="continuous"/>
        </w:sectPr>
      </w:pPr>
    </w:p>
    <w:bookmarkStart w:id="11" w:name="page12"/>
    <w:bookmarkEnd w:id="11"/>
    <w:p>
      <w:pPr>
        <w:ind w:left="10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406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Lock-Up Restrictions</w:t>
            </w:r>
          </w:p>
        </w:tc>
        <w:tc>
          <w:tcPr>
            <w:tcW w:w="48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Certain  of  our  stockholders  are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restrictions  on  transfer  until  the  termination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applicable  lock-up  periods.  See  the  section  entitled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7"/>
              </w:rPr>
              <w:t>“Certain Relationships and Related Party Transactions”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for further discussion.</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w w:val="98"/>
              </w:rPr>
              <w:t>Market for Class A Common Stock and Warrants</w:t>
            </w: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Our Class A Common Stock and Public Warrants are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currently traded on Nasdaq under the symbols “MAPS”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and “MAPSW,” respectively.</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4060" w:type="dxa"/>
            <w:vAlign w:val="bottom"/>
          </w:tcPr>
          <w:p>
            <w:pPr>
              <w:ind w:left="220"/>
              <w:spacing w:after="0"/>
              <w:rPr>
                <w:sz w:val="20"/>
                <w:szCs w:val="20"/>
                <w:color w:val="auto"/>
              </w:rPr>
            </w:pPr>
            <w:r>
              <w:rPr>
                <w:rFonts w:ascii="Arial" w:cs="Arial" w:eastAsia="Arial" w:hAnsi="Arial"/>
                <w:sz w:val="18"/>
                <w:szCs w:val="18"/>
                <w:color w:val="auto"/>
              </w:rPr>
              <w:t>Risk Factors</w:t>
            </w: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w w:val="98"/>
              </w:rPr>
              <w:t>information included in this prospectus for a discussion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060" w:type="dxa"/>
            <w:vAlign w:val="bottom"/>
          </w:tcPr>
          <w:p>
            <w:pPr>
              <w:spacing w:after="0"/>
              <w:rPr>
                <w:sz w:val="18"/>
                <w:szCs w:val="18"/>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of factors you should consider before investing in our</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060" w:type="dxa"/>
            <w:vAlign w:val="bottom"/>
          </w:tcPr>
          <w:p>
            <w:pPr>
              <w:spacing w:after="0"/>
              <w:rPr>
                <w:sz w:val="20"/>
                <w:szCs w:val="20"/>
                <w:color w:val="auto"/>
              </w:rPr>
            </w:pPr>
          </w:p>
        </w:tc>
        <w:tc>
          <w:tcPr>
            <w:tcW w:w="4820" w:type="dxa"/>
            <w:vAlign w:val="bottom"/>
            <w:tcBorders>
              <w:right w:val="single" w:sz="8" w:color="auto"/>
            </w:tcBorders>
          </w:tcPr>
          <w:p>
            <w:pPr>
              <w:ind w:left="480"/>
              <w:spacing w:after="0"/>
              <w:rPr>
                <w:sz w:val="20"/>
                <w:szCs w:val="20"/>
                <w:color w:val="auto"/>
              </w:rPr>
            </w:pPr>
            <w:r>
              <w:rPr>
                <w:rFonts w:ascii="Arial" w:cs="Arial" w:eastAsia="Arial" w:hAnsi="Arial"/>
                <w:sz w:val="18"/>
                <w:szCs w:val="18"/>
                <w:color w:val="auto"/>
              </w:rPr>
              <w:t>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4060" w:type="dxa"/>
            <w:vAlign w:val="bottom"/>
            <w:tcBorders>
              <w:bottom w:val="single" w:sz="8" w:color="auto"/>
            </w:tcBorders>
          </w:tcPr>
          <w:p>
            <w:pPr>
              <w:spacing w:after="0"/>
              <w:rPr>
                <w:sz w:val="18"/>
                <w:szCs w:val="18"/>
                <w:color w:val="auto"/>
              </w:rPr>
            </w:pPr>
          </w:p>
        </w:tc>
        <w:tc>
          <w:tcPr>
            <w:tcW w:w="482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820" w:type="dxa"/>
            <w:vAlign w:val="bottom"/>
          </w:tcPr>
          <w:p>
            <w:pPr>
              <w:ind w:left="300"/>
              <w:spacing w:after="0"/>
              <w:rPr>
                <w:sz w:val="20"/>
                <w:szCs w:val="20"/>
                <w:color w:val="auto"/>
              </w:rPr>
            </w:pPr>
            <w:r>
              <w:rPr>
                <w:rFonts w:ascii="Arial" w:cs="Arial" w:eastAsia="Arial" w:hAnsi="Arial"/>
                <w:sz w:val="18"/>
                <w:szCs w:val="18"/>
                <w:color w:val="auto"/>
              </w:rPr>
              <w:t>6</w:t>
            </w: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business is subject to a number of risks of which you should be aware before making a decision to invest in our common stock. These risks include, among others,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319" w:hanging="348"/>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currently subject to an ongoing inquiry by the U.S. Attorney’s Office for the Eastern District of California, the results of which could result in material liability and have an adverse effect on our business.</w:t>
      </w:r>
    </w:p>
    <w:p>
      <w:pPr>
        <w:spacing w:after="0" w:line="15" w:lineRule="exact"/>
        <w:rPr>
          <w:rFonts w:ascii="Arial" w:cs="Arial" w:eastAsia="Arial" w:hAnsi="Arial"/>
          <w:sz w:val="16"/>
          <w:szCs w:val="16"/>
          <w:color w:val="auto"/>
        </w:rPr>
      </w:pPr>
    </w:p>
    <w:p>
      <w:pPr>
        <w:jc w:val="both"/>
        <w:ind w:left="1000" w:right="299" w:hanging="348"/>
        <w:spacing w:after="0" w:line="272"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6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While our revenue has grown in recent periods, this growth may not be sustainable due to a number of factors, including the maturation of our business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68" w:lineRule="exact"/>
        <w:rPr>
          <w:sz w:val="20"/>
          <w:szCs w:val="20"/>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hiring of additional employees, including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 and</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to our platform and expect to incur significant additional costs to attract and retain clients for the foreseeable future. Because expenditures on our platform can represent a significant financial investment for our clients, our ability to retain clients depends in part on our ability to create and maintain high levels of client satisfaction, which we may not always be capable of providing, including for reasons outside of our control. Our clients generally do not have long-term obligations to purchase our products and solutions and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have limited experience in determining the optimal pricing of our products and solutions, and we may need to change our pricing model from time to time. For example, we recently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expand effectively into new markets, our revenue and business will be adversely affected.</w:t>
      </w:r>
    </w:p>
    <w:p>
      <w:pPr>
        <w:spacing w:after="0" w:line="14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For example, in 2020, we re-launched our sales and marketing efforts in the state of Oregon, and we have incurred and expect to continue to incur significant expenses selling our business solutions and marketing our platform in that market.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64.0% of our revenue for the three months ended March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w:t>
      </w:r>
    </w:p>
    <w:p>
      <w:pPr>
        <w:spacing w:after="0" w:line="32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7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315"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We are currently subject to an ongoing inquiry by the U.S. Attorney’s Office for the Eastern District of California, the results of which could result in material liability and have an adverse effect on our business.</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September 2019, we received a grand-jury subpoena from the U.S. Attorney’s Office for the Eastern District of California, requiring the production of a broad range of documents related to our business, personnel, finances, and operations, including documents related to our dealings with various companies in the cannabis industry. We are fully cooperating with the inquiry. We cannot estimate at this time the potential impact that this inquiry and any results from this inquiry or any related proceedings could have on our business, operating results, financial condition, brand, and reputation. However, the very existence of the inquiry and our response to it could adversely impact our reputation, including our consumers’ and clients’ perception of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cooperation with this inquiry may be time-consuming and require a great deal of financial resources and attention from us and our senior management. If, as a result of this inquiry, the U.S. Attorney’s Office initiates legal proceedings against us, we may be subject to significant financial consequences, including criminal fines and penalties, or criminal or civil forfeitures of funds or other property. We also might be required to enter into a settlement with the government resulting in a substantial payment to the government. The conduct that is the subject of the U.S. Attorney’s investigation could also form the basis for private civil litigation by third parties claiming damages from such conduct. In addition, if the U.S. Attorney’s Office or third parties challenge the legality of some of our existing business practices, we may have to change those practices, which could severely impact our business strategy and growth. Any of these consequences could have an adverse effect on our business, operating results, financial condition, brand, and reputation.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licensed status of our clients operating cannabis retail businesses, where we have historically and currently require such clients who request access to our WM Orders, WM Store’s orders feature, WM Ads, WM Retail, or WM Exchange products to provide evidence of a valid state or provincial cannabis license prior to their initial access and from time to time during the term of their use of such products. We have recently begun requiring similar evidence for retail listings clients. Previously, we only required retail listings and premium placement clients to provide us with a state license number at the time we initially onboarded them, and did not routinely validate whether that license number actually belonged to the client or whether it remains valid. We require all operational cannabis retailer clients, including storefronts and delivery services, to display on their WMH listing a valid, unexpired state-issued license number. We also do not currently require cannabis brand clients to provide a valid license number in order to get access to our listings and premium placement products. As a result, some of our clients or their listings currently and in the future may not be in compliance with licensing and related requirements under applicable state laws and regulations. There could be legal enforcement actions against unlicensed or insufficiently licensed entities selling cannabis, which could negatively impact us.</w:t>
      </w:r>
    </w:p>
    <w:p>
      <w:pPr>
        <w:spacing w:after="0" w:line="8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firstLine="360"/>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6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 our business plan, and could detrimentally affect our operations, revenue, and profitability.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15"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cannabis information market and related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allows cannabis businesses to deliver products in local jurisdictions that have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64.0% of our revenue for the three months ended March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39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w:t>
      </w:r>
    </w:p>
    <w:p>
      <w:pPr>
        <w:spacing w:after="0" w:line="4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 Moreover, our platform has evolved substantially since we were founded in 2008. Consumers who were familiar with earlier iterations of our platform may not be aware of our increased functionality (such as WM Orders and WM Store) and as a result may turn to competitors for similar offerings.</w:t>
      </w:r>
    </w:p>
    <w:p>
      <w:pPr>
        <w:spacing w:after="0" w:line="35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 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53"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partners or others associated with any of these parties;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 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marketing budgets.</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259"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manage our growth effectively, our brand, business and operating results could be harmed.</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30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62"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future success depends on our ability to recruit, train, retain and motivate key personnel, including Christopher Beals, our Chief Executive Officer; Brian Camire, our General Counsel; Justin Dean, our Chief Technology Officer and Chief Information Officer; and Juanjo Feijoo, our Chief Operating Officer; and Arden Lee, our Chief Financial Officer. Competition for qualified personnel in the technology industry is intense, particularly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Southern California, where we are headquartered. Additionally, we face additional challenges in attracting, retaining and motivating highly qualified personnel due to our relationship to the cannabis industry, which is rapidly evolving and has varying levels of social acceptance. We do not maintain fixed term employment contracts or key man life insurance with any of our employees. Any failure to attract, train, retain and motivate qualified personnel could materially harm our operating results and growth prospects.</w:t>
      </w:r>
    </w:p>
    <w:p>
      <w:pPr>
        <w:spacing w:after="0" w:line="1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Many consumers locate our website through internet search engines, like Google, and paid digital advertisements in certain jurisdictions. The prominence of our website in response to internet searches is a critical 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82"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may need to employ more resource-intensive sales methods, such as increasing our enterprise or field sales teams,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9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platform is available for download on iOS and Android, and is also accessible online. As of March 31, 2021, our mobile application platform was downloaded approximately 8.8 million times on iOS and approximately 5.2 million times on Android.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For example, we are unable to offer our WM Orders functionality in our iOS Weedmaps mobile application or in our Android Weedmaps mobile application due to restrictions imposed by the Apple iTunes App Store and Google Play, respectively. While our platform is still available in the Apple iTunes App Store and on Google Play for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95"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 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5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1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and cannabis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9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16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 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7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to regulatory investigations and enforcement and negative publicity, and may cause our clients and consumers to lose confidence in the effectiveness of our data security measures.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5"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firstLine="360"/>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connection with the COVID-19 pandemic, governments have implemented significant measures intended to control the spread of the virus, including closures, quarantines, travel restrictions and other social distancing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directives, and fiscal stimulus, and legislation designed to deliver monetary aid and other relief. In response to the risks posed by the COVID-19 pandemic and to comply with applicable governmental orders, we have taken active measures to promote health and safety, including requiring substantially all of our employees to work remotely, implementing additional safety protocols for any employees working onsite, and distributing masks to our employees. These and other operational changes we have implemented or may implement in the future may negatively impact productivity and disrupt our business.</w:t>
      </w:r>
    </w:p>
    <w:p>
      <w:pPr>
        <w:spacing w:after="0" w:line="8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To the extent that these restrictions remain in place, additional prevention and mitigation measures are implemented in the future, or there is uncertainty about the effectiveness of these or any other measures to contain or treat COVID-19, there is likely to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(including from technology services fees relating to product reservation orders submitted prior to December 31, 2020, although such per order fee has been eliminated effective January 1, 2021). Although we experienced increased consumer demand in the form of increases in MAU, which grew from 7.4 million in February 2020 to 9.1 million in March 2021,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7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70" w:lineRule="auto"/>
        <w:tabs>
          <w:tab w:leader="none" w:pos="573"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extent of COVID-19’s effect on our operational and financial performance will depend on future developments, including the duration, spread and intensity of the pandemic,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Fluctuations in our quarterly and annual operating results may adversely affect our business and prospects.</w:t>
      </w:r>
    </w:p>
    <w:p>
      <w:pPr>
        <w:spacing w:after="0" w:line="15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sell our offerings in the United States and Canada, and we have a limited number of non-monetized listings in several international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76" w:lineRule="exact"/>
        <w:rPr>
          <w:sz w:val="20"/>
          <w:szCs w:val="20"/>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6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 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6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 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3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jc w:val="both"/>
        <w:ind w:left="1000" w:right="319" w:hanging="348"/>
        <w:spacing w:after="0" w:line="275"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 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68" w:lineRule="exact"/>
        <w:rPr>
          <w:rFonts w:ascii="Arial" w:cs="Arial" w:eastAsia="Arial" w:hAnsi="Arial"/>
          <w:sz w:val="17"/>
          <w:szCs w:val="17"/>
          <w:color w:val="auto"/>
        </w:rPr>
      </w:pPr>
    </w:p>
    <w:p>
      <w:pPr>
        <w:jc w:val="both"/>
        <w:ind w:left="1000" w:right="299" w:hanging="348"/>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We do not collect sales and value-added tax as part of our client agreements in the United States or Canada, based on our determination that such tax is not applicable to our platform. Sales and use, value-added, and similar 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w:t>
      </w:r>
      <w:r>
        <w:rPr>
          <w:rFonts w:ascii="Arial" w:cs="Arial" w:eastAsia="Arial" w:hAnsi="Arial"/>
          <w:sz w:val="17"/>
          <w:szCs w:val="17"/>
          <w:i w:val="1"/>
          <w:iCs w:val="1"/>
          <w:color w:val="auto"/>
        </w:rPr>
        <w:t>South Dakota v. Wayfair</w:t>
      </w:r>
      <w:r>
        <w:rPr>
          <w:rFonts w:ascii="Arial" w:cs="Arial" w:eastAsia="Arial" w:hAnsi="Arial"/>
          <w:sz w:val="17"/>
          <w:szCs w:val="17"/>
          <w:color w:val="auto"/>
        </w:rPr>
        <w:t xml:space="preserve">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a limited liability company that is treated as a partnership for U.S. federal and most applicable state and local income tax purposes. As a result, we generally are not liable for U.S. federal or state and local income taxes in most jurisdictions in which we operate. 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Changes in accounting standards or other factors could negatively impact our future effective tax rate.</w:t>
      </w:r>
    </w:p>
    <w:p>
      <w:pPr>
        <w:spacing w:after="0" w:line="14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believe that our tax estimates are reasonable, we cannot ensure that the final determination of tax audits or tax disputes will not be different from what is reflected in our historical income tax provisions and accruals.</w:t>
      </w:r>
    </w:p>
    <w:p>
      <w:pPr>
        <w:spacing w:after="0" w:line="1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a public company, we will incur significant legal, accounting and other expenses that we did not incur as a private company, and these expenses may increase even more after we are no longer an emerging growth company, as 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65"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qualify as an “emerging growth company” and a “smaller reporting company” within the meaning of the Securities Act, and if we take advantage of certain exemptions from disclosure requirements available to emerging growth companies, it could make our securities less attractive to investors and may make it more difficult to compare our performance to the performance of other public companies.</w:t>
      </w:r>
    </w:p>
    <w:p>
      <w:pPr>
        <w:spacing w:after="0" w:line="79"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We will qualify as an “emerging growth company” as defined in Section 2(a)(19) of the Securities Act, as modified by the JOBS Act. As such, we are eligible for and intend to take advantage of certain exemptions from various reporting requirements applicable to other public companies that are not emerging growth companies for as long as we continues to be an emerging growth company, including, but not limited to, (a) not being required to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comply with the auditor attestation requirements of Section 404 of the Sarbanes- Oxley Act, (b) reduced disclosure obligations regarding executive compensation in our periodic reports and proxy statements and (c) exemptions from the requirements of holding a nonbinding advisory vote on executive compensation and stockholder approval of any golden parachute payments not previously approved. As a result, our stockholders may not have access to certain information they may deem important. We will remain an emerging growth company until the earliest of (i) the last day of the fiscal year in which the market value of our Common Stock that is held by non-affiliates exceeds $700 million as of June 30 of that fiscal year, (ii) the last day of the fiscal year in which it has total annual gross revenue of $1.07 billion or more during such fiscal year (as indexed for inflation), (iii) the date on which it has issued more than $1 billion in non-convertible debt in the prior three-year period or (iv) the last day of the fiscal year following the fifth anniversary of the date of the first sale of our Common Stock in the IPO. We cannot predict whether investors will find our securities less attractive because it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 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smaller reporting company which has opted out of using the extended transition period difficult or impossible because of the potential differences in accounting standards used.</w:t>
      </w:r>
    </w:p>
    <w:p>
      <w:pPr>
        <w:spacing w:after="0" w:line="7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Even after we no longer qualify as an “emerging growth company,” we may still qualify as a “smaller reporting company,” which would allow us to continue to take advantage of many of the same exemptions from disclosure requirements, including, among other things, not being required to comply with the auditor attestation requirements of Section 404 of the Sarbanes-Oxley Act, presenting only the two most recent fiscal years of audited financial statements in our Annual Report on Form 10-K and reduced disclosure obligations regarding executive compensation in this prospectus and our periodic reports and proxy statements.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At the Closing, our affiliates, executive officers, directors and their respective affiliates as a group beneficially own approximately 46.2%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8" w:lineRule="auto"/>
        <w:rPr>
          <w:sz w:val="20"/>
          <w:szCs w:val="20"/>
          <w:color w:val="auto"/>
        </w:rPr>
      </w:pPr>
      <w:r>
        <w:rPr>
          <w:rFonts w:ascii="Arial" w:cs="Arial" w:eastAsia="Arial" w:hAnsi="Arial"/>
          <w:sz w:val="17"/>
          <w:szCs w:val="17"/>
          <w:color w:val="auto"/>
        </w:rPr>
        <w:t>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 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8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19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7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Public Warrants.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Furthermore, under the Amended and Restated Registration Rights Agreement (as defined below) and the Subscription Agreement, we agreed to file within 45 days and 15 business days, respectively, of the Closing a resale shelf registration statement covering the resale of all registrable securities.</w:t>
      </w:r>
    </w:p>
    <w:p>
      <w:pPr>
        <w:spacing w:after="0" w:line="184" w:lineRule="exact"/>
        <w:rPr>
          <w:sz w:val="20"/>
          <w:szCs w:val="20"/>
          <w:color w:val="auto"/>
        </w:rPr>
      </w:pPr>
    </w:p>
    <w:p>
      <w:pPr>
        <w:jc w:val="both"/>
        <w:ind w:left="300" w:right="319" w:firstLine="360"/>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90"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21"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16" w:lineRule="exact"/>
        <w:rPr>
          <w:rFonts w:ascii="Arial" w:cs="Arial" w:eastAsia="Arial" w:hAnsi="Arial"/>
          <w:sz w:val="17"/>
          <w:szCs w:val="17"/>
          <w:color w:val="auto"/>
        </w:rPr>
      </w:pPr>
    </w:p>
    <w:p>
      <w:pPr>
        <w:ind w:left="1000" w:hanging="348"/>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 Clients may choose to allocate their spending to items other than our platform, especially during economic downturns.</w:t>
      </w:r>
    </w:p>
    <w:p>
      <w:pPr>
        <w:spacing w:after="0" w:line="7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35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314"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the Warrants of $11.50 per share. The Public Warrants are listed on Nasdaq under the symbol “MAPSW.”</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or Warrants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Class A Common Stock and Public Warrants are currently listed on Nasdaq under the symbols “MAPS” and “MAPSW,” respectively. Prior to the consummation of the Business Combination, our Class A Common Stock and our Public Warrants were listed on Nasdaq under the symbols “SSPKU” and “SSPKW,” respectively. As of June 16, 2021, following the completion of the Business Combination, there 63,738,563 shares of Class A Common Stock issued and outstanding held of record by 70 holders, 65,502,347 shares of Class V Common Stock issued and outstanding held of record by 23 holders and 19,499,993 Warrants outstanding held of record by two holders. No market exists for the Class V Common Stock. We currently do not intend to list the Private Placement Warrants offered hereby on any stock exchange or stock market.</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the we or our subsidiaries incur. We do not anticipate declaring any cash dividends to holders of Common Stock in the foreseeable future.</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As of June 16, 2021, we did not have any securities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4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shares of Class A Common Stock issued or issuable under the 2021 Plan. Any such Form S-8 registration statement will become effective automatically upon filing. We expect that the initial registration statement on Form S-8 will cover shares of Class A Common Stock underlying the 2021 Plan. Once these shares are registered, they can be sold in the public market upon issuance, subject to applicable restrictions.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HISTORICAL FINANCIAL AND OPERATING DATA OF LEGACY WMH</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following tables set forth a summary of Legacy WMH’s historical consolidated financial and operating data as of, and for the periods ended on, the dates indicated. The selected historical consolidated statements of income data of Legacy WMH for the years ended December 31, 2018, 2019 and 2020, and the historical consolidated balance sheet data as of December 31, 2019 and 2020, are derived from Legacy WMH’s audited consolidated financial statements included elsewhere in this prospectus. The selected historical consolidated statements of operations data of Legacy WMH for the three months ended March 31, 2020 and 2021 and the consolidated balance sheet data as of March 31, 2020 and 2021 are derived from Legacy WMH’s unaudited interim condensed consolidated financial statements included elsewhere in this prospectus. In Legacy WMH’s management’s opinion, the unaudited interim condensed consolidated financial statements include all adjustments necessary to state fairly Legacy WMH’s financial position as of March 31, 2020 and March 31, 2021, and the results of operations for the three months ended March 31, 2020 and 2021. Legacy WMH’s historical results are not necessarily indicative of the results that may be expected in the future and Legacy WMH’s results for the three months ended March 31, 2021 are not necessarily indicative of the results that may be expected for the full year ending December 31, 2021 or any other period. You should read the following selected historical consolidated financial and operating data together with “Management’s Discussion and Analysis of Financial Condition and Results of Operations” and Legacy WMH’s consolidated financial statements and related notes included elsewhere in this prospectus.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6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3"/>
          </w:tcPr>
          <w:p>
            <w:pPr>
              <w:jc w:val="center"/>
              <w:ind w:right="111"/>
              <w:spacing w:after="0"/>
              <w:rPr>
                <w:sz w:val="20"/>
                <w:szCs w:val="20"/>
                <w:color w:val="auto"/>
              </w:rPr>
            </w:pPr>
            <w:r>
              <w:rPr>
                <w:rFonts w:ascii="Arial" w:cs="Arial" w:eastAsia="Arial" w:hAnsi="Arial"/>
                <w:sz w:val="14"/>
                <w:szCs w:val="14"/>
                <w:b w:val="1"/>
                <w:bCs w:val="1"/>
                <w:color w:val="auto"/>
                <w:w w:val="95"/>
              </w:rPr>
              <w:t>Three Months Ended</w:t>
            </w:r>
          </w:p>
        </w:tc>
      </w:tr>
      <w:tr>
        <w:trPr>
          <w:trHeight w:val="186"/>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left="293"/>
              <w:spacing w:after="0"/>
              <w:rPr>
                <w:sz w:val="20"/>
                <w:szCs w:val="20"/>
                <w:color w:val="auto"/>
              </w:rPr>
            </w:pPr>
            <w:r>
              <w:rPr>
                <w:rFonts w:ascii="Arial" w:cs="Arial" w:eastAsia="Arial" w:hAnsi="Arial"/>
                <w:sz w:val="14"/>
                <w:szCs w:val="14"/>
                <w:b w:val="1"/>
                <w:bCs w:val="1"/>
                <w:color w:val="auto"/>
                <w:w w:val="99"/>
              </w:rPr>
              <w:t>March 31,</w:t>
            </w:r>
          </w:p>
        </w:tc>
        <w:tc>
          <w:tcPr>
            <w:tcW w:w="540" w:type="dxa"/>
            <w:vAlign w:val="bottom"/>
          </w:tcPr>
          <w:p>
            <w:pPr>
              <w:spacing w:after="0"/>
              <w:rPr>
                <w:sz w:val="16"/>
                <w:szCs w:val="16"/>
                <w:color w:val="auto"/>
              </w:rPr>
            </w:pPr>
          </w:p>
        </w:tc>
      </w:tr>
      <w:tr>
        <w:trPr>
          <w:trHeight w:val="53"/>
        </w:trPr>
        <w:tc>
          <w:tcPr>
            <w:tcW w:w="3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3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9"/>
                <w:szCs w:val="19"/>
                <w:color w:val="auto"/>
              </w:rPr>
            </w:pPr>
          </w:p>
        </w:tc>
        <w:tc>
          <w:tcPr>
            <w:tcW w:w="720" w:type="dxa"/>
            <w:vAlign w:val="bottom"/>
          </w:tcPr>
          <w:p>
            <w:pPr>
              <w:jc w:val="center"/>
              <w:ind w:right="171"/>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9"/>
                <w:szCs w:val="19"/>
                <w:color w:val="auto"/>
              </w:rPr>
            </w:pPr>
          </w:p>
        </w:tc>
        <w:tc>
          <w:tcPr>
            <w:tcW w:w="660" w:type="dxa"/>
            <w:vAlign w:val="bottom"/>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540" w:type="dxa"/>
            <w:vAlign w:val="bottom"/>
          </w:tcPr>
          <w:p>
            <w:pPr>
              <w:jc w:val="right"/>
              <w:ind w:right="151"/>
              <w:spacing w:after="0"/>
              <w:rPr>
                <w:sz w:val="20"/>
                <w:szCs w:val="20"/>
                <w:color w:val="auto"/>
              </w:rPr>
            </w:pPr>
            <w:r>
              <w:rPr>
                <w:rFonts w:ascii="Arial" w:cs="Arial" w:eastAsia="Arial" w:hAnsi="Arial"/>
                <w:sz w:val="14"/>
                <w:szCs w:val="14"/>
                <w:b w:val="1"/>
                <w:bCs w:val="1"/>
                <w:color w:val="auto"/>
                <w:w w:val="89"/>
              </w:rPr>
              <w:t>2021</w:t>
            </w:r>
          </w:p>
        </w:tc>
      </w:tr>
      <w:tr>
        <w:trPr>
          <w:trHeight w:val="53"/>
        </w:trPr>
        <w:tc>
          <w:tcPr>
            <w:tcW w:w="3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gridSpan w:val="5"/>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Borders>
              <w:bottom w:val="single" w:sz="8" w:color="auto"/>
            </w:tcBorders>
            <w:gridSpan w:val="4"/>
          </w:tcPr>
          <w:p>
            <w:pPr>
              <w:spacing w:after="0"/>
              <w:rPr>
                <w:sz w:val="4"/>
                <w:szCs w:val="4"/>
                <w:color w:val="auto"/>
              </w:rPr>
            </w:pPr>
          </w:p>
        </w:tc>
      </w:tr>
      <w:tr>
        <w:trPr>
          <w:trHeight w:val="187"/>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(in thousands, except unit</w:t>
            </w: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w w:val="94"/>
              </w:rPr>
              <w:t>(in thousands, except unit</w:t>
            </w:r>
          </w:p>
        </w:tc>
      </w:tr>
      <w:tr>
        <w:trPr>
          <w:trHeight w:val="186"/>
        </w:trPr>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and per unit)</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3"/>
          </w:tcPr>
          <w:p>
            <w:pPr>
              <w:jc w:val="center"/>
              <w:ind w:right="71"/>
              <w:spacing w:after="0"/>
              <w:rPr>
                <w:sz w:val="20"/>
                <w:szCs w:val="20"/>
                <w:color w:val="auto"/>
              </w:rPr>
            </w:pPr>
            <w:r>
              <w:rPr>
                <w:rFonts w:ascii="Arial" w:cs="Arial" w:eastAsia="Arial" w:hAnsi="Arial"/>
                <w:sz w:val="14"/>
                <w:szCs w:val="14"/>
                <w:b w:val="1"/>
                <w:bCs w:val="1"/>
                <w:color w:val="auto"/>
                <w:w w:val="94"/>
              </w:rPr>
              <w:t>and per unit)</w:t>
            </w:r>
          </w:p>
        </w:tc>
      </w:tr>
      <w:tr>
        <w:trPr>
          <w:trHeight w:val="53"/>
        </w:trPr>
        <w:tc>
          <w:tcPr>
            <w:tcW w:w="39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9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18"/>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82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7"/>
              </w:rPr>
              <w:t>$101,402</w:t>
            </w:r>
          </w:p>
        </w:tc>
        <w:tc>
          <w:tcPr>
            <w:tcW w:w="980" w:type="dxa"/>
            <w:vAlign w:val="bottom"/>
            <w:tcBorders>
              <w:bottom w:val="single" w:sz="8" w:color="CCEEFF"/>
            </w:tcBorders>
            <w:gridSpan w:val="2"/>
            <w:shd w:val="clear" w:color="auto" w:fill="CCEEFF"/>
          </w:tcPr>
          <w:p>
            <w:pPr>
              <w:jc w:val="right"/>
              <w:ind w:right="91"/>
              <w:spacing w:after="0"/>
              <w:rPr>
                <w:sz w:val="20"/>
                <w:szCs w:val="20"/>
                <w:color w:val="auto"/>
              </w:rPr>
            </w:pPr>
            <w:r>
              <w:rPr>
                <w:rFonts w:ascii="Arial" w:cs="Arial" w:eastAsia="Arial" w:hAnsi="Arial"/>
                <w:sz w:val="18"/>
                <w:szCs w:val="18"/>
                <w:color w:val="auto"/>
              </w:rPr>
              <w:t>$144,232</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32,210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41,154</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Cost of revenue</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6,304</w:t>
            </w:r>
          </w:p>
        </w:tc>
        <w:tc>
          <w:tcPr>
            <w:tcW w:w="2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7,074</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7,630</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1,607</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95,098</w:t>
            </w:r>
          </w:p>
        </w:tc>
        <w:tc>
          <w:tcPr>
            <w:tcW w:w="98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137,158</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154,161</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30,603</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39,297</w:t>
            </w:r>
          </w:p>
        </w:tc>
      </w:tr>
      <w:tr>
        <w:trPr>
          <w:trHeight w:val="270"/>
        </w:trPr>
        <w:tc>
          <w:tcPr>
            <w:tcW w:w="39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17,799</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0"/>
              </w:rPr>
              <w:t>39,746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6,631</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Product development expenses</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w w:val="94"/>
              </w:rPr>
              <w:t>20,034</w:t>
            </w:r>
          </w:p>
        </w:tc>
        <w:tc>
          <w:tcPr>
            <w:tcW w:w="260" w:type="dxa"/>
            <w:vAlign w:val="bottom"/>
          </w:tcPr>
          <w:p>
            <w:pPr>
              <w:spacing w:after="0"/>
              <w:rPr>
                <w:sz w:val="23"/>
                <w:szCs w:val="23"/>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w w:val="90"/>
              </w:rPr>
              <w:t>29,497</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27,142</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6,708</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7,868</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38,935</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w w:val="90"/>
              </w:rPr>
              <w:t>56,466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11,999</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13,366</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2,149</w:t>
            </w:r>
          </w:p>
        </w:tc>
        <w:tc>
          <w:tcPr>
            <w:tcW w:w="2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5,162</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3,978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999</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78,917</w:t>
            </w:r>
          </w:p>
        </w:tc>
        <w:tc>
          <w:tcPr>
            <w:tcW w:w="980" w:type="dxa"/>
            <w:vAlign w:val="bottom"/>
            <w:tcBorders>
              <w:bottom w:val="single" w:sz="8" w:color="CCEEFF"/>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130,871</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112,963</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4"/>
              </w:rPr>
              <w:t>26,337</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31,353</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(1,827)</w:t>
            </w:r>
          </w:p>
        </w:tc>
        <w:tc>
          <w:tcPr>
            <w:tcW w:w="260" w:type="dxa"/>
            <w:vAlign w:val="bottom"/>
          </w:tcPr>
          <w:p>
            <w:pPr>
              <w:spacing w:after="0"/>
              <w:rPr>
                <w:sz w:val="23"/>
                <w:szCs w:val="23"/>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w w:val="98"/>
              </w:rPr>
              <w:t>(5,341)</w:t>
            </w:r>
          </w:p>
        </w:tc>
        <w:tc>
          <w:tcPr>
            <w:tcW w:w="1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(2,368)</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(457)</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14,354</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946</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tcPr>
          <w:p>
            <w:pPr>
              <w:spacing w:after="0"/>
              <w:rPr>
                <w:sz w:val="23"/>
                <w:szCs w:val="23"/>
                <w:color w:val="auto"/>
              </w:rPr>
            </w:pPr>
          </w:p>
        </w:tc>
        <w:tc>
          <w:tcPr>
            <w:tcW w:w="6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1,321</w:t>
            </w:r>
          </w:p>
        </w:tc>
        <w:tc>
          <w:tcPr>
            <w:tcW w:w="16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14,354</w:t>
            </w:r>
          </w:p>
        </w:tc>
        <w:tc>
          <w:tcPr>
            <w:tcW w:w="2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(1,675)</w:t>
            </w:r>
          </w:p>
        </w:tc>
        <w:tc>
          <w:tcPr>
            <w:tcW w:w="260" w:type="dxa"/>
            <w:vAlign w:val="bottom"/>
          </w:tcPr>
          <w:p>
            <w:pPr>
              <w:spacing w:after="0"/>
              <w:rPr>
                <w:sz w:val="23"/>
                <w:szCs w:val="23"/>
                <w:color w:val="auto"/>
              </w:rPr>
            </w:pP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4"/>
              </w:rPr>
              <w:t>12,679</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3,809</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r>
      <w:tr>
        <w:trPr>
          <w:trHeight w:val="270"/>
        </w:trPr>
        <w:tc>
          <w:tcPr>
            <w:tcW w:w="3900" w:type="dxa"/>
            <w:vAlign w:val="bottom"/>
          </w:tcPr>
          <w:p>
            <w:pPr>
              <w:spacing w:after="0"/>
              <w:rPr>
                <w:sz w:val="20"/>
                <w:szCs w:val="20"/>
                <w:color w:val="auto"/>
              </w:rPr>
            </w:pPr>
            <w:r>
              <w:rPr>
                <w:rFonts w:ascii="Arial" w:cs="Arial" w:eastAsia="Arial" w:hAnsi="Arial"/>
                <w:sz w:val="18"/>
                <w:szCs w:val="18"/>
                <w:b w:val="1"/>
                <w:bCs w:val="1"/>
                <w:color w:val="auto"/>
              </w:rPr>
              <w:t>EARNINGS (LOSS) PER UNIT</w:t>
            </w: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earnings (loss) per Class A-1, A-</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 and A-3 units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16.95</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w w:val="97"/>
              </w:rPr>
              <w:t>Basic and diluted earnings per Class A-1, A-2 and</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A-3 units from discontinued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3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and diluted earnings (loss) per Class A-1, A-</w:t>
            </w: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3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 and A-3 units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14.97</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4.24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56"/>
        </w:trPr>
        <w:tc>
          <w:tcPr>
            <w:tcW w:w="3900" w:type="dxa"/>
            <w:vAlign w:val="bottom"/>
          </w:tcPr>
          <w:p>
            <w:pPr>
              <w:spacing w:after="0"/>
              <w:rPr>
                <w:sz w:val="20"/>
                <w:szCs w:val="20"/>
                <w:color w:val="auto"/>
              </w:rPr>
            </w:pPr>
            <w:r>
              <w:rPr>
                <w:rFonts w:ascii="Arial" w:cs="Arial" w:eastAsia="Arial" w:hAnsi="Arial"/>
                <w:sz w:val="18"/>
                <w:szCs w:val="18"/>
                <w:color w:val="auto"/>
              </w:rPr>
              <w:t>Basic and diluted weighted-average number of</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r>
      <w:tr>
        <w:trPr>
          <w:trHeight w:val="230"/>
        </w:trPr>
        <w:tc>
          <w:tcPr>
            <w:tcW w:w="3900" w:type="dxa"/>
            <w:vAlign w:val="bottom"/>
          </w:tcPr>
          <w:p>
            <w:pPr>
              <w:ind w:left="180"/>
              <w:spacing w:after="0"/>
              <w:rPr>
                <w:sz w:val="20"/>
                <w:szCs w:val="20"/>
                <w:color w:val="auto"/>
              </w:rPr>
            </w:pPr>
            <w:r>
              <w:rPr>
                <w:rFonts w:ascii="Arial" w:cs="Arial" w:eastAsia="Arial" w:hAnsi="Arial"/>
                <w:sz w:val="18"/>
                <w:szCs w:val="18"/>
                <w:color w:val="auto"/>
              </w:rPr>
              <w:t>units outstanding</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847,024</w:t>
            </w:r>
          </w:p>
        </w:tc>
        <w:tc>
          <w:tcPr>
            <w:tcW w:w="980" w:type="dxa"/>
            <w:vAlign w:val="bottom"/>
            <w:gridSpan w:val="2"/>
          </w:tcPr>
          <w:p>
            <w:pPr>
              <w:jc w:val="right"/>
              <w:ind w:right="111"/>
              <w:spacing w:after="0"/>
              <w:rPr>
                <w:sz w:val="20"/>
                <w:szCs w:val="20"/>
                <w:color w:val="auto"/>
              </w:rPr>
            </w:pPr>
            <w:r>
              <w:rPr>
                <w:rFonts w:ascii="Arial" w:cs="Arial" w:eastAsia="Arial" w:hAnsi="Arial"/>
                <w:sz w:val="18"/>
                <w:szCs w:val="18"/>
                <w:color w:val="auto"/>
              </w:rPr>
              <w:t>899,160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899,160</w:t>
            </w:r>
          </w:p>
        </w:tc>
        <w:tc>
          <w:tcPr>
            <w:tcW w:w="180" w:type="dxa"/>
            <w:vAlign w:val="bottom"/>
          </w:tcPr>
          <w:p>
            <w:pPr>
              <w:spacing w:after="0"/>
              <w:rPr>
                <w:sz w:val="20"/>
                <w:szCs w:val="20"/>
                <w:color w:val="auto"/>
              </w:rPr>
            </w:pPr>
          </w:p>
        </w:tc>
        <w:tc>
          <w:tcPr>
            <w:tcW w:w="880" w:type="dxa"/>
            <w:vAlign w:val="bottom"/>
            <w:gridSpan w:val="2"/>
          </w:tcPr>
          <w:p>
            <w:pPr>
              <w:jc w:val="right"/>
              <w:ind w:right="93"/>
              <w:spacing w:after="0"/>
              <w:rPr>
                <w:sz w:val="20"/>
                <w:szCs w:val="20"/>
                <w:color w:val="auto"/>
              </w:rPr>
            </w:pPr>
            <w:r>
              <w:rPr>
                <w:rFonts w:ascii="Arial" w:cs="Arial" w:eastAsia="Arial" w:hAnsi="Arial"/>
                <w:sz w:val="18"/>
                <w:szCs w:val="18"/>
                <w:color w:val="auto"/>
              </w:rPr>
              <w:t>899,160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899,160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-4919980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-4919980</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-4919980</wp:posOffset>
            </wp:positionV>
            <wp:extent cx="120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2" w:name="page43"/>
    <w:bookmarkEnd w:id="42"/>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FINANCIAL INFORMATION OF SILVER SPIKE</w:t>
      </w:r>
    </w:p>
    <w:p>
      <w:pPr>
        <w:spacing w:after="0" w:line="121" w:lineRule="exact"/>
        <w:rPr>
          <w:sz w:val="20"/>
          <w:szCs w:val="20"/>
          <w:color w:val="auto"/>
        </w:rPr>
      </w:pPr>
    </w:p>
    <w:p>
      <w:pPr>
        <w:jc w:val="both"/>
        <w:ind w:left="1300" w:right="1300" w:firstLine="360"/>
        <w:spacing w:after="0" w:line="268" w:lineRule="auto"/>
        <w:rPr>
          <w:sz w:val="20"/>
          <w:szCs w:val="20"/>
          <w:color w:val="auto"/>
        </w:rPr>
      </w:pPr>
      <w:r>
        <w:rPr>
          <w:rFonts w:ascii="Arial" w:cs="Arial" w:eastAsia="Arial" w:hAnsi="Arial"/>
          <w:sz w:val="17"/>
          <w:szCs w:val="17"/>
          <w:color w:val="auto"/>
        </w:rPr>
        <w:t>The following tables set forth a summary of Silver Spike’s historical consolidated financial data as of, and for the periods ended on, the dates indicated. The selected historical statements of operations data of Silver Spike for the period from June 7, 2019 (inception) through December 31, 2019 and for the year ended December 31, 2020, and the historical balance sheet data as of December 31, 2019 and 2020, are derived from Silver Spike’s audited financial statements included elsewhere in this prospectus. The selected historical statements of operations data of Silver Spike for the three months ended March 31, 2020 and 2021 and the balance sheet data as of March 31, 2020 and 2021 are derived from Silver Spike’s unaudited interim financial information has been prepared on a basis consistent with Silver Spike’s audited financial statements and should be read in conjunction with the interim unaudited condensed financial statements and audited financial statements and related notes included elsewhere in this prospectus. Silver Spike’s historical results are not necessarily indicative of the results that may be expected in the future and Silver Spike’s results for the three months ended March 31, 2020 are not necessarily indicative of the results that may be expected for the full year ending December 31, 2021 or any other period. You should read the following selected historical financial data together with Silver Spike’s financial statements and related notes in Silver Spike’s Annual Report on Form 10-K/A for the year ended December 31, 2020 included elsewhere in this prospectus. In connection with the Business Combination, Legacy WMH was determined to be the accounting acquirer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2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3"/>
              </w:rPr>
              <w:t>As of and For the</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As of and For the</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As of and For the</w:t>
            </w:r>
          </w:p>
        </w:tc>
        <w:tc>
          <w:tcPr>
            <w:tcW w:w="1120" w:type="dxa"/>
            <w:vAlign w:val="bottom"/>
            <w:gridSpan w:val="2"/>
            <w:vMerge w:val="restart"/>
          </w:tcPr>
          <w:p>
            <w:pPr>
              <w:jc w:val="center"/>
              <w:ind w:right="12"/>
              <w:spacing w:after="0"/>
              <w:rPr>
                <w:sz w:val="20"/>
                <w:szCs w:val="20"/>
                <w:color w:val="auto"/>
              </w:rPr>
            </w:pPr>
            <w:r>
              <w:rPr>
                <w:rFonts w:ascii="Arial" w:cs="Arial" w:eastAsia="Arial" w:hAnsi="Arial"/>
                <w:sz w:val="14"/>
                <w:szCs w:val="14"/>
                <w:b w:val="1"/>
                <w:bCs w:val="1"/>
                <w:color w:val="auto"/>
                <w:w w:val="90"/>
              </w:rPr>
              <w:t>As of the</w:t>
            </w:r>
          </w:p>
        </w:tc>
        <w:tc>
          <w:tcPr>
            <w:tcW w:w="242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1"/>
              </w:rPr>
              <w:t>June 7, 2019</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4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Three Months</w:t>
            </w:r>
          </w:p>
        </w:tc>
        <w:tc>
          <w:tcPr>
            <w:tcW w:w="112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93"/>
              </w:rPr>
              <w:t>Year Ended</w:t>
            </w:r>
          </w:p>
        </w:tc>
        <w:tc>
          <w:tcPr>
            <w:tcW w:w="24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4"/>
              </w:rPr>
              <w:t>(Inception) to</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Ended March 31,</w:t>
            </w:r>
          </w:p>
        </w:tc>
        <w:tc>
          <w:tcPr>
            <w:tcW w:w="1400" w:type="dxa"/>
            <w:vAlign w:val="bottom"/>
            <w:gridSpan w:val="2"/>
          </w:tcPr>
          <w:p>
            <w:pPr>
              <w:jc w:val="center"/>
              <w:ind w:left="15"/>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420" w:type="dxa"/>
            <w:vAlign w:val="bottom"/>
            <w:gridSpan w:val="3"/>
          </w:tcPr>
          <w:p>
            <w:pPr>
              <w:jc w:val="center"/>
              <w:ind w:right="1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center"/>
              <w:ind w:right="212"/>
              <w:spacing w:after="0"/>
              <w:rPr>
                <w:sz w:val="20"/>
                <w:szCs w:val="20"/>
                <w:color w:val="auto"/>
              </w:rPr>
            </w:pPr>
            <w:r>
              <w:rPr>
                <w:rFonts w:ascii="Arial" w:cs="Arial" w:eastAsia="Arial" w:hAnsi="Arial"/>
                <w:sz w:val="14"/>
                <w:szCs w:val="14"/>
                <w:b w:val="1"/>
                <w:bCs w:val="1"/>
                <w:color w:val="auto"/>
                <w:w w:val="89"/>
              </w:rPr>
              <w:t>2021</w:t>
            </w:r>
          </w:p>
        </w:tc>
        <w:tc>
          <w:tcPr>
            <w:tcW w:w="560" w:type="dxa"/>
            <w:vAlign w:val="bottom"/>
          </w:tcPr>
          <w:p>
            <w:pPr>
              <w:spacing w:after="0"/>
              <w:rPr>
                <w:sz w:val="16"/>
                <w:szCs w:val="16"/>
                <w:color w:val="auto"/>
              </w:rPr>
            </w:pPr>
          </w:p>
        </w:tc>
        <w:tc>
          <w:tcPr>
            <w:tcW w:w="840" w:type="dxa"/>
            <w:vAlign w:val="bottom"/>
          </w:tcPr>
          <w:p>
            <w:pPr>
              <w:jc w:val="center"/>
              <w:ind w:right="352"/>
              <w:spacing w:after="0"/>
              <w:rPr>
                <w:sz w:val="20"/>
                <w:szCs w:val="20"/>
                <w:color w:val="auto"/>
              </w:rPr>
            </w:pPr>
            <w:r>
              <w:rPr>
                <w:rFonts w:ascii="Arial" w:cs="Arial" w:eastAsia="Arial" w:hAnsi="Arial"/>
                <w:sz w:val="14"/>
                <w:szCs w:val="14"/>
                <w:b w:val="1"/>
                <w:bCs w:val="1"/>
                <w:color w:val="auto"/>
                <w:w w:val="89"/>
              </w:rPr>
              <w:t>2020</w:t>
            </w:r>
          </w:p>
        </w:tc>
        <w:tc>
          <w:tcPr>
            <w:tcW w:w="300" w:type="dxa"/>
            <w:vAlign w:val="bottom"/>
          </w:tcPr>
          <w:p>
            <w:pPr>
              <w:spacing w:after="0"/>
              <w:rPr>
                <w:sz w:val="16"/>
                <w:szCs w:val="16"/>
                <w:color w:val="auto"/>
              </w:rPr>
            </w:pPr>
          </w:p>
        </w:tc>
        <w:tc>
          <w:tcPr>
            <w:tcW w:w="820" w:type="dxa"/>
            <w:vAlign w:val="bottom"/>
          </w:tcPr>
          <w:p>
            <w:pPr>
              <w:jc w:val="center"/>
              <w:ind w:right="292"/>
              <w:spacing w:after="0"/>
              <w:rPr>
                <w:sz w:val="20"/>
                <w:szCs w:val="20"/>
                <w:color w:val="auto"/>
              </w:rPr>
            </w:pPr>
            <w:r>
              <w:rPr>
                <w:rFonts w:ascii="Arial" w:cs="Arial" w:eastAsia="Arial" w:hAnsi="Arial"/>
                <w:sz w:val="14"/>
                <w:szCs w:val="14"/>
                <w:b w:val="1"/>
                <w:bCs w:val="1"/>
                <w:color w:val="auto"/>
                <w:w w:val="89"/>
              </w:rPr>
              <w:t>2020</w:t>
            </w:r>
          </w:p>
        </w:tc>
        <w:tc>
          <w:tcPr>
            <w:tcW w:w="320" w:type="dxa"/>
            <w:vAlign w:val="bottom"/>
          </w:tcPr>
          <w:p>
            <w:pPr>
              <w:spacing w:after="0"/>
              <w:rPr>
                <w:sz w:val="16"/>
                <w:szCs w:val="16"/>
                <w:color w:val="auto"/>
              </w:rPr>
            </w:pPr>
          </w:p>
        </w:tc>
        <w:tc>
          <w:tcPr>
            <w:tcW w:w="800" w:type="dxa"/>
            <w:vAlign w:val="bottom"/>
          </w:tcPr>
          <w:p>
            <w:pPr>
              <w:jc w:val="center"/>
              <w:ind w:right="232"/>
              <w:spacing w:after="0"/>
              <w:rPr>
                <w:sz w:val="20"/>
                <w:szCs w:val="20"/>
                <w:color w:val="auto"/>
              </w:rPr>
            </w:pPr>
            <w:r>
              <w:rPr>
                <w:rFonts w:ascii="Arial" w:cs="Arial" w:eastAsia="Arial" w:hAnsi="Arial"/>
                <w:sz w:val="14"/>
                <w:szCs w:val="14"/>
                <w:b w:val="1"/>
                <w:bCs w:val="1"/>
                <w:color w:val="auto"/>
                <w:w w:val="89"/>
              </w:rPr>
              <w:t>2019</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520" w:type="dxa"/>
            <w:vAlign w:val="bottom"/>
            <w:tcBorders>
              <w:bottom w:val="single" w:sz="8" w:color="auto"/>
            </w:tcBorders>
            <w:gridSpan w:val="4"/>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738</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458</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3,864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587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89"/>
              </w:rPr>
              <w:t>(78,928)</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1,822</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89"/>
              </w:rPr>
              <w:t>(52,022)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5,353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Loss per ordinary share - basic and diluted</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(5.58)</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(0.02)</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(5.94)</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0.42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Data:</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(412)</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(100)</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2"/>
              <w:spacing w:after="0"/>
              <w:rPr>
                <w:sz w:val="20"/>
                <w:szCs w:val="20"/>
                <w:color w:val="auto"/>
              </w:rPr>
            </w:pPr>
            <w:r>
              <w:rPr>
                <w:rFonts w:ascii="Arial" w:cs="Arial" w:eastAsia="Arial" w:hAnsi="Arial"/>
                <w:sz w:val="18"/>
                <w:szCs w:val="18"/>
                <w:color w:val="auto"/>
              </w:rPr>
              <w:t>(582)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(467)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14</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$(250,000)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186</w:t>
            </w:r>
          </w:p>
        </w:tc>
        <w:tc>
          <w:tcPr>
            <w:tcW w:w="560" w:type="dxa"/>
            <w:vAlign w:val="bottom"/>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
              <w:spacing w:after="0"/>
              <w:rPr>
                <w:sz w:val="20"/>
                <w:szCs w:val="20"/>
                <w:color w:val="auto"/>
              </w:rPr>
            </w:pPr>
            <w:r>
              <w:rPr>
                <w:rFonts w:ascii="Arial" w:cs="Arial" w:eastAsia="Arial" w:hAnsi="Arial"/>
                <w:sz w:val="18"/>
                <w:szCs w:val="18"/>
                <w:color w:val="auto"/>
              </w:rPr>
              <w:t>$(251,362)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$254,405</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$255,021</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$254,531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89"/>
              </w:rPr>
              <w:t>253,077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110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$154,400</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4"/>
              </w:rPr>
              <w:t>22,229</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w w:val="98"/>
              </w:rPr>
              <w:t>75,583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22,107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Total redeemable ordinary shares</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95,006</w:t>
            </w:r>
          </w:p>
        </w:tc>
        <w:tc>
          <w:tcPr>
            <w:tcW w:w="1400" w:type="dxa"/>
            <w:vAlign w:val="bottom"/>
            <w:gridSpan w:val="2"/>
          </w:tcPr>
          <w:p>
            <w:pPr>
              <w:ind w:left="420"/>
              <w:spacing w:after="0"/>
              <w:rPr>
                <w:sz w:val="20"/>
                <w:szCs w:val="20"/>
                <w:color w:val="auto"/>
              </w:rPr>
            </w:pPr>
            <w:r>
              <w:rPr>
                <w:rFonts w:ascii="Arial" w:cs="Arial" w:eastAsia="Arial" w:hAnsi="Arial"/>
                <w:sz w:val="18"/>
                <w:szCs w:val="18"/>
                <w:color w:val="auto"/>
              </w:rPr>
              <w:t>$227,792</w:t>
            </w:r>
          </w:p>
        </w:tc>
        <w:tc>
          <w:tcPr>
            <w:tcW w:w="1120" w:type="dxa"/>
            <w:vAlign w:val="bottom"/>
            <w:gridSpan w:val="2"/>
          </w:tcPr>
          <w:p>
            <w:pPr>
              <w:ind w:left="200"/>
              <w:spacing w:after="0"/>
              <w:rPr>
                <w:sz w:val="20"/>
                <w:szCs w:val="20"/>
                <w:color w:val="auto"/>
              </w:rPr>
            </w:pPr>
            <w:r>
              <w:rPr>
                <w:rFonts w:ascii="Arial" w:cs="Arial" w:eastAsia="Arial" w:hAnsi="Arial"/>
                <w:sz w:val="18"/>
                <w:szCs w:val="18"/>
                <w:color w:val="auto"/>
              </w:rPr>
              <w:t>$173,948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w w:val="89"/>
              </w:rPr>
              <w:t>225,970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5,000</w:t>
            </w:r>
          </w:p>
        </w:tc>
        <w:tc>
          <w:tcPr>
            <w:tcW w:w="5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5,000</w:t>
            </w:r>
          </w:p>
        </w:tc>
        <w:tc>
          <w:tcPr>
            <w:tcW w:w="3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5,000</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center"/>
              <w:ind w:right="272"/>
              <w:spacing w:after="0"/>
              <w:rPr>
                <w:sz w:val="20"/>
                <w:szCs w:val="20"/>
                <w:color w:val="auto"/>
              </w:rPr>
            </w:pPr>
            <w:r>
              <w:rPr>
                <w:rFonts w:ascii="Arial" w:cs="Arial" w:eastAsia="Arial" w:hAnsi="Arial"/>
                <w:sz w:val="18"/>
                <w:szCs w:val="18"/>
                <w:color w:val="auto"/>
                <w:w w:val="89"/>
              </w:rPr>
              <w:t>37</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5346700</wp:posOffset>
            </wp:positionH>
            <wp:positionV relativeFrom="paragraph">
              <wp:posOffset>-3274060</wp:posOffset>
            </wp:positionV>
            <wp:extent cx="1200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4695190</wp:posOffset>
            </wp:positionH>
            <wp:positionV relativeFrom="paragraph">
              <wp:posOffset>-3274060</wp:posOffset>
            </wp:positionV>
            <wp:extent cx="1200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3872230</wp:posOffset>
            </wp:positionH>
            <wp:positionV relativeFrom="paragraph">
              <wp:posOffset>-3274060</wp:posOffset>
            </wp:positionV>
            <wp:extent cx="1200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following unaudited pro forma condensed combined financial information presents the combination of the financial information of Silver Spike and Legacy WMH, adjusted to give effect to the Business Combination and related transactions. The following unaudited pro forma condensed combined financial information has been prepared in accordance with Article 11 of Regulation S-X as amended by the final rule, Release 33-10786 “Amendments to Financial Disclosures about Acquired and Disposed Businesses.”</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unaudited pro forma condensed combined balance sheet as of March 31, 2021 combines the historical balance sheet of Silver Spike and the historical balance sheet of Legacy WMH on a pro forma basis as if the Business Combination and related transactions, summarized below, had been consummated on March 31, 2021. The unaudited pro forma condensed combined statements of operations for the three months ended March 31, 2021 and year ended December 31, 2019, combine the historical statements of operations of Silver Spike and historical statements of operations of Legacy WMH for such periods on a pro forma basis as if the Business Combination and related transactions, summarized below, had been consummated on January 1, 2020, the beginning of the earliest period presented:</w:t>
      </w:r>
    </w:p>
    <w:p>
      <w:pPr>
        <w:spacing w:after="0" w:line="70"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Business Combination;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Domestication; and</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issuance and sale of 32,500,000 shares of Class A Common Stock for a purchase price of $10.00 per share and an aggregate purchase price of $325.0 million in the PIPE subscription financing pursuant to the Subscription Agreements.</w:t>
      </w:r>
    </w:p>
    <w:p>
      <w:pPr>
        <w:spacing w:after="0" w:line="76"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unaudited pro forma condensed combined financial statements have been developed from and should be read in conjunction with:</w:t>
      </w:r>
    </w:p>
    <w:p>
      <w:pPr>
        <w:spacing w:after="0" w:line="62"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accompanying notes to the unaudited pro forma condensed combined financial information;</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historical audited financial statements of Silver Spike as of and for the year ended December 31, 2020 and the related notes, included in the Proxy Statement/Prospectus;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historical audited financial statements of Legacy WMH as of and for the year ended December 31, 2020 and the related notes, included in the Proxy Statement/Prospectus;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historical unaudited financial statements of Silver Spike as of and for the three months ended March 31, 2021 and the related notes, included in the Proxy Statement/Prospectus;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historical unaudited financial statements of Legacy WMH as of and for the three months ended March 31, 2021 and the related notes, included in the Proxy Statement/Prospectus;</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information relating to Silver Spike and Legacy WMH contained in the Proxy Statement/Prospectus, including the Merger Agreement and the description of certain terms thereof set forth in the section entitled “The Business Combination.”</w:t>
      </w:r>
    </w:p>
    <w:p>
      <w:pPr>
        <w:spacing w:after="0" w:line="7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Pursuant to Silver Spike’s then-existing organizational documents, Silver Spike’s public shareholders were offered the opportunity to redeem, upon the Closing, shares of Class A ordinary shares then held by them for cash equal to their pro rata share of the aggregate amount on deposit (as of two business days prior to the Closing) in the Trust Account (as defined in the Proxy Statement/Prospectus). The unaudited condensed combined pro forma financial statements reflect actual redemptions of 10,012 shares of Class A ordinary shares at $10.17 per share.</w:t>
      </w:r>
    </w:p>
    <w:p>
      <w:pPr>
        <w:spacing w:after="0" w:line="53"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Notwithstanding the legal form of the Business Combination pursuant to the Merger Agreement, the Business Combination is accounted for as a reverse recapitalization in accordance with GAAP. Under this method of accounting, Silver Spike is treated as the acquired company and Legacy WMH is treated as the acquirer for financial statement reporting purposes. Legacy WMH has been determined to be the accounting acquirer based on evaluation of the following facts and circumstances:</w:t>
      </w:r>
    </w:p>
    <w:p>
      <w:pPr>
        <w:spacing w:after="0" w:line="80" w:lineRule="exact"/>
        <w:rPr>
          <w:sz w:val="20"/>
          <w:szCs w:val="20"/>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Legacy WMH’s directors represent the majority of the new board of directors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Legacy WMH’s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Assumptions and estimates underlying the unaudited pro forma adjustments set forth in the unaudited pro forma condensed combined financial statements are described in the accompanying notes. The unaudited pro forma condensed combined financial statements have been presented for illustrative purposes only and are not necessarily indicative of the operating results and financial position that would have been achieved had the Business Combination occurred on the dates indicated. Further, the unaudited pro forma condensed combined financial statements do not purport to project the future operating results or financial position of the Company following the completion of the Business Combination.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82" w:lineRule="auto"/>
        <w:rPr>
          <w:sz w:val="20"/>
          <w:szCs w:val="20"/>
          <w:color w:val="auto"/>
        </w:rPr>
      </w:pPr>
      <w:r>
        <w:rPr>
          <w:rFonts w:ascii="Arial" w:cs="Arial" w:eastAsia="Arial" w:hAnsi="Arial"/>
          <w:sz w:val="18"/>
          <w:szCs w:val="18"/>
          <w:b w:val="1"/>
          <w:bCs w:val="1"/>
          <w:color w:val="auto"/>
        </w:rPr>
        <w:t>UNAUDITED PRO FORMA CONDENSED COMBINED BALANCE SHEET AS OF MARCH 31, 2021 (in thousands)</w:t>
      </w:r>
    </w:p>
    <w:p>
      <w:pPr>
        <w:spacing w:after="0" w:line="1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Transaction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WMH</w:t>
            </w:r>
          </w:p>
        </w:tc>
        <w:tc>
          <w:tcPr>
            <w:tcW w:w="9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Silver Spike</w:t>
            </w:r>
          </w:p>
        </w:tc>
        <w:tc>
          <w:tcPr>
            <w:tcW w:w="8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w w:val="98"/>
              </w:rPr>
              <w:t>Accounting</w:t>
            </w:r>
          </w:p>
        </w:tc>
        <w:tc>
          <w:tcPr>
            <w:tcW w:w="560" w:type="dxa"/>
            <w:vAlign w:val="bottom"/>
          </w:tcPr>
          <w:p>
            <w:pPr>
              <w:spacing w:after="0"/>
              <w:rPr>
                <w:sz w:val="12"/>
                <w:szCs w:val="12"/>
                <w:color w:val="auto"/>
              </w:rPr>
            </w:pPr>
          </w:p>
        </w:tc>
        <w:tc>
          <w:tcPr>
            <w:tcW w:w="700" w:type="dxa"/>
            <w:vAlign w:val="bottom"/>
            <w:gridSpan w:val="4"/>
            <w:vMerge w:val="restart"/>
          </w:tcPr>
          <w:p>
            <w:pPr>
              <w:jc w:val="right"/>
              <w:ind w:right="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vMerge w:val="continue"/>
          </w:tcPr>
          <w:p>
            <w:pPr>
              <w:spacing w:after="0"/>
              <w:rPr>
                <w:sz w:val="12"/>
                <w:szCs w:val="12"/>
                <w:color w:val="auto"/>
              </w:rPr>
            </w:pPr>
          </w:p>
        </w:tc>
        <w:tc>
          <w:tcPr>
            <w:tcW w:w="940" w:type="dxa"/>
            <w:vAlign w:val="bottom"/>
            <w:gridSpan w:val="5"/>
            <w:vMerge w:val="continue"/>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w w:val="91"/>
              </w:rPr>
              <w:t>Adjustments</w:t>
            </w:r>
          </w:p>
        </w:tc>
        <w:tc>
          <w:tcPr>
            <w:tcW w:w="560" w:type="dxa"/>
            <w:vAlign w:val="bottom"/>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520" w:type="dxa"/>
            <w:vAlign w:val="bottom"/>
          </w:tcPr>
          <w:p>
            <w:pPr>
              <w:spacing w:after="0"/>
              <w:rPr>
                <w:sz w:val="16"/>
                <w:szCs w:val="16"/>
                <w:color w:val="auto"/>
              </w:rPr>
            </w:pPr>
          </w:p>
        </w:tc>
        <w:tc>
          <w:tcPr>
            <w:tcW w:w="900" w:type="dxa"/>
            <w:vAlign w:val="bottom"/>
            <w:gridSpan w:val="6"/>
          </w:tcPr>
          <w:p>
            <w:pPr>
              <w:spacing w:after="0"/>
              <w:rPr>
                <w:sz w:val="20"/>
                <w:szCs w:val="20"/>
                <w:color w:val="auto"/>
              </w:rPr>
            </w:pPr>
            <w:r>
              <w:rPr>
                <w:rFonts w:ascii="Arial" w:cs="Arial" w:eastAsia="Arial" w:hAnsi="Arial"/>
                <w:sz w:val="14"/>
                <w:szCs w:val="14"/>
                <w:b w:val="1"/>
                <w:bCs w:val="1"/>
                <w:color w:val="auto"/>
              </w:rPr>
              <w:t>(Historical)</w:t>
            </w:r>
          </w:p>
        </w:tc>
        <w:tc>
          <w:tcPr>
            <w:tcW w:w="9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(Historical)</w:t>
            </w:r>
          </w:p>
        </w:tc>
        <w:tc>
          <w:tcPr>
            <w:tcW w:w="80" w:type="dxa"/>
            <w:vAlign w:val="bottom"/>
          </w:tcPr>
          <w:p>
            <w:pPr>
              <w:spacing w:after="0"/>
              <w:rPr>
                <w:sz w:val="16"/>
                <w:szCs w:val="16"/>
                <w:color w:val="auto"/>
              </w:rPr>
            </w:pPr>
          </w:p>
        </w:tc>
        <w:tc>
          <w:tcPr>
            <w:tcW w:w="7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(Note 2)</w:t>
            </w:r>
          </w:p>
        </w:tc>
        <w:tc>
          <w:tcPr>
            <w:tcW w:w="560" w:type="dxa"/>
            <w:vAlign w:val="bottom"/>
          </w:tcPr>
          <w:p>
            <w:pPr>
              <w:spacing w:after="0"/>
              <w:rPr>
                <w:sz w:val="16"/>
                <w:szCs w:val="16"/>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53"/>
        </w:trPr>
        <w:tc>
          <w:tcPr>
            <w:tcW w:w="45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Cash</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$19,604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254,203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(a)</w:t>
            </w: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w w:val="99"/>
              </w:rPr>
              <w:t>$104,529</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(8,750)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(30,345)</w:t>
            </w:r>
          </w:p>
        </w:tc>
        <w:tc>
          <w:tcPr>
            <w:tcW w:w="560" w:type="dxa"/>
            <w:vAlign w:val="bottom"/>
          </w:tcPr>
          <w:p>
            <w:pPr>
              <w:ind w:left="200"/>
              <w:spacing w:after="0"/>
              <w:rPr>
                <w:sz w:val="20"/>
                <w:szCs w:val="20"/>
                <w:color w:val="auto"/>
              </w:rPr>
            </w:pPr>
            <w:r>
              <w:rPr>
                <w:rFonts w:ascii="Arial" w:cs="Arial" w:eastAsia="Arial" w:hAnsi="Arial"/>
                <w:sz w:val="14"/>
                <w:szCs w:val="14"/>
                <w:color w:val="auto"/>
              </w:rPr>
              <w:t>(c)</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325,000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(102)</w:t>
            </w:r>
          </w:p>
        </w:tc>
        <w:tc>
          <w:tcPr>
            <w:tcW w:w="560" w:type="dxa"/>
            <w:vAlign w:val="bottom"/>
          </w:tcPr>
          <w:p>
            <w:pPr>
              <w:ind w:left="200"/>
              <w:spacing w:after="0"/>
              <w:rPr>
                <w:sz w:val="20"/>
                <w:szCs w:val="20"/>
                <w:color w:val="auto"/>
              </w:rPr>
            </w:pPr>
            <w:r>
              <w:rPr>
                <w:rFonts w:ascii="Arial" w:cs="Arial" w:eastAsia="Arial" w:hAnsi="Arial"/>
                <w:sz w:val="14"/>
                <w:szCs w:val="14"/>
                <w:color w:val="auto"/>
              </w:rPr>
              <w:t>(f)</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(455,182)</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7,553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7,553</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Prepaid expenses and other current assets</w:t>
            </w:r>
          </w:p>
        </w:tc>
        <w:tc>
          <w:tcPr>
            <w:tcW w:w="120" w:type="dxa"/>
            <w:vAlign w:val="bottom"/>
            <w:gridSpan w:val="2"/>
            <w:shd w:val="clear" w:color="auto" w:fill="CCEEFF"/>
          </w:tcPr>
          <w:p>
            <w:pPr>
              <w:spacing w:after="0"/>
              <w:rPr>
                <w:sz w:val="17"/>
                <w:szCs w:val="17"/>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7,344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(3,192)</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4,254</w:t>
            </w: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CCEEFF"/>
            </w:tcBorders>
            <w:gridSpan w:val="2"/>
          </w:tcPr>
          <w:p>
            <w:pPr>
              <w:spacing w:after="0"/>
              <w:rPr>
                <w:sz w:val="16"/>
                <w:szCs w:val="16"/>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34,501</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203</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81,632</w:t>
            </w: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116,336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Marketable securities held in Trust Account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254,203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(254,203)</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6,892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6,892</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Goodwill</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3,961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3,961</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Intangible assets, net</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4,280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4,280</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Right of use assets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42,113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42,113</w:t>
            </w: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Deferred tax asset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157,104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(j)</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157,104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20" w:type="dxa"/>
            <w:vAlign w:val="bottom"/>
            <w:gridSpan w:val="2"/>
            <w:shd w:val="clear" w:color="auto" w:fill="CCEEFF"/>
          </w:tcPr>
          <w:p>
            <w:pPr>
              <w:spacing w:after="0"/>
              <w:rPr>
                <w:sz w:val="15"/>
                <w:szCs w:val="15"/>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3,874</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3,874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95,621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254,406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(15,467)</w:t>
            </w:r>
          </w:p>
        </w:tc>
        <w:tc>
          <w:tcPr>
            <w:tcW w:w="560" w:type="dxa"/>
            <w:vAlign w:val="bottom"/>
          </w:tcPr>
          <w:p>
            <w:pPr>
              <w:spacing w:after="0"/>
              <w:rPr>
                <w:sz w:val="16"/>
                <w:szCs w:val="16"/>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334,560</w:t>
            </w:r>
          </w:p>
        </w:tc>
        <w:tc>
          <w:tcPr>
            <w:tcW w:w="0" w:type="dxa"/>
            <w:vAlign w:val="bottom"/>
          </w:tcPr>
          <w:p>
            <w:pPr>
              <w:spacing w:after="0"/>
              <w:rPr>
                <w:sz w:val="1"/>
                <w:szCs w:val="1"/>
                <w:color w:val="auto"/>
              </w:rPr>
            </w:pPr>
          </w:p>
        </w:tc>
      </w:tr>
      <w:tr>
        <w:trPr>
          <w:trHeight w:val="28"/>
        </w:trPr>
        <w:tc>
          <w:tcPr>
            <w:tcW w:w="4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b w:val="1"/>
                <w:bCs w:val="1"/>
                <w:color w:val="auto"/>
              </w:rPr>
              <w:t>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 and accrued expenses</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$13,496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(3,659)</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$ 13,386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Deferred revenue</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6,189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6,189</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current portion</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4,884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4,884</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Notes payable to members, current portion</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Promissory note - related party</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700" w:type="dxa"/>
            <w:vAlign w:val="bottom"/>
            <w:gridSpan w:val="4"/>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Arial" w:cs="Arial" w:eastAsia="Arial" w:hAnsi="Arial"/>
                <w:sz w:val="14"/>
                <w:szCs w:val="14"/>
                <w:b w:val="1"/>
                <w:bCs w:val="1"/>
                <w:color w:val="auto"/>
              </w:rPr>
              <w:t>Total current liabilities</w:t>
            </w:r>
          </w:p>
        </w:tc>
        <w:tc>
          <w:tcPr>
            <w:tcW w:w="120" w:type="dxa"/>
            <w:vAlign w:val="bottom"/>
            <w:gridSpan w:val="2"/>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24,774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3,749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(3,659)</w:t>
            </w:r>
          </w:p>
        </w:tc>
        <w:tc>
          <w:tcPr>
            <w:tcW w:w="5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24,864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Operating lease liabilities, non-current portion</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43,558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43,558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Other long-term liabilities</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Long-term payable under Tax Receivable Agreement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133,538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(j)</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133,538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20"/>
                <w:szCs w:val="20"/>
                <w:color w:val="auto"/>
              </w:rPr>
            </w:pPr>
            <w:r>
              <w:rPr>
                <w:rFonts w:ascii="Arial" w:cs="Arial" w:eastAsia="Arial" w:hAnsi="Arial"/>
                <w:sz w:val="14"/>
                <w:szCs w:val="14"/>
                <w:color w:val="auto"/>
              </w:rPr>
              <w:t>Warrant liability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141,900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141,900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Deferred underwriting fee payable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(8,750)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6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520" w:type="dxa"/>
            <w:vAlign w:val="bottom"/>
            <w:tcBorders>
              <w:top w:val="single" w:sz="8" w:color="CCEEFF"/>
            </w:tcBorders>
          </w:tcPr>
          <w:p>
            <w:pPr>
              <w:spacing w:after="0"/>
              <w:rPr>
                <w:sz w:val="20"/>
                <w:szCs w:val="20"/>
                <w:color w:val="auto"/>
              </w:rPr>
            </w:pPr>
            <w:r>
              <w:rPr>
                <w:rFonts w:ascii="Arial" w:cs="Arial" w:eastAsia="Arial" w:hAnsi="Arial"/>
                <w:sz w:val="14"/>
                <w:szCs w:val="14"/>
                <w:b w:val="1"/>
                <w:bCs w:val="1"/>
                <w:color w:val="auto"/>
              </w:rPr>
              <w:t>Total liabilities</w:t>
            </w:r>
          </w:p>
        </w:tc>
        <w:tc>
          <w:tcPr>
            <w:tcW w:w="120" w:type="dxa"/>
            <w:vAlign w:val="bottom"/>
            <w:tcBorders>
              <w:top w:val="single" w:sz="8" w:color="CCEEFF"/>
            </w:tcBorders>
            <w:gridSpan w:val="2"/>
          </w:tcPr>
          <w:p>
            <w:pPr>
              <w:spacing w:after="0"/>
              <w:rPr>
                <w:sz w:val="16"/>
                <w:szCs w:val="16"/>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69,238</w:t>
            </w:r>
          </w:p>
        </w:tc>
        <w:tc>
          <w:tcPr>
            <w:tcW w:w="1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154,399</w:t>
            </w: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121,129</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344,766</w:t>
            </w: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b w:val="1"/>
                <w:bCs w:val="1"/>
                <w:color w:val="auto"/>
              </w:rPr>
              <w:t>Commitments and contingencies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Class A ordinary shares subject to possible redemptions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(95,006)</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 (deficit)/ Members' equity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Preferred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Ordinary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ind w:left="180"/>
              <w:spacing w:after="0"/>
              <w:rPr>
                <w:sz w:val="20"/>
                <w:szCs w:val="20"/>
                <w:color w:val="auto"/>
              </w:rPr>
            </w:pPr>
            <w:r>
              <w:rPr>
                <w:rFonts w:ascii="Arial" w:cs="Arial" w:eastAsia="Arial" w:hAnsi="Arial"/>
                <w:sz w:val="14"/>
                <w:szCs w:val="14"/>
                <w:color w:val="auto"/>
              </w:rPr>
              <w:t>Class 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(e)</w:t>
            </w:r>
          </w:p>
        </w:tc>
        <w:tc>
          <w:tcPr>
            <w:tcW w:w="6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(3)</w:t>
            </w:r>
          </w:p>
        </w:tc>
        <w:tc>
          <w:tcPr>
            <w:tcW w:w="560" w:type="dxa"/>
            <w:vAlign w:val="bottom"/>
          </w:tcPr>
          <w:p>
            <w:pPr>
              <w:ind w:left="200"/>
              <w:spacing w:after="0"/>
              <w:rPr>
                <w:sz w:val="20"/>
                <w:szCs w:val="20"/>
                <w:color w:val="auto"/>
              </w:rPr>
            </w:pPr>
            <w:r>
              <w:rPr>
                <w:rFonts w:ascii="Arial" w:cs="Arial" w:eastAsia="Arial" w:hAnsi="Arial"/>
                <w:sz w:val="14"/>
                <w:szCs w:val="14"/>
                <w:color w:val="auto"/>
              </w:rPr>
              <w:t>(g)</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B</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(g)</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V</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20"/>
                <w:szCs w:val="20"/>
                <w:color w:val="auto"/>
              </w:rPr>
            </w:pPr>
            <w:r>
              <w:rPr>
                <w:rFonts w:ascii="Arial" w:cs="Arial" w:eastAsia="Arial" w:hAnsi="Arial"/>
                <w:sz w:val="14"/>
                <w:szCs w:val="14"/>
                <w:color w:val="auto"/>
              </w:rPr>
              <w:t>Members' units</w:t>
            </w:r>
          </w:p>
        </w:tc>
        <w:tc>
          <w:tcPr>
            <w:tcW w:w="580" w:type="dxa"/>
            <w:vAlign w:val="bottom"/>
            <w:gridSpan w:val="4"/>
          </w:tcPr>
          <w:p>
            <w:pPr>
              <w:jc w:val="right"/>
              <w:spacing w:after="0"/>
              <w:rPr>
                <w:sz w:val="20"/>
                <w:szCs w:val="20"/>
                <w:color w:val="auto"/>
              </w:rPr>
            </w:pPr>
            <w:r>
              <w:rPr>
                <w:rFonts w:ascii="Arial" w:cs="Arial" w:eastAsia="Arial" w:hAnsi="Arial"/>
                <w:sz w:val="14"/>
                <w:szCs w:val="14"/>
                <w:color w:val="auto"/>
              </w:rPr>
              <w:t>18,809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w w:val="99"/>
              </w:rPr>
              <w:t>(18,809)</w:t>
            </w: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60" w:type="dxa"/>
            <w:vAlign w:val="bottom"/>
          </w:tcPr>
          <w:p>
            <w:pPr>
              <w:spacing w:after="0"/>
              <w:rPr>
                <w:sz w:val="17"/>
                <w:szCs w:val="17"/>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 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130,948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(26,908)</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(3,337)</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324,997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(d)</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95,005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(102)</w:t>
            </w:r>
          </w:p>
        </w:tc>
        <w:tc>
          <w:tcPr>
            <w:tcW w:w="560" w:type="dxa"/>
            <w:vAlign w:val="bottom"/>
          </w:tcPr>
          <w:p>
            <w:pPr>
              <w:ind w:left="200"/>
              <w:spacing w:after="0"/>
              <w:rPr>
                <w:sz w:val="20"/>
                <w:szCs w:val="20"/>
                <w:color w:val="auto"/>
              </w:rPr>
            </w:pPr>
            <w:r>
              <w:rPr>
                <w:rFonts w:ascii="Arial" w:cs="Arial" w:eastAsia="Arial" w:hAnsi="Arial"/>
                <w:sz w:val="14"/>
                <w:szCs w:val="14"/>
                <w:color w:val="auto"/>
              </w:rPr>
              <w:t>(f)</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(125,950)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(7)</w:t>
            </w:r>
          </w:p>
        </w:tc>
        <w:tc>
          <w:tcPr>
            <w:tcW w:w="560" w:type="dxa"/>
            <w:vAlign w:val="bottom"/>
          </w:tcPr>
          <w:p>
            <w:pPr>
              <w:ind w:left="200"/>
              <w:spacing w:after="0"/>
              <w:rPr>
                <w:sz w:val="20"/>
                <w:szCs w:val="20"/>
                <w:color w:val="auto"/>
              </w:rPr>
            </w:pPr>
            <w:r>
              <w:rPr>
                <w:rFonts w:ascii="Arial" w:cs="Arial" w:eastAsia="Arial" w:hAnsi="Arial"/>
                <w:sz w:val="14"/>
                <w:szCs w:val="14"/>
                <w:color w:val="auto"/>
              </w:rPr>
              <w:t>(i)</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23,566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(j)</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13,200</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(k)</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80"/>
              <w:spacing w:after="0"/>
              <w:rPr>
                <w:sz w:val="20"/>
                <w:szCs w:val="20"/>
                <w:color w:val="auto"/>
              </w:rPr>
            </w:pPr>
            <w:r>
              <w:rPr>
                <w:rFonts w:ascii="Arial" w:cs="Arial" w:eastAsia="Arial" w:hAnsi="Arial"/>
                <w:sz w:val="14"/>
                <w:szCs w:val="14"/>
                <w:color w:val="auto"/>
              </w:rPr>
              <w:t>(455,182)</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17,096</w:t>
            </w:r>
          </w:p>
        </w:tc>
        <w:tc>
          <w:tcPr>
            <w:tcW w:w="120" w:type="dxa"/>
            <w:vAlign w:val="bottom"/>
          </w:tcPr>
          <w:p>
            <w:pPr>
              <w:spacing w:after="0"/>
              <w:rPr>
                <w:sz w:val="17"/>
                <w:szCs w:val="17"/>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Retained earnings (accumulated deficit)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(125,950)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125,950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(h)</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(2,970)</w:t>
            </w:r>
          </w:p>
        </w:tc>
        <w:tc>
          <w:tcPr>
            <w:tcW w:w="560" w:type="dxa"/>
            <w:vAlign w:val="bottom"/>
          </w:tcPr>
          <w:p>
            <w:pPr>
              <w:ind w:left="200"/>
              <w:spacing w:after="0"/>
              <w:rPr>
                <w:sz w:val="20"/>
                <w:szCs w:val="20"/>
                <w:color w:val="auto"/>
              </w:rPr>
            </w:pPr>
            <w:r>
              <w:rPr>
                <w:rFonts w:ascii="Arial" w:cs="Arial" w:eastAsia="Arial" w:hAnsi="Arial"/>
                <w:sz w:val="14"/>
                <w:szCs w:val="14"/>
                <w:color w:val="auto"/>
              </w:rPr>
              <w:t>(c)</w:t>
            </w: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99"/>
              </w:rPr>
              <w:t>(13,200)</w:t>
            </w:r>
          </w:p>
        </w:tc>
        <w:tc>
          <w:tcPr>
            <w:tcW w:w="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(k)</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7,562</w:t>
            </w:r>
          </w:p>
        </w:tc>
        <w:tc>
          <w:tcPr>
            <w:tcW w:w="120" w:type="dxa"/>
            <w:vAlign w:val="bottom"/>
          </w:tcPr>
          <w:p>
            <w:pPr>
              <w:spacing w:after="0"/>
              <w:rPr>
                <w:sz w:val="15"/>
                <w:szCs w:val="15"/>
                <w:color w:val="auto"/>
              </w:rPr>
            </w:pP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520" w:type="dxa"/>
            <w:vAlign w:val="bottom"/>
            <w:shd w:val="clear" w:color="auto" w:fill="CCEEFF"/>
          </w:tcPr>
          <w:p>
            <w:pPr>
              <w:spacing w:after="0"/>
              <w:rPr>
                <w:sz w:val="20"/>
                <w:szCs w:val="20"/>
                <w:color w:val="auto"/>
              </w:rPr>
            </w:pPr>
            <w:r>
              <w:rPr>
                <w:rFonts w:ascii="Arial" w:cs="Arial" w:eastAsia="Arial" w:hAnsi="Arial"/>
                <w:sz w:val="14"/>
                <w:szCs w:val="14"/>
                <w:color w:val="auto"/>
              </w:rPr>
              <w:t>Total stockholders' equity (deficit) attributable to common shareholders /</w:t>
            </w:r>
          </w:p>
        </w:tc>
        <w:tc>
          <w:tcPr>
            <w:tcW w:w="120" w:type="dxa"/>
            <w:vAlign w:val="bottom"/>
            <w:gridSpan w:val="2"/>
            <w:vMerge w:val="restart"/>
            <w:shd w:val="clear" w:color="auto" w:fill="CCEEFF"/>
          </w:tcPr>
          <w:p>
            <w:pPr>
              <w:spacing w:after="0"/>
              <w:rPr>
                <w:sz w:val="14"/>
                <w:szCs w:val="14"/>
                <w:color w:val="auto"/>
              </w:rPr>
            </w:pPr>
          </w:p>
        </w:tc>
        <w:tc>
          <w:tcPr>
            <w:tcW w:w="46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26,383</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(35,741)</w:t>
            </w:r>
          </w:p>
        </w:tc>
        <w:tc>
          <w:tcPr>
            <w:tcW w:w="560" w:type="dxa"/>
            <w:vAlign w:val="bottom"/>
            <w:shd w:val="clear" w:color="auto" w:fill="CCEEFF"/>
          </w:tcPr>
          <w:p>
            <w:pPr>
              <w:spacing w:after="0"/>
              <w:rPr>
                <w:sz w:val="14"/>
                <w:szCs w:val="14"/>
                <w:color w:val="auto"/>
              </w:rPr>
            </w:pPr>
          </w:p>
        </w:tc>
        <w:tc>
          <w:tcPr>
            <w:tcW w:w="70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(4,357)</w:t>
            </w:r>
          </w:p>
        </w:tc>
        <w:tc>
          <w:tcPr>
            <w:tcW w:w="0" w:type="dxa"/>
            <w:vAlign w:val="bottom"/>
          </w:tcPr>
          <w:p>
            <w:pPr>
              <w:spacing w:after="0"/>
              <w:rPr>
                <w:sz w:val="1"/>
                <w:szCs w:val="1"/>
                <w:color w:val="auto"/>
              </w:rPr>
            </w:pPr>
          </w:p>
        </w:tc>
      </w:tr>
      <w:tr>
        <w:trPr>
          <w:trHeight w:val="167"/>
        </w:trPr>
        <w:tc>
          <w:tcPr>
            <w:tcW w:w="45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members' equity</w:t>
            </w:r>
          </w:p>
        </w:tc>
        <w:tc>
          <w:tcPr>
            <w:tcW w:w="120" w:type="dxa"/>
            <w:vAlign w:val="bottom"/>
            <w:gridSpan w:val="2"/>
            <w:vMerge w:val="continue"/>
            <w:shd w:val="clear" w:color="auto" w:fill="CCEEFF"/>
          </w:tcPr>
          <w:p>
            <w:pPr>
              <w:spacing w:after="0"/>
              <w:rPr>
                <w:sz w:val="14"/>
                <w:szCs w:val="14"/>
                <w:color w:val="auto"/>
              </w:rPr>
            </w:pPr>
          </w:p>
        </w:tc>
        <w:tc>
          <w:tcPr>
            <w:tcW w:w="4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3"/>
            <w:vMerge w:val="continue"/>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700" w:type="dxa"/>
            <w:vAlign w:val="bottom"/>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color w:val="auto"/>
              </w:rPr>
              <w:t>Noncontrolling interests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4"/>
                <w:szCs w:val="14"/>
                <w:color w:val="auto"/>
              </w:rPr>
              <w:t>(5,849)</w:t>
            </w:r>
          </w:p>
        </w:tc>
        <w:tc>
          <w:tcPr>
            <w:tcW w:w="560" w:type="dxa"/>
            <w:vAlign w:val="bottom"/>
          </w:tcPr>
          <w:p>
            <w:pPr>
              <w:ind w:left="200"/>
              <w:spacing w:after="0"/>
              <w:rPr>
                <w:sz w:val="20"/>
                <w:szCs w:val="20"/>
                <w:color w:val="auto"/>
              </w:rPr>
            </w:pPr>
            <w:r>
              <w:rPr>
                <w:rFonts w:ascii="Arial" w:cs="Arial" w:eastAsia="Arial" w:hAnsi="Arial"/>
                <w:sz w:val="14"/>
                <w:szCs w:val="14"/>
                <w:color w:val="auto"/>
              </w:rPr>
              <w:t>(l)</w:t>
            </w:r>
          </w:p>
        </w:tc>
        <w:tc>
          <w:tcPr>
            <w:tcW w:w="700" w:type="dxa"/>
            <w:vAlign w:val="bottom"/>
            <w:gridSpan w:val="4"/>
          </w:tcPr>
          <w:p>
            <w:pPr>
              <w:jc w:val="right"/>
              <w:ind w:right="60"/>
              <w:spacing w:after="0"/>
              <w:rPr>
                <w:sz w:val="20"/>
                <w:szCs w:val="20"/>
                <w:color w:val="auto"/>
              </w:rPr>
            </w:pPr>
            <w:r>
              <w:rPr>
                <w:rFonts w:ascii="Arial" w:cs="Arial" w:eastAsia="Arial" w:hAnsi="Arial"/>
                <w:sz w:val="14"/>
                <w:szCs w:val="14"/>
                <w:color w:val="auto"/>
              </w:rPr>
              <w:t>(5,849)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stockholders' equity (deficit)/ members' equity</w:t>
            </w:r>
          </w:p>
        </w:tc>
        <w:tc>
          <w:tcPr>
            <w:tcW w:w="120" w:type="dxa"/>
            <w:vAlign w:val="bottom"/>
            <w:gridSpan w:val="2"/>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26,383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9"/>
              </w:rPr>
              <w:t>(41,590)</w:t>
            </w:r>
          </w:p>
        </w:tc>
        <w:tc>
          <w:tcPr>
            <w:tcW w:w="56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(10,206)</w:t>
            </w:r>
          </w:p>
        </w:tc>
        <w:tc>
          <w:tcPr>
            <w:tcW w:w="0" w:type="dxa"/>
            <w:vAlign w:val="bottom"/>
          </w:tcPr>
          <w:p>
            <w:pPr>
              <w:spacing w:after="0"/>
              <w:rPr>
                <w:sz w:val="1"/>
                <w:szCs w:val="1"/>
                <w:color w:val="auto"/>
              </w:rPr>
            </w:pPr>
          </w:p>
        </w:tc>
      </w:tr>
      <w:tr>
        <w:trPr>
          <w:trHeight w:val="21"/>
        </w:trPr>
        <w:tc>
          <w:tcPr>
            <w:tcW w:w="4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52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 (deficit)/ members' equity</w:t>
            </w:r>
          </w:p>
        </w:tc>
        <w:tc>
          <w:tcPr>
            <w:tcW w:w="580" w:type="dxa"/>
            <w:vAlign w:val="bottom"/>
            <w:gridSpan w:val="4"/>
          </w:tcPr>
          <w:p>
            <w:pPr>
              <w:jc w:val="right"/>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95,621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254,406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(15,467)</w:t>
            </w:r>
          </w:p>
        </w:tc>
        <w:tc>
          <w:tcPr>
            <w:tcW w:w="560" w:type="dxa"/>
            <w:vAlign w:val="bottom"/>
          </w:tcPr>
          <w:p>
            <w:pPr>
              <w:spacing w:after="0"/>
              <w:rPr>
                <w:sz w:val="16"/>
                <w:szCs w:val="16"/>
                <w:color w:val="auto"/>
              </w:rPr>
            </w:pPr>
          </w:p>
        </w:tc>
        <w:tc>
          <w:tcPr>
            <w:tcW w:w="700" w:type="dxa"/>
            <w:vAlign w:val="bottom"/>
            <w:gridSpan w:val="4"/>
          </w:tcPr>
          <w:p>
            <w:pPr>
              <w:jc w:val="right"/>
              <w:ind w:right="100"/>
              <w:spacing w:after="0"/>
              <w:rPr>
                <w:sz w:val="20"/>
                <w:szCs w:val="20"/>
                <w:color w:val="auto"/>
              </w:rPr>
            </w:pP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334,560</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-8854440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-8854440</wp:posOffset>
            </wp:positionV>
            <wp:extent cx="596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-8854440</wp:posOffset>
            </wp:positionV>
            <wp:extent cx="120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3511550</wp:posOffset>
            </wp:positionH>
            <wp:positionV relativeFrom="paragraph">
              <wp:posOffset>-8854440</wp:posOffset>
            </wp:positionV>
            <wp:extent cx="1200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-8854440</wp:posOffset>
            </wp:positionV>
            <wp:extent cx="60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9019"/>
          </w:cols>
          <w:pgMar w:left="1440" w:top="265" w:right="1440" w:bottom="142" w:gutter="0" w:footer="0" w:header="0"/>
        </w:sectPr>
      </w:pP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2" w:gutter="0" w:footer="0" w:header="0"/>
          <w:type w:val="continuous"/>
        </w:sectPr>
      </w:pPr>
    </w:p>
    <w:bookmarkStart w:id="46" w:name="page47"/>
    <w:bookmarkEnd w:id="46"/>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OPERATIONS FOR THE</w:t>
      </w:r>
    </w:p>
    <w:p>
      <w:pPr>
        <w:spacing w:after="0" w:line="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rPr>
              <w:t>WMH</w:t>
            </w: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Silver Spike</w:t>
            </w:r>
          </w:p>
        </w:tc>
        <w:tc>
          <w:tcPr>
            <w:tcW w:w="8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restart"/>
          </w:tcPr>
          <w:p>
            <w:pPr>
              <w:jc w:val="right"/>
              <w:ind w:right="14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Adjustments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(Historical)</w:t>
            </w: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7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(Note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41,154</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7,868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7,868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(60)</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(bb)</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(455)</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(cc)</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33,210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(515)</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33,433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7,944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income (expense):</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Interest earned on marketable securities held in Trust</w:t>
            </w:r>
          </w:p>
        </w:tc>
        <w:tc>
          <w:tcPr>
            <w:tcW w:w="3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w:t>
            </w:r>
          </w:p>
        </w:tc>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w w:val="90"/>
              </w:rPr>
              <w:t>Unrealized gain on marketable securities held in Trust</w:t>
            </w: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Account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(78,220)</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6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Total other income (expense)</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(78,190)</w:t>
            </w:r>
          </w:p>
        </w:tc>
        <w:tc>
          <w:tcPr>
            <w:tcW w:w="10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(30)</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(78,192)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provision for income taxes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(78,928)</w:t>
            </w:r>
          </w:p>
        </w:tc>
        <w:tc>
          <w:tcPr>
            <w:tcW w:w="1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(70,471)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(8,422)</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rPr>
              <w:t>(ff)</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(8,181)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(78,928)</w:t>
            </w:r>
          </w:p>
        </w:tc>
        <w:tc>
          <w:tcPr>
            <w:tcW w:w="100" w:type="dxa"/>
            <w:vAlign w:val="bottom"/>
            <w:shd w:val="clear" w:color="auto" w:fill="CCEEFF"/>
          </w:tcPr>
          <w:p>
            <w:pPr>
              <w:spacing w:after="0"/>
              <w:rPr>
                <w:sz w:val="23"/>
                <w:szCs w:val="23"/>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8,907</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(62,290)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1"/>
              </w:rPr>
              <w:t>Net income (loss) attributable to noncontrolling interests</w:t>
            </w:r>
          </w:p>
        </w:tc>
        <w:tc>
          <w:tcPr>
            <w:tcW w:w="3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40"/>
              <w:spacing w:after="0"/>
              <w:rPr>
                <w:sz w:val="20"/>
                <w:szCs w:val="20"/>
                <w:color w:val="auto"/>
              </w:rPr>
            </w:pPr>
            <w:r>
              <w:rPr>
                <w:rFonts w:ascii="Arial" w:cs="Arial" w:eastAsia="Arial" w:hAnsi="Arial"/>
                <w:sz w:val="18"/>
                <w:szCs w:val="18"/>
                <w:color w:val="auto"/>
              </w:rPr>
              <w:t>(40,372)</w:t>
            </w:r>
          </w:p>
        </w:tc>
        <w:tc>
          <w:tcPr>
            <w:tcW w:w="6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(gg)</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(40,372)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3"/>
              </w:rPr>
              <w:t>Net income (loss) attributable to common shareholders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$ 7,731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(78,928)</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6"/>
              </w:rPr>
              <w:t>$ 49,279</w:t>
            </w:r>
          </w:p>
        </w:tc>
        <w:tc>
          <w:tcPr>
            <w:tcW w:w="8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1300" w:type="dxa"/>
            <w:vAlign w:val="bottom"/>
          </w:tcPr>
          <w:p>
            <w:pPr>
              <w:spacing w:after="0"/>
              <w:rPr>
                <w:sz w:val="24"/>
                <w:szCs w:val="24"/>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2"/>
              </w:rPr>
              <w:t>Basic and diluted weighted average shares outstanding</w:t>
            </w:r>
          </w:p>
        </w:tc>
        <w:tc>
          <w:tcPr>
            <w:tcW w:w="3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 Class A</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63,738,563</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 Class A</w:t>
            </w:r>
          </w:p>
        </w:tc>
        <w:tc>
          <w:tcPr>
            <w:tcW w:w="3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41</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-6196965</wp:posOffset>
            </wp:positionV>
            <wp:extent cx="342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-6196965</wp:posOffset>
            </wp:positionV>
            <wp:extent cx="34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-6196965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-6196965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-6196965</wp:posOffset>
            </wp:positionV>
            <wp:extent cx="342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7" w:name="page48"/>
    <w:bookmarkEnd w:id="47"/>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OPERATIONS FOR THE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YEAR ENDED DECEMBER 31, 2020</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Transaction</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rPr>
              <w:t>WMH</w:t>
            </w:r>
          </w:p>
        </w:tc>
        <w:tc>
          <w:tcPr>
            <w:tcW w:w="88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Silver Spike</w:t>
            </w:r>
          </w:p>
        </w:tc>
        <w:tc>
          <w:tcPr>
            <w:tcW w:w="800" w:type="dxa"/>
            <w:vAlign w:val="bottom"/>
            <w:gridSpan w:val="6"/>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Accounting</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restart"/>
          </w:tcPr>
          <w:p>
            <w:pPr>
              <w:jc w:val="right"/>
              <w:ind w:right="148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80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4"/>
              </w:rPr>
              <w:t>Adjustments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(Historical)</w:t>
            </w:r>
          </w:p>
        </w:tc>
        <w:tc>
          <w:tcPr>
            <w:tcW w:w="880" w:type="dxa"/>
            <w:vAlign w:val="bottom"/>
            <w:gridSpan w:val="5"/>
          </w:tcPr>
          <w:p>
            <w:pPr>
              <w:ind w:left="40"/>
              <w:spacing w:after="0"/>
              <w:rPr>
                <w:sz w:val="20"/>
                <w:szCs w:val="20"/>
                <w:color w:val="auto"/>
              </w:rPr>
            </w:pPr>
            <w:r>
              <w:rPr>
                <w:rFonts w:ascii="Arial" w:cs="Arial" w:eastAsia="Arial" w:hAnsi="Arial"/>
                <w:sz w:val="14"/>
                <w:szCs w:val="14"/>
                <w:b w:val="1"/>
                <w:bCs w:val="1"/>
                <w:color w:val="auto"/>
              </w:rPr>
              <w:t>(Historical)</w:t>
            </w:r>
          </w:p>
        </w:tc>
        <w:tc>
          <w:tcPr>
            <w:tcW w:w="60" w:type="dxa"/>
            <w:vAlign w:val="bottom"/>
          </w:tcPr>
          <w:p>
            <w:pPr>
              <w:spacing w:after="0"/>
              <w:rPr>
                <w:sz w:val="16"/>
                <w:szCs w:val="16"/>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(Note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3"/>
          </w:tcPr>
          <w:p>
            <w:pPr>
              <w:jc w:val="right"/>
              <w:ind w:right="148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10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300" w:type="dxa"/>
            <w:vAlign w:val="bottom"/>
          </w:tcPr>
          <w:p>
            <w:pPr>
              <w:spacing w:after="0"/>
              <w:rPr>
                <w:sz w:val="22"/>
                <w:szCs w:val="22"/>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161,791</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7,630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7,630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27,142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27,142</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(bb)</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65,380</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(2,571)</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(cc)</w:t>
            </w: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13,200</w:t>
            </w: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(dd)</w:t>
            </w: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4"/>
          </w:tcPr>
          <w:p>
            <w:pPr>
              <w:jc w:val="right"/>
              <w:ind w:right="80"/>
              <w:spacing w:after="0"/>
              <w:rPr>
                <w:sz w:val="20"/>
                <w:szCs w:val="20"/>
                <w:color w:val="auto"/>
              </w:rPr>
            </w:pPr>
            <w:r>
              <w:rPr>
                <w:rFonts w:ascii="Arial" w:cs="Arial" w:eastAsia="Arial" w:hAnsi="Arial"/>
                <w:sz w:val="18"/>
                <w:szCs w:val="18"/>
                <w:color w:val="auto"/>
              </w:rPr>
              <w:t>3,978</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3,978</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120,593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10,389</w:t>
            </w:r>
          </w:p>
        </w:tc>
        <w:tc>
          <w:tcPr>
            <w:tcW w:w="8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134,846</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41,198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(3,864)</w:t>
            </w:r>
          </w:p>
        </w:tc>
        <w:tc>
          <w:tcPr>
            <w:tcW w:w="10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(10,389)</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26,945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w w:val="91"/>
              </w:rPr>
              <w:t>Interest earned on marketable securities held in Trust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Account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(2,258)</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(aa)</w:t>
            </w:r>
          </w:p>
        </w:tc>
        <w:tc>
          <w:tcPr>
            <w:tcW w:w="216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Unrealized gain on marketable securities held in Trust</w:t>
            </w:r>
          </w:p>
        </w:tc>
        <w:tc>
          <w:tcPr>
            <w:tcW w:w="2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w:t>
            </w:r>
          </w:p>
        </w:tc>
        <w:tc>
          <w:tcPr>
            <w:tcW w:w="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6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(aa)</w:t>
            </w: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(50,420)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(50,420)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0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10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(2,970)</w:t>
            </w:r>
          </w:p>
        </w:tc>
        <w:tc>
          <w:tcPr>
            <w:tcW w:w="64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(ee)</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(5,336)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(2,368)</w:t>
            </w:r>
          </w:p>
        </w:tc>
        <w:tc>
          <w:tcPr>
            <w:tcW w:w="100" w:type="dxa"/>
            <w:vAlign w:val="bottom"/>
            <w:shd w:val="clear" w:color="auto" w:fill="CCEEFF"/>
          </w:tcPr>
          <w:p>
            <w:pPr>
              <w:spacing w:after="0"/>
              <w:rPr>
                <w:sz w:val="23"/>
                <w:szCs w:val="23"/>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(48,157)</w:t>
            </w:r>
          </w:p>
        </w:tc>
        <w:tc>
          <w:tcPr>
            <w:tcW w:w="1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(5,233)</w:t>
            </w:r>
          </w:p>
        </w:tc>
        <w:tc>
          <w:tcPr>
            <w:tcW w:w="5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(55,758)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(52,021)</w:t>
            </w:r>
          </w:p>
        </w:tc>
        <w:tc>
          <w:tcPr>
            <w:tcW w:w="10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(15,622)</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(28,813)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(3,443)</w:t>
            </w:r>
          </w:p>
        </w:tc>
        <w:tc>
          <w:tcPr>
            <w:tcW w:w="6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(ff)</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38,830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(52,021)</w:t>
            </w:r>
          </w:p>
        </w:tc>
        <w:tc>
          <w:tcPr>
            <w:tcW w:w="100" w:type="dxa"/>
            <w:vAlign w:val="bottom"/>
          </w:tcPr>
          <w:p>
            <w:pPr>
              <w:spacing w:after="0"/>
              <w:rPr>
                <w:sz w:val="23"/>
                <w:szCs w:val="23"/>
                <w:color w:val="auto"/>
              </w:rPr>
            </w:pPr>
          </w:p>
        </w:tc>
        <w:tc>
          <w:tcPr>
            <w:tcW w:w="800" w:type="dxa"/>
            <w:vAlign w:val="bottom"/>
            <w:gridSpan w:val="6"/>
          </w:tcPr>
          <w:p>
            <w:pPr>
              <w:jc w:val="right"/>
              <w:ind w:right="40"/>
              <w:spacing w:after="0"/>
              <w:rPr>
                <w:sz w:val="20"/>
                <w:szCs w:val="20"/>
                <w:color w:val="auto"/>
              </w:rPr>
            </w:pPr>
            <w:r>
              <w:rPr>
                <w:rFonts w:ascii="Arial" w:cs="Arial" w:eastAsia="Arial" w:hAnsi="Arial"/>
                <w:sz w:val="18"/>
                <w:szCs w:val="18"/>
                <w:color w:val="auto"/>
              </w:rPr>
              <w:t>(12,179)</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(25,370)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1"/>
              </w:rPr>
              <w:t>Net income (loss) attributable to noncontrolling interests</w:t>
            </w:r>
          </w:p>
        </w:tc>
        <w:tc>
          <w:tcPr>
            <w:tcW w:w="2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(16,507)</w:t>
            </w:r>
          </w:p>
        </w:tc>
        <w:tc>
          <w:tcPr>
            <w:tcW w:w="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(gg)</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(16,507)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4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Net income (loss) attributable to common shareholders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$ 38,830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(52,021)</w:t>
            </w:r>
          </w:p>
        </w:tc>
        <w:tc>
          <w:tcPr>
            <w:tcW w:w="10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4,328</w:t>
            </w:r>
          </w:p>
        </w:tc>
        <w:tc>
          <w:tcPr>
            <w:tcW w:w="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(8,863)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6"/>
        </w:trPr>
        <w:tc>
          <w:tcPr>
            <w:tcW w:w="1300" w:type="dxa"/>
            <w:vAlign w:val="bottom"/>
          </w:tcPr>
          <w:p>
            <w:pPr>
              <w:spacing w:after="0"/>
              <w:rPr>
                <w:sz w:val="24"/>
                <w:szCs w:val="2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0"/>
              </w:rPr>
              <w:t>Basic and diluted weighted average shares outstanding -</w:t>
            </w:r>
          </w:p>
        </w:tc>
        <w:tc>
          <w:tcPr>
            <w:tcW w:w="2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w:t>
            </w:r>
          </w:p>
        </w:tc>
        <w:tc>
          <w:tcPr>
            <w:tcW w:w="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63,738,563</w:t>
            </w: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Basic and diluted net loss per share - Class A</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42</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5518150</wp:posOffset>
            </wp:positionH>
            <wp:positionV relativeFrom="paragraph">
              <wp:posOffset>-6402705</wp:posOffset>
            </wp:positionV>
            <wp:extent cx="342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-6402705</wp:posOffset>
            </wp:positionV>
            <wp:extent cx="342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-6402705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-6402705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-6402705</wp:posOffset>
            </wp:positionV>
            <wp:extent cx="342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Notes to Unaudited Pro Forma Condensed Combined Financial Statements</w:t>
      </w:r>
    </w:p>
    <w:p>
      <w:pPr>
        <w:spacing w:after="0" w:line="356" w:lineRule="exact"/>
        <w:rPr>
          <w:sz w:val="20"/>
          <w:szCs w:val="20"/>
          <w:color w:val="auto"/>
        </w:rPr>
      </w:pPr>
    </w:p>
    <w:p>
      <w:pPr>
        <w:ind w:left="600" w:hanging="308"/>
        <w:spacing w:after="0"/>
        <w:tabs>
          <w:tab w:leader="none" w:pos="6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Business Combination is accounted for as a reverse recapitalization in accordance with GAAP. Under this method of accounting, Silver Spike is treated as the “acquired” company for financial reporting purposes. Accordingly, for accounting purposes, the Business Combination will be treated as the equivalent of Legacy WMH issuing stock for the net assets of Silver Spike, accompanied by a recapitalization. The net assets of Silver Spike are stated at historical cost, with no goodwill or other intangible assets recorded.</w:t>
      </w:r>
    </w:p>
    <w:p>
      <w:pPr>
        <w:spacing w:after="0" w:line="68"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unaudited pro forma condensed combined balance sheet as of March 31, 2021 gives pro forma effect to the Business Combination as if it had been consummated on March 31, 2021. The unaudited pro forma condensed combined statements of operations for the three months ended March 31, 2021 and year ended December 31, 2020, give pro forma effect to the Business Combination as if it had been consummated on January 1, 2020.</w:t>
      </w:r>
    </w:p>
    <w:p>
      <w:pPr>
        <w:spacing w:after="0" w:line="4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balance sheet as of March 31, 2021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Silver Spike’s unaudited balance sheet as of March 31, 2021 and the related notes, included in the Proxy Statement/Prospectus;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Legacy WMH’s unaudited balance sheet as of March 31, 2021 and the related notes, included in the Proxy Statement/Prospectus.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2021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Silver Spike’s unaudited statement of operations for the three months ended March 31, 2021 and the related notes, included in the Proxy Statement/Prospectus;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Legacy WMH’s unaudited statement of operations for the three months ended March 31, 2021 and the related notes, included in the Proxy Statement/Prospectus.</w:t>
      </w:r>
    </w:p>
    <w:p>
      <w:pPr>
        <w:spacing w:after="0" w:line="62"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2020 has been prepared using, and should be read in conjunction with, the following:</w:t>
      </w:r>
    </w:p>
    <w:p>
      <w:pPr>
        <w:spacing w:after="0" w:line="62" w:lineRule="exact"/>
        <w:rPr>
          <w:sz w:val="20"/>
          <w:szCs w:val="20"/>
          <w:color w:val="auto"/>
        </w:rPr>
      </w:pPr>
    </w:p>
    <w:p>
      <w:pPr>
        <w:ind w:left="1000" w:right="31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Silver Spike’s audited statement of operations for the year ended December 31, 2020 and the related notes, included in the Proxy Statement/Prospectus;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Legacy WMH’s audited consolidated statement of operations for the year ended December 31, 2020 and the related notes, included in the Proxy Statement/Prospectus.</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5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pro forma adjustments reflecting the consummation of the Business Combination are based on certain currently available information and certain assumptions and methodologies that management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based on information available to management at the time and that the pro forma adjustments give appropriate effect to those assumptions and are properly applied in the unaudited pro forma condensed combined financial information.</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post-combination company. They should be read in conjunction with the historical financial statements and notes thereto of Silver Spike and Legacy WMH.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58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Adjustments to Unaudited Pro Forma Condensed Combined Financial Information</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Arial" w:cs="Arial" w:eastAsia="Arial" w:hAnsi="Arial"/>
          <w:sz w:val="17"/>
          <w:szCs w:val="17"/>
          <w:i w:val="1"/>
          <w:iCs w:val="1"/>
          <w:color w:val="auto"/>
        </w:rPr>
        <w:t>Transaction</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Adjustments”</w:t>
      </w:r>
      <w:r>
        <w:rPr>
          <w:rFonts w:ascii="Arial" w:cs="Arial" w:eastAsia="Arial" w:hAnsi="Arial"/>
          <w:sz w:val="17"/>
          <w:szCs w:val="17"/>
          <w:color w:val="auto"/>
        </w:rPr>
        <w:t>) and present the reasonably estimable synergies and other transaction effects that have</w:t>
      </w:r>
      <w:r>
        <w:rPr>
          <w:rFonts w:ascii="Arial" w:cs="Arial" w:eastAsia="Arial" w:hAnsi="Arial"/>
          <w:sz w:val="17"/>
          <w:szCs w:val="17"/>
          <w:i w:val="1"/>
          <w:iCs w:val="1"/>
          <w:color w:val="auto"/>
        </w:rPr>
        <w:t xml:space="preserve"> </w:t>
      </w:r>
      <w:r>
        <w:rPr>
          <w:rFonts w:ascii="Arial" w:cs="Arial" w:eastAsia="Arial" w:hAnsi="Arial"/>
          <w:sz w:val="17"/>
          <w:szCs w:val="17"/>
          <w:color w:val="auto"/>
        </w:rPr>
        <w:t>occurred or are reasonably expected to occur (</w:t>
      </w:r>
      <w:r>
        <w:rPr>
          <w:rFonts w:ascii="Arial" w:cs="Arial" w:eastAsia="Arial" w:hAnsi="Arial"/>
          <w:sz w:val="17"/>
          <w:szCs w:val="17"/>
          <w:i w:val="1"/>
          <w:iCs w:val="1"/>
          <w:color w:val="auto"/>
        </w:rPr>
        <w:t>“Management’s Adjustments”</w:t>
      </w:r>
      <w:r>
        <w:rPr>
          <w:rFonts w:ascii="Arial" w:cs="Arial" w:eastAsia="Arial" w:hAnsi="Arial"/>
          <w:sz w:val="17"/>
          <w:szCs w:val="17"/>
          <w:color w:val="auto"/>
        </w:rPr>
        <w:t>). The Company has elected not to present Management’s Adjustments and will only be presenting Transaction Accounting Adjustments in the following unaudited pro forma condensed combined financial information.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Silver Spike and Legacy WMH have not had any historical relationship prior to the Business Combination.</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Accordingly, no pro forma adjustments were required to eliminate activities between the companies.</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7"/>
          <w:szCs w:val="17"/>
          <w:b w:val="1"/>
          <w:bCs w:val="1"/>
          <w:i w:val="1"/>
          <w:iCs w:val="1"/>
          <w:color w:val="auto"/>
        </w:rPr>
        <w:t>Transaction Accounting Adjustments to Unaudited Pro Forma Condensed Combined Balance Sheet</w:t>
      </w:r>
    </w:p>
    <w:p>
      <w:pPr>
        <w:spacing w:after="0" w:line="12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Transaction Accounting Adjustments included in the unaudited pro forma condensed combined balance sheet as of March 31, 2021 are as follows:</w:t>
      </w:r>
    </w:p>
    <w:p>
      <w:pPr>
        <w:spacing w:after="0" w:line="62" w:lineRule="exact"/>
        <w:rPr>
          <w:sz w:val="20"/>
          <w:szCs w:val="20"/>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Reflects the reclassification of marketable securities held in the Trust Account that became available following the Business Combination.</w:t>
      </w:r>
    </w:p>
    <w:p>
      <w:pPr>
        <w:spacing w:after="0" w:line="62" w:lineRule="exact"/>
        <w:rPr>
          <w:sz w:val="20"/>
          <w:szCs w:val="20"/>
          <w:color w:val="auto"/>
        </w:rPr>
      </w:pPr>
    </w:p>
    <w:p>
      <w:pPr>
        <w:ind w:left="1000" w:hanging="348"/>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settlement of $8.75 million in deferred underwriting fees.</w:t>
      </w:r>
    </w:p>
    <w:p>
      <w:pPr>
        <w:spacing w:after="0" w:line="117" w:lineRule="exact"/>
        <w:rPr>
          <w:sz w:val="20"/>
          <w:szCs w:val="20"/>
          <w:color w:val="auto"/>
        </w:rPr>
      </w:pPr>
    </w:p>
    <w:p>
      <w:pPr>
        <w:jc w:val="both"/>
        <w:ind w:left="1000" w:right="319" w:hanging="348"/>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estimated transaction costs incurred by Silver Spike and Legacy WMH of approximately $32.9 million for legal, financial advisory and other professional fees incurred in consummating the Business Combination. Of this amount, approximately:</w:t>
      </w:r>
    </w:p>
    <w:p>
      <w:pPr>
        <w:spacing w:after="0" w:line="75"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$2.6 million was capitalized within Prepaid expenses and other current assets and paid by Legacy WMH as of March 31, 2021.</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$0.6 was capitalized within Prepaid expenses and other current assets and accrued within Accounts payable and accrued expenses by Legacy WMH as of March 31, 2021.</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 million was accrued by Silver Spike in Accounts payable and accrued expenses as of March 31, 2021 and previously recognized in expense.</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$30.3 million was reflected as a reduction of cash, which represents the estimated transaction costs of $32.9 million less the $2.6 million previously paid by Legacy WMH.</w:t>
      </w:r>
    </w:p>
    <w:p>
      <w:pPr>
        <w:spacing w:after="0" w:line="62"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$3.0 million were not capitalized as part of the Business Combination and reflected as a decrease in accumulated deficit. The costs expensed through accumulated deficit are included in the unaudited pro forma condensed combined statement of operations for the year ended December 31, 2020 as discussed in Note (ee) below.</w:t>
      </w:r>
    </w:p>
    <w:p>
      <w:pPr>
        <w:spacing w:after="0" w:line="78" w:lineRule="exact"/>
        <w:rPr>
          <w:rFonts w:ascii="Arial" w:cs="Arial" w:eastAsia="Arial" w:hAnsi="Arial"/>
          <w:sz w:val="18"/>
          <w:szCs w:val="18"/>
          <w:color w:val="auto"/>
        </w:rPr>
      </w:pPr>
    </w:p>
    <w:p>
      <w:pPr>
        <w:jc w:val="both"/>
        <w:ind w:left="1360" w:right="319" w:hanging="348"/>
        <w:spacing w:after="0" w:line="273" w:lineRule="auto"/>
        <w:tabs>
          <w:tab w:leader="none" w:pos="13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$26.9 million were capitalized and offset against the proceeds from the Business Combination and PIPE subscription financing and reflected as a decrease in additional paid-in capital. This amount represents total estimated transaction costs less: 1) $3.0 million previously recognized in expense by Silver Spike and reclassified to additional paid-in capital in Note 2(h) of this unaudited pro forma condensed combined financial information; and 2) $3.0 million that were not capitalized as part of the Business Combination and reflected as a decrease in accumulated deficit.</w:t>
      </w:r>
    </w:p>
    <w:p>
      <w:pPr>
        <w:spacing w:after="0" w:line="70" w:lineRule="exact"/>
        <w:rPr>
          <w:sz w:val="20"/>
          <w:szCs w:val="20"/>
          <w:color w:val="auto"/>
        </w:rPr>
      </w:pPr>
    </w:p>
    <w:p>
      <w:pPr>
        <w:jc w:val="both"/>
        <w:ind w:left="1000" w:right="319" w:hanging="348"/>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proceeds of $325.0 million from the issuance and sale of 32,500,000 shares of Class A Common Stock at $10.00 per share in the PIPE subscription financing pursuant to the terms of the Subscription Agreements.</w:t>
      </w:r>
    </w:p>
    <w:p>
      <w:pPr>
        <w:spacing w:after="0" w:line="76" w:lineRule="exact"/>
        <w:rPr>
          <w:sz w:val="20"/>
          <w:szCs w:val="20"/>
          <w:color w:val="auto"/>
        </w:rPr>
      </w:pPr>
    </w:p>
    <w:p>
      <w:pPr>
        <w:ind w:left="1000" w:right="319" w:hanging="348"/>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Reflects the reclassification of $95.0 million of Class A ordinary shares subject to possible redemption to permanent equity.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share redemptions of 10,012 shares of Class A ordinary shares for $101,822 allocated to Class A ordinary shares and additional paid-in capital using par value of $0.0001 per share and at a redemption price of $10.17 per share.</w:t>
      </w:r>
    </w:p>
    <w:p>
      <w:pPr>
        <w:spacing w:after="0" w:line="76" w:lineRule="exact"/>
        <w:rPr>
          <w:sz w:val="20"/>
          <w:szCs w:val="20"/>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conversion of Class A ordinary shares and Class B ordinary shares, on a one-for-one basis, into shares of Class A Common Stock upon the Domestication.</w:t>
      </w:r>
    </w:p>
    <w:p>
      <w:pPr>
        <w:spacing w:after="0" w:line="62"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Reflects the elimination of Silver Spike’s historical accumulated deficit.</w:t>
      </w:r>
    </w:p>
    <w:p>
      <w:pPr>
        <w:spacing w:after="0" w:line="117" w:lineRule="exact"/>
        <w:rPr>
          <w:sz w:val="20"/>
          <w:szCs w:val="20"/>
          <w:color w:val="auto"/>
        </w:rPr>
      </w:pPr>
    </w:p>
    <w:p>
      <w:pPr>
        <w:jc w:val="both"/>
        <w:ind w:left="1000" w:right="299" w:hanging="348"/>
        <w:spacing w:after="0" w:line="263"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the issuance of 65,502,347 shares of Class V Common Stock upon the Closing. The Class V Common Stock, par value $0.0001, entitle their holder to one vote per share but not any right to dividends or distributions.</w:t>
      </w:r>
    </w:p>
    <w:p>
      <w:pPr>
        <w:spacing w:after="0" w:line="76" w:lineRule="exact"/>
        <w:rPr>
          <w:sz w:val="20"/>
          <w:szCs w:val="20"/>
          <w:color w:val="auto"/>
        </w:rPr>
      </w:pPr>
    </w:p>
    <w:p>
      <w:pPr>
        <w:jc w:val="both"/>
        <w:ind w:left="1000" w:right="319" w:hanging="348"/>
        <w:spacing w:after="0" w:line="29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Reflects pursuant to the terms of the tax receivable agreement (1) the estimated deferred tax asset related to the tax basis step-up on the exchange of common units for cash in the Business Combination, and</w:t>
      </w:r>
    </w:p>
    <w:p>
      <w:pPr>
        <w:jc w:val="both"/>
        <w:ind w:left="1000" w:right="299"/>
        <w:spacing w:after="0" w:line="290" w:lineRule="auto"/>
        <w:rPr>
          <w:rFonts w:ascii="Arial" w:cs="Arial" w:eastAsia="Arial" w:hAnsi="Arial"/>
          <w:sz w:val="16"/>
          <w:szCs w:val="16"/>
          <w:color w:val="auto"/>
        </w:rPr>
      </w:pPr>
      <w:r>
        <w:rPr>
          <w:rFonts w:ascii="Arial" w:cs="Arial" w:eastAsia="Arial" w:hAnsi="Arial"/>
          <w:sz w:val="16"/>
          <w:szCs w:val="16"/>
          <w:color w:val="auto"/>
        </w:rPr>
        <w:t>(2) the tax receivable agreement liability for amounts payable to post-merger WMH equity holders for tax benefits received by the Company on the step-up. The adjustment to deferred tax asset was calculated based on the estimated tax basis step-up multiplied by an estimated effective tax rate of 27.98%. The adjustment to long-term payable under Tax Receivable Agreement is 85% of the estimated tax benefit, in accordance with the terms of the tax receivable agreement. The remaining difference between the deferred tax asset and tax receivable agreement liability is reflected as additional paid-in capital.</w:t>
      </w:r>
    </w:p>
    <w:p>
      <w:pPr>
        <w:spacing w:after="0" w:line="56" w:lineRule="exact"/>
        <w:rPr>
          <w:sz w:val="20"/>
          <w:szCs w:val="20"/>
          <w:color w:val="auto"/>
        </w:rPr>
      </w:pPr>
    </w:p>
    <w:p>
      <w:pPr>
        <w:jc w:val="both"/>
        <w:ind w:left="1000" w:right="319" w:hanging="348"/>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approximately $13.2 million of share-based expense associated with vested Legacy WMH Class B units, which expense will be recorded upon the Closing. The cost expensed through accumulated deficit is included in the unaudited pro forma condensed combined statement of operations for the year ended December 31, 2020 as discussed in Note (dd) below.</w:t>
      </w:r>
    </w:p>
    <w:p>
      <w:pPr>
        <w:spacing w:after="0" w:line="79" w:lineRule="exact"/>
        <w:rPr>
          <w:sz w:val="20"/>
          <w:szCs w:val="20"/>
          <w:color w:val="auto"/>
        </w:rPr>
      </w:pPr>
    </w:p>
    <w:p>
      <w:pPr>
        <w:jc w:val="both"/>
        <w:ind w:left="1000" w:right="299" w:hanging="348"/>
        <w:spacing w:after="0" w:line="255"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the pro forma adjustment to: 1) reflect the payment of the cash consideration of $455.2 million to the Legacy WMH equity holders, and 2) to present the post-merger WMH units as noncontrolling interest upon the reorganization of the post-combination company into an Up-C structure. The noncontrolling interest adjustment reflects the allocation of the post-combination company’s total equity (deficit) to the holders of post-merger WMH units approximate 57.3% economic interest in the post-combination company, as follows:</w:t>
      </w:r>
    </w:p>
    <w:p>
      <w:pPr>
        <w:spacing w:after="0" w:line="14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9"/>
              </w:rPr>
              <w:t>Total</w:t>
            </w:r>
          </w:p>
        </w:tc>
        <w:tc>
          <w:tcPr>
            <w:tcW w:w="116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100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1160" w:type="dxa"/>
            <w:vAlign w:val="bottom"/>
            <w:gridSpan w:val="5"/>
            <w:vMerge w:val="continue"/>
          </w:tcPr>
          <w:p>
            <w:pPr>
              <w:spacing w:after="0"/>
              <w:rPr>
                <w:sz w:val="12"/>
                <w:szCs w:val="12"/>
                <w:color w:val="auto"/>
              </w:rPr>
            </w:pP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center"/>
              <w:ind w:right="15"/>
              <w:spacing w:after="0"/>
              <w:rPr>
                <w:sz w:val="20"/>
                <w:szCs w:val="20"/>
                <w:color w:val="auto"/>
              </w:rPr>
            </w:pPr>
            <w:r>
              <w:rPr>
                <w:rFonts w:ascii="Arial" w:cs="Arial" w:eastAsia="Arial" w:hAnsi="Arial"/>
                <w:sz w:val="14"/>
                <w:szCs w:val="14"/>
                <w:b w:val="1"/>
                <w:bCs w:val="1"/>
                <w:color w:val="auto"/>
              </w:rPr>
              <w:t>(100%)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7"/>
              </w:rPr>
              <w:t>(57.3%)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7"/>
              </w:rPr>
              <w:t>(42.7%)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4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Historical Legacy WMH members' equity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26,383</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Historical Silver Spike total stockholders' equity</w:t>
            </w:r>
          </w:p>
        </w:tc>
        <w:tc>
          <w:tcPr>
            <w:tcW w:w="1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5,001</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issued in the PIPE subscription financing</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325,000</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186,186</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138,814</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Reclass of redeemable public shares to permanent equity</w:t>
            </w:r>
          </w:p>
        </w:tc>
        <w:tc>
          <w:tcPr>
            <w:tcW w:w="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95,006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54,427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40,579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Redemption of public shares</w:t>
            </w: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240" w:type="dxa"/>
            <w:vAlign w:val="bottom"/>
            <w:tcBorders>
              <w:bottom w:val="single" w:sz="8" w:color="CCEEFF"/>
              <w:right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0"/>
                <w:szCs w:val="20"/>
                <w:color w:val="auto"/>
              </w:rPr>
            </w:pPr>
            <w:r>
              <w:rPr>
                <w:rFonts w:ascii="Arial" w:cs="Arial" w:eastAsia="Arial" w:hAnsi="Arial"/>
                <w:sz w:val="18"/>
                <w:szCs w:val="18"/>
                <w:color w:val="auto"/>
              </w:rPr>
              <w:t>Payment of transaction costs</w:t>
            </w:r>
          </w:p>
        </w:tc>
        <w:tc>
          <w:tcPr>
            <w:tcW w:w="12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(29,878)</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(17,117)</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54"/>
        </w:trPr>
        <w:tc>
          <w:tcPr>
            <w:tcW w:w="5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adjustment related to deferred tax asset and Tax Receivable</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Agreement liabilitiy</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440" w:type="dxa"/>
            <w:vAlign w:val="bottom"/>
          </w:tcPr>
          <w:p>
            <w:pPr>
              <w:spacing w:after="0"/>
              <w:rPr>
                <w:sz w:val="20"/>
                <w:szCs w:val="20"/>
                <w:color w:val="auto"/>
              </w:rPr>
            </w:pPr>
            <w:r>
              <w:rPr>
                <w:rFonts w:ascii="Arial" w:cs="Arial" w:eastAsia="Arial" w:hAnsi="Arial"/>
                <w:sz w:val="18"/>
                <w:szCs w:val="18"/>
                <w:color w:val="auto"/>
              </w:rPr>
              <w:t>Payment of aggregate cash consideration</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8"/>
              </w:rPr>
              <w:t>(455,182)</w:t>
            </w:r>
          </w:p>
        </w:tc>
        <w:tc>
          <w:tcPr>
            <w:tcW w:w="200" w:type="dxa"/>
            <w:vAlign w:val="bottom"/>
          </w:tcPr>
          <w:p>
            <w:pPr>
              <w:spacing w:after="0"/>
              <w:rPr>
                <w:sz w:val="22"/>
                <w:szCs w:val="22"/>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(260,767)</w:t>
            </w:r>
          </w:p>
        </w:tc>
        <w:tc>
          <w:tcPr>
            <w:tcW w:w="240" w:type="dxa"/>
            <w:vAlign w:val="bottom"/>
          </w:tcPr>
          <w:p>
            <w:pPr>
              <w:spacing w:after="0"/>
              <w:rPr>
                <w:sz w:val="22"/>
                <w:szCs w:val="22"/>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(194,415)</w:t>
            </w:r>
          </w:p>
        </w:tc>
        <w:tc>
          <w:tcPr>
            <w:tcW w:w="0" w:type="dxa"/>
            <w:vAlign w:val="bottom"/>
          </w:tcPr>
          <w:p>
            <w:pPr>
              <w:spacing w:after="0"/>
              <w:rPr>
                <w:sz w:val="1"/>
                <w:szCs w:val="1"/>
                <w:color w:val="auto"/>
              </w:rPr>
            </w:pPr>
          </w:p>
        </w:tc>
      </w:tr>
      <w:tr>
        <w:trPr>
          <w:trHeight w:val="61"/>
        </w:trPr>
        <w:tc>
          <w:tcPr>
            <w:tcW w:w="54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54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(10,206)</w:t>
            </w:r>
          </w:p>
        </w:tc>
        <w:tc>
          <w:tcPr>
            <w:tcW w:w="200" w:type="dxa"/>
            <w:vAlign w:val="bottom"/>
            <w:shd w:val="clear" w:color="auto" w:fill="CCEEFF"/>
          </w:tcPr>
          <w:p>
            <w:pPr>
              <w:spacing w:after="0"/>
              <w:rPr>
                <w:sz w:val="24"/>
                <w:szCs w:val="24"/>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(5,849)</w:t>
            </w:r>
          </w:p>
        </w:tc>
        <w:tc>
          <w:tcPr>
            <w:tcW w:w="24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(4,357)</w:t>
            </w:r>
          </w:p>
        </w:tc>
        <w:tc>
          <w:tcPr>
            <w:tcW w:w="0" w:type="dxa"/>
            <w:vAlign w:val="bottom"/>
          </w:tcPr>
          <w:p>
            <w:pPr>
              <w:spacing w:after="0"/>
              <w:rPr>
                <w:sz w:val="1"/>
                <w:szCs w:val="1"/>
                <w:color w:val="auto"/>
              </w:rPr>
            </w:pPr>
          </w:p>
        </w:tc>
      </w:tr>
      <w:tr>
        <w:trPr>
          <w:trHeight w:val="27"/>
        </w:trPr>
        <w:tc>
          <w:tcPr>
            <w:tcW w:w="54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4866005</wp:posOffset>
            </wp:positionH>
            <wp:positionV relativeFrom="paragraph">
              <wp:posOffset>-2022475</wp:posOffset>
            </wp:positionV>
            <wp:extent cx="120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-2022475</wp:posOffset>
            </wp:positionV>
            <wp:extent cx="120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-2022475</wp:posOffset>
            </wp:positionV>
            <wp:extent cx="603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adjustment to noncontrolling interest was recorded with an offset: (1) to eliminate WMH equity holders’ units balance of $18.8 million; (2) to retained earnings for $7.6 million, representing the portion of the share-based expense in Note (k) allocated to noncontrolling interests; and (3) to additional paid-in capital for the residual amount of $15.3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5"/>
          <w:szCs w:val="15"/>
          <w:b w:val="1"/>
          <w:bCs w:val="1"/>
          <w:i w:val="1"/>
          <w:iCs w:val="1"/>
          <w:color w:val="auto"/>
        </w:rPr>
        <w:t>Transaction Accounting Adjustments to Unaudited Pro Forma Condensed Combined Statements of Operations</w:t>
      </w:r>
    </w:p>
    <w:p>
      <w:pPr>
        <w:spacing w:after="0" w:line="152"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The Transaction Accounting Adjustments included in the unaudited pro forma condensed combined statements of operations for the three months ended March 31, 2021 and year ended December 31, 2020 as follows:</w:t>
      </w:r>
    </w:p>
    <w:p>
      <w:pPr>
        <w:spacing w:after="0" w:line="16" w:lineRule="exact"/>
        <w:rPr>
          <w:sz w:val="20"/>
          <w:szCs w:val="20"/>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pro forma adjustment to eliminate interest income and unrealized gains on marketable securities held in the Trust Account.</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pro forma adjustment to eliminate historical expenses related to Silver Spike’s office space, administrative and support services paid to the sponsor, which terminated upon consummation of the Business Combination.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Reflects pro forma adjustment to eliminate transaction costs expensed by Silver Spike during the three months ended March 31, 2021 and year ended December 31, 2020, which will be capitalized as part of the Business Combination or recognized in expense in Note (ee) below.</w:t>
      </w:r>
    </w:p>
    <w:p>
      <w:pPr>
        <w:spacing w:after="0" w:line="75" w:lineRule="exact"/>
        <w:rPr>
          <w:rFonts w:ascii="Arial" w:cs="Arial" w:eastAsia="Arial" w:hAnsi="Arial"/>
          <w:sz w:val="18"/>
          <w:szCs w:val="18"/>
          <w:color w:val="auto"/>
        </w:rPr>
      </w:pPr>
    </w:p>
    <w:p>
      <w:pPr>
        <w:jc w:val="both"/>
        <w:ind w:left="1000" w:right="319" w:hanging="348"/>
        <w:spacing w:after="0" w:line="27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approximately $13.2 million of share-based expense associated with vested Legacy WMH Class B units, which expense is recorded upon the Closing. These costs are reflected as incurred on January 1, 2020, the date the Business Combination occurred for purposes of the unaudited pro forma condensed combined statements of operations. This is a non-recurring item.</w:t>
      </w:r>
    </w:p>
    <w:p>
      <w:pPr>
        <w:spacing w:after="0" w:line="63" w:lineRule="exact"/>
        <w:rPr>
          <w:rFonts w:ascii="Arial" w:cs="Arial" w:eastAsia="Arial" w:hAnsi="Arial"/>
          <w:sz w:val="17"/>
          <w:szCs w:val="17"/>
          <w:color w:val="auto"/>
        </w:rPr>
      </w:pPr>
    </w:p>
    <w:p>
      <w:pPr>
        <w:jc w:val="both"/>
        <w:ind w:left="1000" w:right="319" w:hanging="348"/>
        <w:spacing w:after="0" w:line="279"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Reflects estimated transaction costs allocated to the public and private placement warrant liabilities that are assumed as part of the Business Combination. These costs are reflected as if incurred on January 1, 2020, the date the Business Combination occurred for the purposes of the unaudited pro forma condensed combined statements of operations. This is a non-recurring item.</w:t>
      </w:r>
    </w:p>
    <w:p>
      <w:pPr>
        <w:spacing w:after="0" w:line="63" w:lineRule="exact"/>
        <w:rPr>
          <w:rFonts w:ascii="Arial" w:cs="Arial" w:eastAsia="Arial" w:hAnsi="Arial"/>
          <w:sz w:val="17"/>
          <w:szCs w:val="17"/>
          <w:color w:val="auto"/>
        </w:rPr>
      </w:pPr>
    </w:p>
    <w:p>
      <w:pPr>
        <w:ind w:left="1000" w:hanging="348"/>
        <w:spacing w:after="0"/>
        <w:tabs>
          <w:tab w:leader="none" w:pos="10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the pro forma adjustment for income taxes, applying an estimated statutory tax rate of 27.98%.</w:t>
      </w:r>
    </w:p>
    <w:p>
      <w:pPr>
        <w:spacing w:after="0" w:line="140" w:lineRule="exact"/>
        <w:rPr>
          <w:rFonts w:ascii="Arial" w:cs="Arial" w:eastAsia="Arial" w:hAnsi="Arial"/>
          <w:sz w:val="16"/>
          <w:szCs w:val="16"/>
          <w:color w:val="auto"/>
        </w:rPr>
      </w:pPr>
    </w:p>
    <w:p>
      <w:pPr>
        <w:jc w:val="both"/>
        <w:ind w:left="1000" w:right="299" w:hanging="348"/>
        <w:spacing w:after="0" w:line="28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the pro forma adjustment to allocate net loss to the noncontrolling interests. As the provision for income taxes was all attributable to common shareholders, the allocation of net loss to the noncontrolling interests was determined using Loss before provision for income taxes, as follows: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860" w:type="dxa"/>
            <w:vAlign w:val="bottom"/>
          </w:tcPr>
          <w:p>
            <w:pPr>
              <w:jc w:val="right"/>
              <w:ind w:right="24"/>
              <w:spacing w:after="0"/>
              <w:rPr>
                <w:sz w:val="20"/>
                <w:szCs w:val="20"/>
                <w:color w:val="auto"/>
              </w:rPr>
            </w:pPr>
            <w:r>
              <w:rPr>
                <w:rFonts w:ascii="Arial" w:cs="Arial" w:eastAsia="Arial" w:hAnsi="Arial"/>
                <w:sz w:val="14"/>
                <w:szCs w:val="14"/>
                <w:b w:val="1"/>
                <w:bCs w:val="1"/>
                <w:color w:val="auto"/>
                <w:w w:val="96"/>
              </w:rPr>
              <w:t>Year Ended</w:t>
            </w:r>
          </w:p>
        </w:tc>
      </w:tr>
      <w:tr>
        <w:trPr>
          <w:trHeight w:val="149"/>
        </w:trPr>
        <w:tc>
          <w:tcPr>
            <w:tcW w:w="63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86"/>
        </w:trPr>
        <w:tc>
          <w:tcPr>
            <w:tcW w:w="630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2021</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63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284"/>
        </w:trPr>
        <w:tc>
          <w:tcPr>
            <w:tcW w:w="6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before provision for income taxes</w:t>
            </w:r>
          </w:p>
        </w:tc>
        <w:tc>
          <w:tcPr>
            <w:tcW w:w="9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6"/>
                <w:szCs w:val="16"/>
                <w:color w:val="auto"/>
              </w:rPr>
              <w:t>$(70,471)</w:t>
            </w:r>
          </w:p>
        </w:tc>
        <w:tc>
          <w:tcPr>
            <w:tcW w:w="2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$(28,813)</w:t>
            </w:r>
          </w:p>
        </w:tc>
      </w:tr>
      <w:tr>
        <w:trPr>
          <w:trHeight w:val="237"/>
        </w:trPr>
        <w:tc>
          <w:tcPr>
            <w:tcW w:w="6300" w:type="dxa"/>
            <w:vAlign w:val="bottom"/>
          </w:tcPr>
          <w:p>
            <w:pPr>
              <w:spacing w:after="0"/>
              <w:rPr>
                <w:sz w:val="20"/>
                <w:szCs w:val="20"/>
                <w:color w:val="auto"/>
              </w:rPr>
            </w:pPr>
            <w:r>
              <w:rPr>
                <w:rFonts w:ascii="Arial" w:cs="Arial" w:eastAsia="Arial" w:hAnsi="Arial"/>
                <w:sz w:val="16"/>
                <w:szCs w:val="16"/>
                <w:color w:val="auto"/>
              </w:rPr>
              <w:t>Economic interest held by noncontrolling interest holders</w:t>
            </w:r>
          </w:p>
        </w:tc>
        <w:tc>
          <w:tcPr>
            <w:tcW w:w="980" w:type="dxa"/>
            <w:vAlign w:val="bottom"/>
          </w:tcPr>
          <w:p>
            <w:pPr>
              <w:jc w:val="right"/>
              <w:spacing w:after="0"/>
              <w:rPr>
                <w:sz w:val="20"/>
                <w:szCs w:val="20"/>
                <w:color w:val="auto"/>
              </w:rPr>
            </w:pPr>
            <w:r>
              <w:rPr>
                <w:rFonts w:ascii="Arial" w:cs="Arial" w:eastAsia="Arial" w:hAnsi="Arial"/>
                <w:sz w:val="16"/>
                <w:szCs w:val="16"/>
                <w:color w:val="auto"/>
              </w:rPr>
              <w:t>57.3%</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57.3%</w:t>
            </w:r>
          </w:p>
        </w:tc>
      </w:tr>
      <w:tr>
        <w:trPr>
          <w:trHeight w:val="47"/>
        </w:trPr>
        <w:tc>
          <w:tcPr>
            <w:tcW w:w="6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43"/>
        </w:trPr>
        <w:tc>
          <w:tcPr>
            <w:tcW w:w="630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noncontrolling interests</w:t>
            </w: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rPr>
              <w:t>$(40,372)</w:t>
            </w: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$(16,507)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4814570</wp:posOffset>
            </wp:positionH>
            <wp:positionV relativeFrom="paragraph">
              <wp:posOffset>-539115</wp:posOffset>
            </wp:positionV>
            <wp:extent cx="171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4111625</wp:posOffset>
            </wp:positionH>
            <wp:positionV relativeFrom="paragraph">
              <wp:posOffset>-539115</wp:posOffset>
            </wp:positionV>
            <wp:extent cx="857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78" w:lineRule="exact"/>
        <w:rPr>
          <w:sz w:val="20"/>
          <w:szCs w:val="20"/>
          <w:color w:val="auto"/>
        </w:rPr>
      </w:pPr>
    </w:p>
    <w:p>
      <w:pPr>
        <w:ind w:left="600" w:hanging="308"/>
        <w:spacing w:after="0"/>
        <w:tabs>
          <w:tab w:leader="none" w:pos="6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PIPE subscription financing, assuming the shares were outstanding since January 1, 2020. As the Business Combination is being reflected as if it had occurred at the beginning of the periods presented, the calculation of weighted average shares outstanding for basic and diluted net loss per share assumes that the shares issuable relating to the PIPE subscription financing have been outstanding for the entire periods presented.</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w:t>
            </w:r>
          </w:p>
        </w:tc>
        <w:tc>
          <w:tcPr>
            <w:tcW w:w="2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r>
      <w:tr>
        <w:trPr>
          <w:trHeight w:val="148"/>
        </w:trPr>
        <w:tc>
          <w:tcPr>
            <w:tcW w:w="128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86"/>
        </w:trPr>
        <w:tc>
          <w:tcPr>
            <w:tcW w:w="12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2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4"/>
              </w:rPr>
              <w:t>March 31, 2021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1280" w:type="dxa"/>
            <w:vAlign w:val="bottom"/>
            <w:tcBorders>
              <w:bottom w:val="single" w:sz="8" w:color="CCEEFF"/>
            </w:tcBorders>
          </w:tcPr>
          <w:p>
            <w:pPr>
              <w:spacing w:after="0"/>
              <w:rPr>
                <w:sz w:val="4"/>
                <w:szCs w:val="4"/>
                <w:color w:val="auto"/>
              </w:rPr>
            </w:pPr>
          </w:p>
        </w:tc>
        <w:tc>
          <w:tcPr>
            <w:tcW w:w="500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8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Pro forma net loss attributable to common shareholders (in thousands)</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(21,918)</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(8,863)</w:t>
            </w:r>
          </w:p>
        </w:tc>
      </w:tr>
      <w:tr>
        <w:trPr>
          <w:trHeight w:val="237"/>
        </w:trPr>
        <w:tc>
          <w:tcPr>
            <w:tcW w:w="6280" w:type="dxa"/>
            <w:vAlign w:val="bottom"/>
            <w:gridSpan w:val="2"/>
          </w:tcPr>
          <w:p>
            <w:pPr>
              <w:spacing w:after="0"/>
              <w:rPr>
                <w:sz w:val="20"/>
                <w:szCs w:val="20"/>
                <w:color w:val="auto"/>
              </w:rPr>
            </w:pPr>
            <w:r>
              <w:rPr>
                <w:rFonts w:ascii="Arial" w:cs="Arial" w:eastAsia="Arial" w:hAnsi="Arial"/>
                <w:sz w:val="16"/>
                <w:szCs w:val="16"/>
                <w:color w:val="auto"/>
              </w:rPr>
              <w:t>Pro forma weighted average shares outstanding, basic and diluted - Class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63,738,563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63,738,563</w:t>
            </w:r>
          </w:p>
        </w:tc>
      </w:tr>
      <w:tr>
        <w:trPr>
          <w:trHeight w:val="46"/>
        </w:trPr>
        <w:tc>
          <w:tcPr>
            <w:tcW w:w="12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84"/>
        </w:trPr>
        <w:tc>
          <w:tcPr>
            <w:tcW w:w="6280" w:type="dxa"/>
            <w:vAlign w:val="bottom"/>
            <w:gridSpan w:val="2"/>
            <w:shd w:val="clear" w:color="auto" w:fill="CCEEFF"/>
          </w:tcPr>
          <w:p>
            <w:pPr>
              <w:spacing w:after="0" w:line="283" w:lineRule="exact"/>
              <w:rPr>
                <w:sz w:val="20"/>
                <w:szCs w:val="20"/>
                <w:color w:val="auto"/>
              </w:rPr>
            </w:pPr>
            <w:r>
              <w:rPr>
                <w:rFonts w:ascii="Arial" w:cs="Arial" w:eastAsia="Arial" w:hAnsi="Arial"/>
                <w:sz w:val="16"/>
                <w:szCs w:val="16"/>
                <w:color w:val="auto"/>
              </w:rPr>
              <w:t>Pro forma net loss per share, basic and diluted - Class A</w:t>
            </w:r>
            <w:r>
              <w:rPr>
                <w:rFonts w:ascii="Arial" w:cs="Arial" w:eastAsia="Arial" w:hAnsi="Arial"/>
                <w:sz w:val="26"/>
                <w:szCs w:val="26"/>
                <w:color w:val="auto"/>
                <w:vertAlign w:val="superscript"/>
              </w:rPr>
              <w:t>(1)(2)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(0.34)</w:t>
            </w:r>
          </w:p>
        </w:tc>
        <w:tc>
          <w:tcPr>
            <w:tcW w:w="260" w:type="dxa"/>
            <w:vAlign w:val="bottom"/>
            <w:shd w:val="clear" w:color="auto" w:fill="CCEEFF"/>
          </w:tcPr>
          <w:p>
            <w:pPr>
              <w:spacing w:after="0"/>
              <w:rPr>
                <w:sz w:val="24"/>
                <w:szCs w:val="24"/>
                <w:color w:val="auto"/>
              </w:rPr>
            </w:pP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(0.14)</w:t>
            </w:r>
          </w:p>
        </w:tc>
      </w:tr>
      <w:tr>
        <w:trPr>
          <w:trHeight w:val="237"/>
        </w:trPr>
        <w:tc>
          <w:tcPr>
            <w:tcW w:w="6280" w:type="dxa"/>
            <w:vAlign w:val="bottom"/>
            <w:gridSpan w:val="2"/>
          </w:tcPr>
          <w:p>
            <w:pPr>
              <w:spacing w:after="0"/>
              <w:rPr>
                <w:sz w:val="20"/>
                <w:szCs w:val="20"/>
                <w:color w:val="auto"/>
              </w:rPr>
            </w:pPr>
            <w:r>
              <w:rPr>
                <w:rFonts w:ascii="Arial" w:cs="Arial" w:eastAsia="Arial" w:hAnsi="Arial"/>
                <w:sz w:val="16"/>
                <w:szCs w:val="16"/>
                <w:b w:val="1"/>
                <w:bCs w:val="1"/>
                <w:color w:val="auto"/>
              </w:rPr>
              <w:t>Pro forma weighted average shares calculation, basis and diluted - Class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
        </w:trPr>
        <w:tc>
          <w:tcPr>
            <w:tcW w:w="12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64"/>
        </w:trPr>
        <w:tc>
          <w:tcPr>
            <w:tcW w:w="6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Silver Spike public shareholders - Class A</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24,988,563</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24,988,563</w:t>
            </w:r>
          </w:p>
        </w:tc>
      </w:tr>
      <w:tr>
        <w:trPr>
          <w:trHeight w:val="237"/>
        </w:trPr>
        <w:tc>
          <w:tcPr>
            <w:tcW w:w="6280" w:type="dxa"/>
            <w:vAlign w:val="bottom"/>
            <w:gridSpan w:val="2"/>
          </w:tcPr>
          <w:p>
            <w:pPr>
              <w:spacing w:after="0"/>
              <w:rPr>
                <w:sz w:val="20"/>
                <w:szCs w:val="20"/>
                <w:color w:val="auto"/>
              </w:rPr>
            </w:pPr>
            <w:r>
              <w:rPr>
                <w:rFonts w:ascii="Arial" w:cs="Arial" w:eastAsia="Arial" w:hAnsi="Arial"/>
                <w:sz w:val="16"/>
                <w:szCs w:val="16"/>
                <w:color w:val="auto"/>
              </w:rPr>
              <w:t>Holders of founder shares - Class A</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6,250,000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6,250,000</w:t>
            </w:r>
          </w:p>
        </w:tc>
      </w:tr>
      <w:tr>
        <w:trPr>
          <w:trHeight w:val="47"/>
        </w:trPr>
        <w:tc>
          <w:tcPr>
            <w:tcW w:w="1280" w:type="dxa"/>
            <w:vAlign w:val="bottom"/>
          </w:tcPr>
          <w:p>
            <w:pPr>
              <w:spacing w:after="0"/>
              <w:rPr>
                <w:sz w:val="4"/>
                <w:szCs w:val="4"/>
                <w:color w:val="auto"/>
              </w:rPr>
            </w:pPr>
          </w:p>
        </w:tc>
        <w:tc>
          <w:tcPr>
            <w:tcW w:w="50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6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Subscription investors - Class A</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32,500,000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32,500,000</w:t>
            </w:r>
          </w:p>
        </w:tc>
      </w:tr>
      <w:tr>
        <w:trPr>
          <w:trHeight w:val="61"/>
        </w:trPr>
        <w:tc>
          <w:tcPr>
            <w:tcW w:w="1280" w:type="dxa"/>
            <w:vAlign w:val="bottom"/>
            <w:tcBorders>
              <w:top w:val="single" w:sz="8" w:color="CCEEFF"/>
            </w:tcBorders>
            <w:shd w:val="clear" w:color="auto" w:fill="CCEEFF"/>
          </w:tcPr>
          <w:p>
            <w:pPr>
              <w:spacing w:after="0"/>
              <w:rPr>
                <w:sz w:val="5"/>
                <w:szCs w:val="5"/>
                <w:color w:val="auto"/>
              </w:rPr>
            </w:pPr>
          </w:p>
        </w:tc>
        <w:tc>
          <w:tcPr>
            <w:tcW w:w="5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56"/>
        </w:trPr>
        <w:tc>
          <w:tcPr>
            <w:tcW w:w="128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w w:val="89"/>
              </w:rPr>
              <w:t>63,738,563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63,738,563</w:t>
            </w:r>
          </w:p>
        </w:tc>
      </w:tr>
      <w:tr>
        <w:trPr>
          <w:trHeight w:val="20"/>
        </w:trPr>
        <w:tc>
          <w:tcPr>
            <w:tcW w:w="128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8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-1593850</wp:posOffset>
            </wp:positionV>
            <wp:extent cx="17145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-1593850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5" w:lineRule="exact"/>
        <w:rPr>
          <w:sz w:val="20"/>
          <w:szCs w:val="20"/>
          <w:color w:val="auto"/>
        </w:rPr>
      </w:pPr>
    </w:p>
    <w:p>
      <w:pPr>
        <w:jc w:val="both"/>
        <w:ind w:left="640" w:right="299" w:hanging="348"/>
        <w:spacing w:after="0" w:line="238"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Shares of Class V Common Stock will not share in the earnings or losses of the Company and are therefore not participating securities. As such, separate calculations of basic and diluted net loss per share for Class V Common Stock under the two-class method has not been presented.</w:t>
      </w:r>
    </w:p>
    <w:p>
      <w:pPr>
        <w:spacing w:after="0" w:line="20"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For the purpose of calculating diluted net loss per share, it was assumed that all outstanding public and private placement warrants are exchanged for shares of Class A Common Stock. However, since this results in anti-dilution, the effect of such exchange was not included in the calculation of diluted net loss per share.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2" w:name="page53"/>
    <w:bookmarkEnd w:id="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in this prospectus.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were founded in 2008, and operate a leading listings marketplace with one of the most comprehensive SaaS subscription offerings sold to retailers and brands in the U.S. state-legal and Canadian cannabis markets. We also provide information on the cannabis plant and the industry and advocates for legalization.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over 9 million MAUs on the demand-side and more than 4,000 paying business clients on the supply-side of our marketplace as of March 31, 2021. These paying clients include retailers, brands and other client types (such as doctors). Further, these clients, who can choose to purchase multiple listings solutions for each business, had purchased approximately 8,700 listing pages as of March 2021 (of the over 17,300 listing pages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7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9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3" w:name="page54"/>
    <w:bookmarkEnd w:id="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Canada, and we have a limited number of non-monetized listings in several international countries including Austria, Germany, the Netherlands, Spain, and Switzerland. As of March 31, 2021, we actively operated in 23 U.S. states and territories that have adult-use and/or medical-use regulations in place.</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local retailers, in a manner similar to technology platforms in other consumer goods verticals with a breadth and depth of product, brand, and retailer selection, although confirmation of orders and processing of payments may only occur outside the Weedmaps listings marketplace. With the development of our WM Business SaaS solution, we offer an end-to-end platform for licensed cannabis retailers to comply with state law applicable to the products these businesses are selling. The success of our business model is driven by our ability to increase the number of consumers engaging with the Weedmaps listings marketplace as well as our ability to attract new clients, retain existing clients and increase our sales to both new and existing clients in the local markets in which we operate through growing user engagements and offering compelling software solutions.</w:t>
      </w:r>
    </w:p>
    <w:p>
      <w:pPr>
        <w:spacing w:after="0" w:line="7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We operate a cloud-based platform, and unlike other cannabis-related businesses, we require minimal physical footprint and are not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growth, margins and cash flow while achieving our growth. From 2014 to 2020, we grew revenue at a CAGR of 35% and expanded gross margin from 92% to 95%. For the year ended December 31, 2020, we generated $162 million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three months ended March 31, 2021, we generated $41 million in revenue, which represented 28% growth over the prior year and 58% growth over that same period when adjusting the prior year to eliminate revenue associated with non-licensed operators in Canada that we removed from the Weedmaps listings marketplace between September and November 2020. For the three months ended March 31, 2021, we generated net income of $8 million and EBITDA of $9 million. For further information about how we calculate EBITDA, limitations of its use and a reconciliation of EBITDA to net income, see “—Key Operating and Financial Metrics-EBITDA and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164465</wp:posOffset>
            </wp:positionV>
            <wp:extent cx="5186045" cy="131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8604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On June 16, 2021, Silver Spike, our predecessor company, consummated the Business Combination pursuant to the Merger Agreement, by and among Silver Spike, Merger Sub, Legacy WMH, and the Holder Representative.</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will be presented as those of Legacy WMH in future reports. The net assets of Silver Spike were recognized at historical cost (which are consistent with carrying value), with no goodwill or other intangible assets recorded.</w:t>
      </w:r>
    </w:p>
    <w:p>
      <w:pPr>
        <w:spacing w:after="0" w:line="6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Upon consummation of the Business Combination and the closing of the PIPE subscription financing, the most significant change in Legacy WMH’s future reported financial position and results of operations was an increase in cash and cash equivalents (as compared to Legacy WMH’s balance sheet at March 31, 2021) of approximately $85 million, including $325.0 million in gross proceeds from the PIPE subscription financing. Total direct and incremental transaction costs of Silver Spike and Legacy WMH were approximately $42 million and will be treated as a reduction of the cash proceeds and deducted from the combined company’s additional paid-in capital or retained earnings, as applicable. See the section entitled “Unaudited Pro Forma Condensed Combined Financial Information.”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How We Seed and Scale 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Our efforts to attract and retain clients are tailored to the dynamics of individual jurisdictions and markets. We typically develop each new target market in the following stages:</w:t>
      </w:r>
    </w:p>
    <w:p>
      <w:pPr>
        <w:spacing w:after="0" w:line="62" w:lineRule="exact"/>
        <w:rPr>
          <w:sz w:val="20"/>
          <w:szCs w:val="20"/>
          <w:color w:val="auto"/>
        </w:rPr>
      </w:pPr>
    </w:p>
    <w:p>
      <w:pPr>
        <w:jc w:val="both"/>
        <w:ind w:left="1000" w:right="319" w:hanging="348"/>
        <w:spacing w:after="0" w:line="259"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Identify. </w:t>
      </w:r>
      <w:r>
        <w:rPr>
          <w:rFonts w:ascii="Arial" w:cs="Arial" w:eastAsia="Arial" w:hAnsi="Arial"/>
          <w:sz w:val="18"/>
          <w:szCs w:val="18"/>
          <w:color w:val="auto"/>
        </w:rPr>
        <w:t>Leveraging our policy and government relations expertise, we identify jurisdictions that are likely</w:t>
      </w:r>
      <w:r>
        <w:rPr>
          <w:rFonts w:ascii="Arial" w:cs="Arial" w:eastAsia="Arial" w:hAnsi="Arial"/>
          <w:sz w:val="18"/>
          <w:szCs w:val="18"/>
          <w:i w:val="1"/>
          <w:iCs w:val="1"/>
          <w:color w:val="auto"/>
        </w:rPr>
        <w:t xml:space="preserve"> </w:t>
      </w:r>
      <w:r>
        <w:rPr>
          <w:rFonts w:ascii="Arial" w:cs="Arial" w:eastAsia="Arial" w:hAnsi="Arial"/>
          <w:sz w:val="18"/>
          <w:szCs w:val="18"/>
          <w:color w:val="auto"/>
        </w:rPr>
        <w:t>to liberalize the market for cannabis. We select new markets within those jurisdictions based on several criteria, including population size, existing cannabis retailer density, potential licenses to be granted within the market and proximity to existing markets.</w:t>
      </w:r>
    </w:p>
    <w:p>
      <w:pPr>
        <w:spacing w:after="0" w:line="78"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i w:val="1"/>
          <w:iCs w:val="1"/>
          <w:color w:val="auto"/>
        </w:rPr>
        <w:t xml:space="preserve">Seed. </w:t>
      </w:r>
      <w:r>
        <w:rPr>
          <w:rFonts w:ascii="Arial" w:cs="Arial" w:eastAsia="Arial" w:hAnsi="Arial"/>
          <w:sz w:val="17"/>
          <w:szCs w:val="17"/>
          <w:color w:val="auto"/>
        </w:rPr>
        <w:t>Before launching a market in any jurisdiction, we typically engage in market and brand awareness</w:t>
      </w:r>
      <w:r>
        <w:rPr>
          <w:rFonts w:ascii="Arial" w:cs="Arial" w:eastAsia="Arial" w:hAnsi="Arial"/>
          <w:sz w:val="17"/>
          <w:szCs w:val="17"/>
          <w:i w:val="1"/>
          <w:iCs w:val="1"/>
          <w:color w:val="auto"/>
        </w:rPr>
        <w:t xml:space="preserve"> </w:t>
      </w:r>
      <w:r>
        <w:rPr>
          <w:rFonts w:ascii="Arial" w:cs="Arial" w:eastAsia="Arial" w:hAnsi="Arial"/>
          <w:sz w:val="17"/>
          <w:szCs w:val="17"/>
          <w:color w:val="auto"/>
        </w:rPr>
        <w:t>campaigns, typically out-of-home, or OOH, and digital advertising, targeted at both potential clients and consumers. We obtain license application or license information from the relevant regulatory agencies and create individual basic listings for each business location in the market. We do not monetize these free basic listings, which include basic contact information and reviews to attract cannabis businesses to our platform but lack functionality such as product menus, which we include only as part of our subscription offering in most markets. At launch, consumers can read and write reviews about any business on our platform. We also identify jurisdiction-specific regulatory approvals which would be needed for individual solutions within the WM Business suite and analyze state-specific regulations that would need to be incorporated into WM Business suite solutions.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69"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Grow</w:t>
      </w:r>
      <w:r>
        <w:rPr>
          <w:rFonts w:ascii="Arial" w:cs="Arial" w:eastAsia="Arial" w:hAnsi="Arial"/>
          <w:sz w:val="17"/>
          <w:szCs w:val="17"/>
          <w:color w:val="auto"/>
        </w:rPr>
        <w:t>. After launch, we focus on attracting clients and consumers to our platform. These efforts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clients free trial periods to the WM Business subscription solution, demonstrating the attractive return on spend of the listing presence on the Weedmaps listings marketplace as well as the value of the software solutions in creating operating efficiencies while enabling compliance functionality. We also continue hosting market and brand awareness campaigns, planning and executing engaging local events for the community, while deploying our inside and field sales force. Through these activities, we help increase the frequency of use of our marketplace driving a network effect, whereby the breadth and depth of consumer engagement expands and this expansion draws an increasing number of businesses to use additional features of our platform. This in turn further increases the richness of available information and thus attracts new and existing clients and consumers to use our platform.</w:t>
      </w:r>
    </w:p>
    <w:p>
      <w:pPr>
        <w:spacing w:after="0" w:line="77" w:lineRule="exact"/>
        <w:rPr>
          <w:rFonts w:ascii="Arial" w:cs="Arial" w:eastAsia="Arial" w:hAnsi="Arial"/>
          <w:sz w:val="17"/>
          <w:szCs w:val="17"/>
          <w:color w:val="auto"/>
        </w:rPr>
      </w:pPr>
    </w:p>
    <w:p>
      <w:pPr>
        <w:jc w:val="both"/>
        <w:ind w:left="1000" w:right="299" w:hanging="348"/>
        <w:spacing w:after="0" w:line="291"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 xml:space="preserve">Scale. </w:t>
      </w:r>
      <w:r>
        <w:rPr>
          <w:rFonts w:ascii="Arial" w:cs="Arial" w:eastAsia="Arial" w:hAnsi="Arial"/>
          <w:sz w:val="16"/>
          <w:szCs w:val="16"/>
          <w:color w:val="auto"/>
        </w:rPr>
        <w:t>At scale, our platform reaches a critical mass of clients and consumers, and we begin an active sales</w:t>
      </w:r>
      <w:r>
        <w:rPr>
          <w:rFonts w:ascii="Arial" w:cs="Arial" w:eastAsia="Arial" w:hAnsi="Arial"/>
          <w:sz w:val="16"/>
          <w:szCs w:val="16"/>
          <w:i w:val="1"/>
          <w:iCs w:val="1"/>
          <w:color w:val="auto"/>
        </w:rPr>
        <w:t xml:space="preserve"> </w:t>
      </w:r>
      <w:r>
        <w:rPr>
          <w:rFonts w:ascii="Arial" w:cs="Arial" w:eastAsia="Arial" w:hAnsi="Arial"/>
          <w:sz w:val="16"/>
          <w:szCs w:val="16"/>
          <w:color w:val="auto"/>
        </w:rPr>
        <w:t>effort to other local cannabis businesses that aren’t on the platform. Our sales efforts are increasingly consultative as we work to educate businesses about the value of our offerings and dynamics in their local market so that they can optimize their compliance. In more mature markets, the mix of our advertising spend shifts from market and brand awareness towards digital performance marketing. In markets that have attained this level of development, we have achieved economies of scale and operating cost leverage and are able to drive higher levels of engagement within the WM Business solutions.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We Monetize Our Platform</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currently monetize our platform through the following offerings:</w:t>
      </w:r>
    </w:p>
    <w:p>
      <w:pPr>
        <w:spacing w:after="0" w:line="117" w:lineRule="exact"/>
        <w:rPr>
          <w:sz w:val="20"/>
          <w:szCs w:val="20"/>
          <w:color w:val="auto"/>
        </w:rPr>
      </w:pPr>
    </w:p>
    <w:p>
      <w:pPr>
        <w:jc w:val="both"/>
        <w:ind w:left="1000" w:right="299" w:hanging="348"/>
        <w:spacing w:after="0" w:line="254"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Monthly subscription offering. </w:t>
      </w:r>
      <w:r>
        <w:rPr>
          <w:rFonts w:ascii="Arial" w:cs="Arial" w:eastAsia="Arial" w:hAnsi="Arial"/>
          <w:sz w:val="18"/>
          <w:szCs w:val="18"/>
          <w:color w:val="auto"/>
        </w:rPr>
        <w:t>Through December 31, 2020, we offered standard listing subscription</w:t>
      </w:r>
      <w:r>
        <w:rPr>
          <w:rFonts w:ascii="Arial" w:cs="Arial" w:eastAsia="Arial" w:hAnsi="Arial"/>
          <w:sz w:val="18"/>
          <w:szCs w:val="18"/>
          <w:i w:val="1"/>
          <w:iCs w:val="1"/>
          <w:color w:val="auto"/>
        </w:rPr>
        <w:t xml:space="preserve"> </w:t>
      </w:r>
      <w:r>
        <w:rPr>
          <w:rFonts w:ascii="Arial" w:cs="Arial" w:eastAsia="Arial" w:hAnsi="Arial"/>
          <w:sz w:val="18"/>
          <w:szCs w:val="18"/>
          <w:color w:val="auto"/>
        </w:rPr>
        <w:t>clients access to a listing page on weedmaps.com in addition to free access to our SaaS solutions, including WM Orders, WM Dispatch, WM Exchange, WM Retail and WM Store, along with our API integrations with third-party POS systems. These standard listing clients were also then required to pay a $5.00 technology services fee per delivery order submitted which we imposed beginning in September 2019 (regardless of whether the proposed order was canceled or completed). Standard listing clients did not have access to WM Dashboard, which was only available to clients who purchased our featured listings upsell solution.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Since January 1, 2021, the number of reservations for pick-up or delivery submitted through our WM Orders or WM Store features has had no impact on our revenue.</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taken a pricing increase concurrent with this transition to reflect the additional value embedded within the WM Business subscription package associated with access to the full SaaS solution set that we offer in a particular jurisdiction, including WM Dashboard and potentially including the compliance and management tools included in our WM Dispatch software solution to help facilitate compliant delivery orders. Our monthly price for the WM Business subscription is generally $495 per month for dispensaries and $395 per month for delivery businesses.</w:t>
      </w:r>
    </w:p>
    <w:p>
      <w:pPr>
        <w:spacing w:after="0" w:line="84"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do not expect a material impact to revenue from the elimination of the technology services fee on delivery orders as these fees were less than 5% of our revenue for the year ending December 31, 2020 and we expect them to be partially offset by the pricing increase associated with the new WM Business subscription package.</w:t>
      </w:r>
    </w:p>
    <w:p>
      <w:pPr>
        <w:spacing w:after="0" w:line="41" w:lineRule="exact"/>
        <w:rPr>
          <w:sz w:val="20"/>
          <w:szCs w:val="20"/>
          <w:color w:val="auto"/>
        </w:rPr>
      </w:pPr>
    </w:p>
    <w:p>
      <w:pPr>
        <w:ind w:left="1000" w:right="319" w:hanging="348"/>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Additional offerings. </w:t>
      </w:r>
      <w:r>
        <w:rPr>
          <w:rFonts w:ascii="Arial" w:cs="Arial" w:eastAsia="Arial" w:hAnsi="Arial"/>
          <w:sz w:val="18"/>
          <w:szCs w:val="18"/>
          <w:color w:val="auto"/>
        </w:rPr>
        <w:t>We also offer several add-on and upsell solutions to our paying subscription clients,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Nearby listings, which allow clients to increase presence in adjacent regions next to their home region to the extent permitted by their license.</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Promoted deals, which allows retailers to showcase discounts and promotions on products to assist price-conscious consumers.</w:t>
      </w:r>
    </w:p>
    <w:p>
      <w:pPr>
        <w:spacing w:after="0" w:line="62"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Display advertising, which provides clients with targeted ad solutions in highly visible slots across our digital surfaces.</w:t>
      </w:r>
    </w:p>
    <w:p>
      <w:pPr>
        <w:spacing w:after="0" w:line="62" w:lineRule="exact"/>
        <w:rPr>
          <w:rFonts w:ascii="Arial" w:cs="Arial" w:eastAsia="Arial" w:hAnsi="Arial"/>
          <w:sz w:val="18"/>
          <w:szCs w:val="18"/>
          <w:color w:val="auto"/>
        </w:rPr>
      </w:pPr>
    </w:p>
    <w:p>
      <w:pPr>
        <w:ind w:left="1360" w:right="319" w:hanging="348"/>
        <w:spacing w:after="0" w:line="342" w:lineRule="auto"/>
        <w:tabs>
          <w:tab w:leader="none" w:pos="1360" w:val="left"/>
        </w:tabs>
        <w:numPr>
          <w:ilvl w:val="1"/>
          <w:numId w:val="47"/>
        </w:numPr>
        <w:rPr>
          <w:rFonts w:ascii="Arial" w:cs="Arial" w:eastAsia="Arial" w:hAnsi="Arial"/>
          <w:sz w:val="16"/>
          <w:szCs w:val="16"/>
          <w:color w:val="auto"/>
        </w:rPr>
      </w:pPr>
      <w:r>
        <w:rPr>
          <w:rFonts w:ascii="Arial" w:cs="Arial" w:eastAsia="Arial" w:hAnsi="Arial"/>
          <w:sz w:val="16"/>
          <w:szCs w:val="16"/>
          <w:color w:val="auto"/>
        </w:rPr>
        <w:t>Featured listings, which allow clients to drive additional traffic through prominent placement on our Weedmaps listings marketplace. These featured listings provide our clients with prominent visibility</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70" w:lineRule="auto"/>
        <w:rPr>
          <w:sz w:val="20"/>
          <w:szCs w:val="20"/>
          <w:color w:val="auto"/>
        </w:rPr>
      </w:pPr>
      <w:r>
        <w:rPr>
          <w:rFonts w:ascii="Arial" w:cs="Arial" w:eastAsia="Arial" w:hAnsi="Arial"/>
          <w:sz w:val="17"/>
          <w:szCs w:val="17"/>
          <w:color w:val="auto"/>
        </w:rPr>
        <w:t>on our geo-targeted map page views and our homepage within a given market, which drives higher levels of engagement as consumers more easily navigate to a featured listing client’s listing page. We have a fixed inventory of featured listings that we sell in each of our markets and currently price these listings using a competitive bid-auction process, reflecting local market demand. Clients who win the auction are entitled to their featured listing at the fixed price by which they won the auction for a 60-day period, independent of the user engagements we generate to the client’s listing page during that period. As an individual market increases in client density relative to consumer demand, we have the ability to cleave markets, which increases the inventory of available advertising placements that we can monetize.</w:t>
      </w:r>
    </w:p>
    <w:p>
      <w:pPr>
        <w:spacing w:after="0" w:line="73"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6"/>
          <w:szCs w:val="16"/>
          <w:color w:val="auto"/>
        </w:rPr>
        <w:t>Featured listings revenue contributed 55% and 76% of our total revenue for the three months ended March 31, 2021 and the year ended December 31, 2020, respectively. While we have had great success in using our featured listings bid-auction to grow our monthly revenue per client, we believe there is an opportunity to increase pricing further in selected markets by transitioning towards a performance-based pricing model where we sell featured listings inventory on a cost-per-impression or cost-per-click basis. For example, the implied cost-per-click across our featured listings inventory was $0.49 in December 2020, which is significantly lower than other digital marketing platforms servicing less specialized end-markets without requiring the level of user targeting that our platform provides. Further, during the last six months of fiscal 2020, our platform had an average click-through-rate in excess of 10% for our dispensary and delivery featured listings inventory which is significantly higher than other less specialized digital marketing platforms. We recently launched a self-serve bidding engine in select regions within Michigan and Colorado, allowing clients to purchase featured listings on a cost-per-click basis based on a target budget. We will look to expand these performance-based pricing tests in additional markets over time.</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seen significant growth in our monthly revenue per client over time. We have generally seen that the longer clients stay on the Weedmaps listings marketplace and leverage our WM Business solutions, the more they spend with us. We have also experienced rising levels of spend by our more recent client cohorts as seen in the below chart, which is dated as of December 31, 2020, where our more recent 2018 and 2019 client cohorts are spending at higher levels in the first three months on the platform vs. our 2016 and 2017 client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154305</wp:posOffset>
            </wp:positionV>
            <wp:extent cx="5271770" cy="25374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27177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believe these dynamics are driven by (i) increasing retail density as license issuance continues within the markets we serve, creating more new potential clients and increased competition among clients we serve, and</w:t>
      </w:r>
    </w:p>
    <w:p>
      <w:pPr>
        <w:ind w:left="300" w:right="319" w:hanging="8"/>
        <w:spacing w:after="0" w:line="260" w:lineRule="auto"/>
        <w:tabs>
          <w:tab w:leader="none" w:pos="5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more client engagement across our WM Business solution set, leading to an enhanced awareness of the return on investment that our clients receive from spend on our platform.</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We sell our offerings in the United States and Canada, and we have a limited number of non-monetized listings in several international countries including Austria, Germany, the Netherlands, Spain, and Switzerland. As of March 31, 2021, we actively operate in 23 U.S. states and territories that have adult-use and/or medical-use regulations in place.</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monitor the following key financial and operational metrics to evaluate our business, measure our performance, identify trends affecting our business, formulate business plans, and make strategic decisions.</w:t>
      </w:r>
    </w:p>
    <w:p>
      <w:pPr>
        <w:spacing w:after="0" w:line="8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6"/>
            <w:vMerge w:val="continue"/>
          </w:tcPr>
          <w:p>
            <w:pPr>
              <w:spacing w:after="0"/>
              <w:rPr>
                <w:sz w:val="16"/>
                <w:szCs w:val="16"/>
                <w:color w:val="auto"/>
              </w:rPr>
            </w:pPr>
          </w:p>
        </w:tc>
        <w:tc>
          <w:tcPr>
            <w:tcW w:w="1380" w:type="dxa"/>
            <w:vAlign w:val="bottom"/>
            <w:gridSpan w:val="2"/>
          </w:tcPr>
          <w:p>
            <w:pPr>
              <w:jc w:val="right"/>
              <w:ind w:right="29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9"/>
                <w:szCs w:val="19"/>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80" w:type="dxa"/>
            <w:vAlign w:val="bottom"/>
            <w:tcBorders>
              <w:bottom w:val="single" w:sz="8" w:color="auto"/>
            </w:tcBorders>
            <w:gridSpan w:val="5"/>
          </w:tcPr>
          <w:p>
            <w:pPr>
              <w:spacing w:after="0"/>
              <w:rPr>
                <w:sz w:val="4"/>
                <w:szCs w:val="4"/>
                <w:color w:val="auto"/>
              </w:rPr>
            </w:pPr>
          </w:p>
        </w:tc>
        <w:tc>
          <w:tcPr>
            <w:tcW w:w="154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20" w:type="dxa"/>
            <w:vAlign w:val="bottom"/>
            <w:gridSpan w:val="8"/>
          </w:tcPr>
          <w:p>
            <w:pPr>
              <w:jc w:val="right"/>
              <w:ind w:right="352"/>
              <w:spacing w:after="0"/>
              <w:rPr>
                <w:sz w:val="20"/>
                <w:szCs w:val="20"/>
                <w:color w:val="auto"/>
              </w:rPr>
            </w:pPr>
            <w:r>
              <w:rPr>
                <w:rFonts w:ascii="Arial" w:cs="Arial" w:eastAsia="Arial" w:hAnsi="Arial"/>
                <w:sz w:val="14"/>
                <w:szCs w:val="14"/>
                <w:b w:val="1"/>
                <w:bCs w:val="1"/>
                <w:color w:val="auto"/>
                <w:w w:val="99"/>
              </w:rPr>
              <w:t>(dollars in thousands, except for revenue by client)</w:t>
            </w:r>
          </w:p>
        </w:tc>
        <w:tc>
          <w:tcPr>
            <w:tcW w:w="0" w:type="dxa"/>
            <w:vAlign w:val="bottom"/>
          </w:tcPr>
          <w:p>
            <w:pPr>
              <w:spacing w:after="0"/>
              <w:rPr>
                <w:sz w:val="1"/>
                <w:szCs w:val="1"/>
                <w:color w:val="auto"/>
              </w:rPr>
            </w:pPr>
          </w:p>
        </w:tc>
      </w:tr>
      <w:tr>
        <w:trPr>
          <w:trHeight w:val="53"/>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900" w:type="dxa"/>
            <w:vAlign w:val="bottom"/>
            <w:gridSpan w:val="2"/>
          </w:tcPr>
          <w:p>
            <w:pPr>
              <w:spacing w:after="0"/>
              <w:rPr>
                <w:sz w:val="4"/>
                <w:szCs w:val="4"/>
                <w:color w:val="auto"/>
              </w:rPr>
            </w:pPr>
          </w:p>
        </w:tc>
        <w:tc>
          <w:tcPr>
            <w:tcW w:w="760" w:type="dxa"/>
            <w:vAlign w:val="bottom"/>
            <w:gridSpan w:val="2"/>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90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w w:val="98"/>
              </w:rPr>
              <w:t>$144,232</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$161,791</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$32,210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$41,154</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w w:val="90"/>
              </w:rPr>
              <w:t>12,679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38,830</w:t>
            </w:r>
          </w:p>
        </w:tc>
        <w:tc>
          <w:tcPr>
            <w:tcW w:w="160" w:type="dxa"/>
            <w:vAlign w:val="bottom"/>
          </w:tcPr>
          <w:p>
            <w:pPr>
              <w:spacing w:after="0"/>
              <w:rPr>
                <w:sz w:val="23"/>
                <w:szCs w:val="23"/>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93"/>
              </w:rPr>
              <w:t>$ 3,809</w:t>
            </w:r>
          </w:p>
        </w:tc>
        <w:tc>
          <w:tcPr>
            <w:tcW w:w="700" w:type="dxa"/>
            <w:vAlign w:val="bottom"/>
          </w:tcPr>
          <w:p>
            <w:pPr>
              <w:jc w:val="right"/>
              <w:spacing w:after="0"/>
              <w:rPr>
                <w:sz w:val="20"/>
                <w:szCs w:val="20"/>
                <w:color w:val="auto"/>
              </w:rPr>
            </w:pPr>
            <w:r>
              <w:rPr>
                <w:rFonts w:ascii="Arial" w:cs="Arial" w:eastAsia="Arial" w:hAnsi="Arial"/>
                <w:sz w:val="18"/>
                <w:szCs w:val="18"/>
                <w:color w:val="auto"/>
              </w:rPr>
              <w:t>$ 7,731</w:t>
            </w:r>
          </w:p>
        </w:tc>
        <w:tc>
          <w:tcPr>
            <w:tcW w:w="0" w:type="dxa"/>
            <w:vAlign w:val="bottom"/>
          </w:tcPr>
          <w:p>
            <w:pPr>
              <w:spacing w:after="0"/>
              <w:rPr>
                <w:sz w:val="1"/>
                <w:szCs w:val="1"/>
                <w:color w:val="auto"/>
              </w:rPr>
            </w:pPr>
          </w:p>
        </w:tc>
      </w:tr>
      <w:tr>
        <w:trPr>
          <w:trHeight w:val="54"/>
        </w:trPr>
        <w:tc>
          <w:tcPr>
            <w:tcW w:w="3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0"/>
              </w:rPr>
              <w:t>15,448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6,232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42,808</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3"/>
              </w:rPr>
              <w:t>$ 4,808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$ 8,974</w:t>
            </w:r>
          </w:p>
        </w:tc>
        <w:tc>
          <w:tcPr>
            <w:tcW w:w="0" w:type="dxa"/>
            <w:vAlign w:val="bottom"/>
          </w:tcPr>
          <w:p>
            <w:pPr>
              <w:spacing w:after="0"/>
              <w:rPr>
                <w:sz w:val="1"/>
                <w:szCs w:val="1"/>
                <w:color w:val="auto"/>
              </w:rPr>
            </w:pPr>
          </w:p>
        </w:tc>
      </w:tr>
      <w:tr>
        <w:trPr>
          <w:trHeight w:val="324"/>
        </w:trPr>
        <w:tc>
          <w:tcPr>
            <w:tcW w:w="3560" w:type="dxa"/>
            <w:vAlign w:val="bottom"/>
          </w:tcPr>
          <w:p>
            <w:pPr>
              <w:spacing w:after="0" w:line="324" w:lineRule="exact"/>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6"/>
              <w:spacing w:after="0"/>
              <w:rPr>
                <w:sz w:val="20"/>
                <w:szCs w:val="20"/>
                <w:color w:val="auto"/>
              </w:rPr>
            </w:pPr>
            <w:r>
              <w:rPr>
                <w:rFonts w:ascii="Arial" w:cs="Arial" w:eastAsia="Arial" w:hAnsi="Arial"/>
                <w:sz w:val="18"/>
                <w:szCs w:val="18"/>
                <w:color w:val="auto"/>
                <w:w w:val="90"/>
              </w:rPr>
              <w:t>17,123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3"/>
              <w:spacing w:after="0"/>
              <w:rPr>
                <w:sz w:val="20"/>
                <w:szCs w:val="20"/>
                <w:color w:val="auto"/>
              </w:rPr>
            </w:pPr>
            <w:r>
              <w:rPr>
                <w:rFonts w:ascii="Arial" w:cs="Arial" w:eastAsia="Arial" w:hAnsi="Arial"/>
                <w:sz w:val="18"/>
                <w:szCs w:val="18"/>
                <w:color w:val="auto"/>
                <w:w w:val="94"/>
              </w:rPr>
              <w:t>13,828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0"/>
              </w:rPr>
              <w:t>42,808</w:t>
            </w:r>
          </w:p>
        </w:tc>
        <w:tc>
          <w:tcPr>
            <w:tcW w:w="160" w:type="dxa"/>
            <w:vAlign w:val="bottom"/>
          </w:tcPr>
          <w:p>
            <w:pPr>
              <w:spacing w:after="0"/>
              <w:rPr>
                <w:sz w:val="24"/>
                <w:szCs w:val="24"/>
                <w:color w:val="auto"/>
              </w:rPr>
            </w:pPr>
          </w:p>
        </w:tc>
        <w:tc>
          <w:tcPr>
            <w:tcW w:w="680" w:type="dxa"/>
            <w:vAlign w:val="bottom"/>
          </w:tcPr>
          <w:p>
            <w:pPr>
              <w:jc w:val="right"/>
              <w:ind w:right="15"/>
              <w:spacing w:after="0"/>
              <w:rPr>
                <w:sz w:val="20"/>
                <w:szCs w:val="20"/>
                <w:color w:val="auto"/>
              </w:rPr>
            </w:pPr>
            <w:r>
              <w:rPr>
                <w:rFonts w:ascii="Arial" w:cs="Arial" w:eastAsia="Arial" w:hAnsi="Arial"/>
                <w:sz w:val="18"/>
                <w:szCs w:val="18"/>
                <w:color w:val="auto"/>
                <w:w w:val="93"/>
              </w:rPr>
              <w:t>$ 4,808</w:t>
            </w:r>
          </w:p>
        </w:tc>
        <w:tc>
          <w:tcPr>
            <w:tcW w:w="700" w:type="dxa"/>
            <w:vAlign w:val="bottom"/>
          </w:tcPr>
          <w:p>
            <w:pPr>
              <w:jc w:val="right"/>
              <w:spacing w:after="0"/>
              <w:rPr>
                <w:sz w:val="20"/>
                <w:szCs w:val="20"/>
                <w:color w:val="auto"/>
              </w:rPr>
            </w:pPr>
            <w:r>
              <w:rPr>
                <w:rFonts w:ascii="Arial" w:cs="Arial" w:eastAsia="Arial" w:hAnsi="Arial"/>
                <w:sz w:val="18"/>
                <w:szCs w:val="18"/>
                <w:color w:val="auto"/>
              </w:rPr>
              <w:t>$ 8,974</w:t>
            </w: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9"/>
                <w:szCs w:val="29"/>
                <w:color w:val="auto"/>
                <w:vertAlign w:val="superscript"/>
              </w:rPr>
              <w:t>(2)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2,888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3,609</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3"/>
              </w:rPr>
              <w:t>$ 2,842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$ 3,689</w:t>
            </w:r>
          </w:p>
        </w:tc>
        <w:tc>
          <w:tcPr>
            <w:tcW w:w="0" w:type="dxa"/>
            <w:vAlign w:val="bottom"/>
          </w:tcPr>
          <w:p>
            <w:pPr>
              <w:spacing w:after="0"/>
              <w:rPr>
                <w:sz w:val="1"/>
                <w:szCs w:val="1"/>
                <w:color w:val="auto"/>
              </w:rPr>
            </w:pPr>
          </w:p>
        </w:tc>
      </w:tr>
      <w:tr>
        <w:trPr>
          <w:trHeight w:val="324"/>
        </w:trPr>
        <w:tc>
          <w:tcPr>
            <w:tcW w:w="3560" w:type="dxa"/>
            <w:vAlign w:val="bottom"/>
          </w:tcPr>
          <w:p>
            <w:pPr>
              <w:spacing w:after="0" w:line="324" w:lineRule="exact"/>
              <w:rPr>
                <w:sz w:val="20"/>
                <w:szCs w:val="20"/>
                <w:color w:val="auto"/>
              </w:rPr>
            </w:pPr>
            <w:r>
              <w:rPr>
                <w:rFonts w:ascii="Arial" w:cs="Arial" w:eastAsia="Arial" w:hAnsi="Arial"/>
                <w:sz w:val="18"/>
                <w:szCs w:val="18"/>
                <w:color w:val="auto"/>
              </w:rPr>
              <w:t>Paying clients</w:t>
            </w:r>
            <w:r>
              <w:rPr>
                <w:rFonts w:ascii="Arial" w:cs="Arial" w:eastAsia="Arial" w:hAnsi="Arial"/>
                <w:sz w:val="29"/>
                <w:szCs w:val="29"/>
                <w:color w:val="auto"/>
                <w:vertAlign w:val="superscript"/>
              </w:rPr>
              <w:t>(3)</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24"/>
                <w:szCs w:val="24"/>
                <w:color w:val="auto"/>
              </w:rPr>
            </w:pP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4,644</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3,786</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4,101</w:t>
            </w:r>
          </w:p>
        </w:tc>
        <w:tc>
          <w:tcPr>
            <w:tcW w:w="700" w:type="dxa"/>
            <w:vAlign w:val="bottom"/>
          </w:tcPr>
          <w:p>
            <w:pPr>
              <w:jc w:val="right"/>
              <w:spacing w:after="0"/>
              <w:rPr>
                <w:sz w:val="20"/>
                <w:szCs w:val="20"/>
                <w:color w:val="auto"/>
              </w:rPr>
            </w:pPr>
            <w:r>
              <w:rPr>
                <w:rFonts w:ascii="Arial" w:cs="Arial" w:eastAsia="Arial" w:hAnsi="Arial"/>
                <w:sz w:val="18"/>
                <w:szCs w:val="18"/>
                <w:color w:val="auto"/>
              </w:rPr>
              <w:t>4,058</w:t>
            </w:r>
          </w:p>
        </w:tc>
        <w:tc>
          <w:tcPr>
            <w:tcW w:w="0" w:type="dxa"/>
            <w:vAlign w:val="bottom"/>
          </w:tcPr>
          <w:p>
            <w:pPr>
              <w:spacing w:after="0"/>
              <w:rPr>
                <w:sz w:val="1"/>
                <w:szCs w:val="1"/>
                <w:color w:val="auto"/>
              </w:rPr>
            </w:pPr>
          </w:p>
        </w:tc>
      </w:tr>
      <w:tr>
        <w:trPr>
          <w:trHeight w:val="324"/>
        </w:trPr>
        <w:tc>
          <w:tcPr>
            <w:tcW w:w="3560" w:type="dxa"/>
            <w:vAlign w:val="bottom"/>
            <w:shd w:val="clear" w:color="auto" w:fill="CCEEFF"/>
          </w:tcPr>
          <w:p>
            <w:pPr>
              <w:spacing w:after="0" w:line="324" w:lineRule="exact"/>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9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4,684</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8,009</w:t>
            </w: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10,000</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-1636395</wp:posOffset>
            </wp:positionV>
            <wp:extent cx="102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-1636395</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-1636395</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-1636395</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299" w:hanging="348"/>
        <w:spacing w:after="0" w:line="25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the section entitled “—EBITDA and Adjusted EBITDA.”</w:t>
      </w:r>
    </w:p>
    <w:p>
      <w:pPr>
        <w:spacing w:after="0" w:line="11" w:lineRule="exact"/>
        <w:rPr>
          <w:rFonts w:ascii="Arial" w:cs="Arial" w:eastAsia="Arial" w:hAnsi="Arial"/>
          <w:sz w:val="14"/>
          <w:szCs w:val="14"/>
          <w:color w:val="auto"/>
        </w:rPr>
      </w:pPr>
    </w:p>
    <w:p>
      <w:pPr>
        <w:jc w:val="both"/>
        <w:ind w:left="640" w:right="319" w:hanging="348"/>
        <w:spacing w:after="0" w:line="238"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Monthly revenue per client is defined as monthly revenue for the last month of any particular period divided by the number of paying clients in that last month of a particular period. The calculation of monthly revenue includes revenue from any clients that cease to be paying clients during the applicable month.</w:t>
      </w:r>
    </w:p>
    <w:p>
      <w:pPr>
        <w:spacing w:after="0" w:line="20"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Paying clients are defined as the number of paying clients billed during the last month of a particular period (and for which services were provided).</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Monthly active users in this table is for the last month in the period.</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in the table above EBITDA and Adjusted EBITDA, both of which are non-GAAP financial measures that we calculate as net income before interest, taxes, depreciation and amortization in the case of EBITDA and further adjusted to exclude loss from discontinued operations, and other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present EBITDA and Adjusted EBITDA because these metrics are a key measure used by our management and board of managers to evaluate our operating performance, generate future operating plans and make strategic decisions regarding the allocation of investment capacity. Accordingly, we believe that EBITDA and Adjusted EBITDA provides useful information to investors and others in understanding and evaluating our operating results in the same manner as our management and board of managers.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w:t>
      </w:r>
    </w:p>
    <w:p>
      <w:pPr>
        <w:spacing w:after="0" w:line="38" w:lineRule="exact"/>
        <w:rPr>
          <w:sz w:val="20"/>
          <w:szCs w:val="20"/>
          <w:color w:val="auto"/>
        </w:rPr>
      </w:pPr>
    </w:p>
    <w:p>
      <w:pPr>
        <w:jc w:val="both"/>
        <w:ind w:left="1000" w:right="319" w:hanging="348"/>
        <w:spacing w:after="0" w:line="311" w:lineRule="auto"/>
        <w:tabs>
          <w:tab w:leader="none" w:pos="10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to non-GAAP EBITDA and Adjusted EBITDA is as follows: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480" w:type="dxa"/>
            <w:vAlign w:val="bottom"/>
            <w:gridSpan w:val="5"/>
            <w:vMerge w:val="restart"/>
          </w:tcPr>
          <w:p>
            <w:pPr>
              <w:jc w:val="right"/>
              <w:ind w:right="54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6"/>
        </w:trPr>
        <w:tc>
          <w:tcPr>
            <w:tcW w:w="4500" w:type="dxa"/>
            <w:vAlign w:val="bottom"/>
          </w:tcPr>
          <w:p>
            <w:pPr>
              <w:spacing w:after="0"/>
              <w:rPr>
                <w:sz w:val="16"/>
                <w:szCs w:val="16"/>
                <w:color w:val="auto"/>
              </w:rPr>
            </w:pPr>
          </w:p>
        </w:tc>
        <w:tc>
          <w:tcPr>
            <w:tcW w:w="2480" w:type="dxa"/>
            <w:vAlign w:val="bottom"/>
            <w:gridSpan w:val="5"/>
            <w:vMerge w:val="continue"/>
          </w:tcPr>
          <w:p>
            <w:pPr>
              <w:spacing w:after="0"/>
              <w:rPr>
                <w:sz w:val="16"/>
                <w:szCs w:val="16"/>
                <w:color w:val="auto"/>
              </w:rPr>
            </w:pPr>
          </w:p>
        </w:tc>
        <w:tc>
          <w:tcPr>
            <w:tcW w:w="1440" w:type="dxa"/>
            <w:vAlign w:val="bottom"/>
            <w:gridSpan w:val="2"/>
          </w:tcPr>
          <w:p>
            <w:pPr>
              <w:jc w:val="right"/>
              <w:ind w:right="312"/>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700" w:type="dxa"/>
            <w:vAlign w:val="bottom"/>
          </w:tcPr>
          <w:p>
            <w:pPr>
              <w:jc w:val="right"/>
              <w:ind w:right="175"/>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9"/>
                <w:szCs w:val="19"/>
                <w:color w:val="auto"/>
              </w:rPr>
            </w:pPr>
          </w:p>
        </w:tc>
        <w:tc>
          <w:tcPr>
            <w:tcW w:w="620" w:type="dxa"/>
            <w:vAlign w:val="bottom"/>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70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9"/>
                <w:szCs w:val="19"/>
                <w:color w:val="auto"/>
              </w:rPr>
            </w:pPr>
          </w:p>
        </w:tc>
        <w:tc>
          <w:tcPr>
            <w:tcW w:w="72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2260" w:type="dxa"/>
            <w:vAlign w:val="bottom"/>
            <w:tcBorders>
              <w:bottom w:val="single" w:sz="8" w:color="auto"/>
            </w:tcBorders>
            <w:gridSpan w:val="4"/>
          </w:tcPr>
          <w:p>
            <w:pPr>
              <w:spacing w:after="0"/>
              <w:rPr>
                <w:sz w:val="4"/>
                <w:szCs w:val="4"/>
                <w:color w:val="auto"/>
              </w:rPr>
            </w:pPr>
          </w:p>
        </w:tc>
        <w:tc>
          <w:tcPr>
            <w:tcW w:w="166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500" w:type="dxa"/>
            <w:vAlign w:val="bottom"/>
          </w:tcPr>
          <w:p>
            <w:pPr>
              <w:spacing w:after="0"/>
              <w:rPr>
                <w:sz w:val="19"/>
                <w:szCs w:val="19"/>
                <w:color w:val="auto"/>
              </w:rPr>
            </w:pPr>
          </w:p>
        </w:tc>
        <w:tc>
          <w:tcPr>
            <w:tcW w:w="3920" w:type="dxa"/>
            <w:vAlign w:val="bottom"/>
            <w:gridSpan w:val="7"/>
          </w:tcPr>
          <w:p>
            <w:pPr>
              <w:jc w:val="right"/>
              <w:ind w:right="332"/>
              <w:spacing w:after="0"/>
              <w:rPr>
                <w:sz w:val="20"/>
                <w:szCs w:val="20"/>
                <w:color w:val="auto"/>
              </w:rPr>
            </w:pPr>
            <w:r>
              <w:rPr>
                <w:rFonts w:ascii="Arial" w:cs="Arial" w:eastAsia="Arial" w:hAnsi="Arial"/>
                <w:sz w:val="14"/>
                <w:szCs w:val="14"/>
                <w:b w:val="1"/>
                <w:bCs w:val="1"/>
                <w:color w:val="auto"/>
              </w:rPr>
              <w:t>(dollars in thousands, except for revenue by client)</w:t>
            </w:r>
          </w:p>
        </w:tc>
        <w:tc>
          <w:tcPr>
            <w:tcW w:w="0" w:type="dxa"/>
            <w:vAlign w:val="bottom"/>
          </w:tcPr>
          <w:p>
            <w:pPr>
              <w:spacing w:after="0"/>
              <w:rPr>
                <w:sz w:val="1"/>
                <w:szCs w:val="1"/>
                <w:color w:val="auto"/>
              </w:rPr>
            </w:pPr>
          </w:p>
        </w:tc>
      </w:tr>
      <w:tr>
        <w:trPr>
          <w:trHeight w:val="53"/>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86"/>
              </w:rPr>
              <w:t>$12,679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$38,830</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w w:val="98"/>
              </w:rPr>
              <w:t>$3,809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Interest expenses &amp; taxes</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620</w:t>
            </w:r>
          </w:p>
        </w:tc>
        <w:tc>
          <w:tcPr>
            <w:tcW w:w="240" w:type="dxa"/>
            <w:vAlign w:val="bottom"/>
          </w:tcPr>
          <w:p>
            <w:pPr>
              <w:spacing w:after="0"/>
              <w:rPr>
                <w:sz w:val="23"/>
                <w:szCs w:val="23"/>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1,445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2,149</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5,162</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999</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EBITDA</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w w:val="86"/>
              </w:rPr>
              <w:t>$15,448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92"/>
              <w:spacing w:after="0"/>
              <w:rPr>
                <w:sz w:val="20"/>
                <w:szCs w:val="20"/>
                <w:color w:val="auto"/>
              </w:rPr>
            </w:pPr>
            <w:r>
              <w:rPr>
                <w:rFonts w:ascii="Arial" w:cs="Arial" w:eastAsia="Arial" w:hAnsi="Arial"/>
                <w:sz w:val="18"/>
                <w:szCs w:val="18"/>
                <w:color w:val="auto"/>
                <w:w w:val="93"/>
              </w:rPr>
              <w:t>6,232</w:t>
            </w:r>
          </w:p>
        </w:tc>
        <w:tc>
          <w:tcPr>
            <w:tcW w:w="700" w:type="dxa"/>
            <w:vAlign w:val="bottom"/>
          </w:tcPr>
          <w:p>
            <w:pPr>
              <w:jc w:val="right"/>
              <w:spacing w:after="0"/>
              <w:rPr>
                <w:sz w:val="20"/>
                <w:szCs w:val="20"/>
                <w:color w:val="auto"/>
              </w:rPr>
            </w:pPr>
            <w:r>
              <w:rPr>
                <w:rFonts w:ascii="Arial" w:cs="Arial" w:eastAsia="Arial" w:hAnsi="Arial"/>
                <w:sz w:val="18"/>
                <w:szCs w:val="18"/>
                <w:color w:val="auto"/>
              </w:rPr>
              <w:t>$42,808</w:t>
            </w:r>
          </w:p>
        </w:tc>
        <w:tc>
          <w:tcPr>
            <w:tcW w:w="22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$4,808</w:t>
            </w:r>
          </w:p>
        </w:tc>
        <w:tc>
          <w:tcPr>
            <w:tcW w:w="720" w:type="dxa"/>
            <w:vAlign w:val="bottom"/>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1,675</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tcPr>
          <w:p>
            <w:pPr>
              <w:ind w:left="180"/>
              <w:spacing w:after="0"/>
              <w:rPr>
                <w:sz w:val="20"/>
                <w:szCs w:val="20"/>
                <w:color w:val="auto"/>
              </w:rPr>
            </w:pPr>
            <w:r>
              <w:rPr>
                <w:rFonts w:ascii="Arial" w:cs="Arial" w:eastAsia="Arial" w:hAnsi="Arial"/>
                <w:sz w:val="18"/>
                <w:szCs w:val="18"/>
                <w:color w:val="auto"/>
              </w:rPr>
              <w:t>Financing fees</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3,394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Reduction in force</w:t>
            </w:r>
          </w:p>
        </w:tc>
        <w:tc>
          <w:tcPr>
            <w:tcW w:w="7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4,202</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50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tcPr>
          <w:p>
            <w:pPr>
              <w:jc w:val="right"/>
              <w:ind w:right="35"/>
              <w:spacing w:after="0"/>
              <w:rPr>
                <w:sz w:val="20"/>
                <w:szCs w:val="20"/>
                <w:color w:val="auto"/>
              </w:rPr>
            </w:pPr>
            <w:r>
              <w:rPr>
                <w:rFonts w:ascii="Arial" w:cs="Arial" w:eastAsia="Arial" w:hAnsi="Arial"/>
                <w:sz w:val="18"/>
                <w:szCs w:val="18"/>
                <w:color w:val="auto"/>
                <w:w w:val="86"/>
              </w:rPr>
              <w:t>$17,123</w:t>
            </w:r>
          </w:p>
        </w:tc>
        <w:tc>
          <w:tcPr>
            <w:tcW w:w="860" w:type="dxa"/>
            <w:vAlign w:val="bottom"/>
            <w:gridSpan w:val="2"/>
          </w:tcPr>
          <w:p>
            <w:pPr>
              <w:jc w:val="right"/>
              <w:ind w:right="72"/>
              <w:spacing w:after="0"/>
              <w:rPr>
                <w:sz w:val="20"/>
                <w:szCs w:val="20"/>
                <w:color w:val="auto"/>
              </w:rPr>
            </w:pPr>
            <w:r>
              <w:rPr>
                <w:rFonts w:ascii="Arial" w:cs="Arial" w:eastAsia="Arial" w:hAnsi="Arial"/>
                <w:sz w:val="18"/>
                <w:szCs w:val="18"/>
                <w:color w:val="auto"/>
              </w:rPr>
              <w:t>$13,828</w:t>
            </w:r>
          </w:p>
        </w:tc>
        <w:tc>
          <w:tcPr>
            <w:tcW w:w="700" w:type="dxa"/>
            <w:vAlign w:val="bottom"/>
          </w:tcPr>
          <w:p>
            <w:pPr>
              <w:jc w:val="right"/>
              <w:spacing w:after="0"/>
              <w:rPr>
                <w:sz w:val="20"/>
                <w:szCs w:val="20"/>
                <w:color w:val="auto"/>
              </w:rPr>
            </w:pPr>
            <w:r>
              <w:rPr>
                <w:rFonts w:ascii="Arial" w:cs="Arial" w:eastAsia="Arial" w:hAnsi="Arial"/>
                <w:sz w:val="18"/>
                <w:szCs w:val="18"/>
                <w:color w:val="auto"/>
              </w:rPr>
              <w:t>$42,808</w:t>
            </w:r>
          </w:p>
        </w:tc>
        <w:tc>
          <w:tcPr>
            <w:tcW w:w="220" w:type="dxa"/>
            <w:vAlign w:val="bottom"/>
          </w:tcPr>
          <w:p>
            <w:pPr>
              <w:spacing w:after="0"/>
              <w:rPr>
                <w:sz w:val="23"/>
                <w:szCs w:val="23"/>
                <w:color w:val="auto"/>
              </w:rPr>
            </w:pPr>
          </w:p>
        </w:tc>
        <w:tc>
          <w:tcPr>
            <w:tcW w:w="720" w:type="dxa"/>
            <w:vAlign w:val="bottom"/>
          </w:tcPr>
          <w:p>
            <w:pPr>
              <w:jc w:val="right"/>
              <w:ind w:right="75"/>
              <w:spacing w:after="0"/>
              <w:rPr>
                <w:sz w:val="20"/>
                <w:szCs w:val="20"/>
                <w:color w:val="auto"/>
              </w:rPr>
            </w:pPr>
            <w:r>
              <w:rPr>
                <w:rFonts w:ascii="Arial" w:cs="Arial" w:eastAsia="Arial" w:hAnsi="Arial"/>
                <w:sz w:val="18"/>
                <w:szCs w:val="18"/>
                <w:color w:val="auto"/>
                <w:w w:val="98"/>
              </w:rPr>
              <w:t>$4,808</w:t>
            </w:r>
          </w:p>
        </w:tc>
        <w:tc>
          <w:tcPr>
            <w:tcW w:w="720" w:type="dxa"/>
            <w:vAlign w:val="bottom"/>
          </w:tcPr>
          <w:p>
            <w:pPr>
              <w:jc w:val="right"/>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-1808480</wp:posOffset>
            </wp:positionV>
            <wp:extent cx="137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-1808480</wp:posOffset>
            </wp:positionV>
            <wp:extent cx="1371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-1808480</wp:posOffset>
            </wp:positionV>
            <wp:extent cx="137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3425825</wp:posOffset>
            </wp:positionH>
            <wp:positionV relativeFrom="paragraph">
              <wp:posOffset>-1808480</wp:posOffset>
            </wp:positionV>
            <wp:extent cx="137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Revenue Per Paying Client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Monthly revenue per paying client measures how much clients, as of the period of measurement, are willing to pay us for our subscription and additional offerings and the efficiency of the bid-auction process for our featured listings placements. We calculate this metric by dividing total monthly revenue for the last month of any particular period by the number of paying clients in that last month of a particular period. The calculation of total monthly revenue includes revenue from any clients that cease to be paying clients during the applicable month. We have consistently grown our monthly revenue per paying client, reflecting the increased functionality we have provided over time with our WM Business software solutions and the increased retailer density within the markets we serve.</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paying clients as the number of clients billed during the last month of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non-licensed operators. In June 2020, we initiated a similar effort in Canada to discontinue services to Canada-based retail</w:t>
      </w:r>
    </w:p>
    <w:p>
      <w:pPr>
        <w:sectPr>
          <w:pgSz w:w="11900" w:h="16838" w:orient="portrait"/>
          <w:cols w:equalWidth="0" w:num="1">
            <w:col w:w="9019"/>
          </w:cols>
          <w:pgMar w:left="1440" w:top="265"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operators clients who failed to provide valid license information, which drove a decline in paying clients beginning in September 2020. This reset of Canada was completed on November 30, 2020.</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MAUs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non-licensed operators in certain markets can have outsized impacts on MAU growth. We cannot determine what, if any, impact the pandemic had on our MAU growth in 2020.</w:t>
      </w:r>
    </w:p>
    <w:p>
      <w:pPr>
        <w:spacing w:after="0" w:line="6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grown our MAUs from 7.4 million in February 2020 to 9.1 million in March 2021. While we believe, like other industries, the pandemic accelerated existing trends towards consumer adoption of online platforms, we cannot be certain to what impact, if any, the end of the pandemic will have on our MAUs or MAU growth.</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as we increase MAUs, we increase the value of our bundled SaaS solutions to business customers. We intend to disclose MAUs on a quarterly basis (based on the last month of the applicable quarter) going forward in connection with our quarterly reporting and filings.</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Listings Marketplace</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for clients in a given month who were paying clients in the immediately preceding month, has averaged at 100% for the eleven months between February 1 and December 31, 2020 (we exclude January 2020 given the high level of client churn that we experienced as a result of our decision to remove non-licensed operators in California at the end of 2019). In the first quarter of 2021, our net dollar retention averaged 102%, as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for the period from February 2020 to December 2020. For fiscal years 2018-2019, our monthly net dollar retention averaged 98%.</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We believe that we will have significant opportunities for greater growth as more jurisdictions legalize cannabis for medical and/or adult use and the regulatory environment continues to develop. Thirty-six U.S. states, the District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of Columbia, Puerto Rico, and several U.S. territories have legalized some form of whole-plant cannabis cultivation, sales, and use for certain medical purposes. Seventeen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OOH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intend to continue to make focused investments to grow our revenue and scale operations to support that growth. 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build new CRM and loyalty functionality, evolve our current listings and software offerings to our brand clients, among other areas. We anticipate undertaking such investments in order to be positioned to capitalize on the rapidly expanding cannabis market. As operating expenses and capital expenditures fluctuate over time, we may accordingly experience short-term, negative impacts to our operating results and cash flows.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net consists primarily of political contributions, interest expense, legal settlements, financing fees and other tax related expenses.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9"/>
            <w:vMerge w:val="restart"/>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9"/>
            <w:vMerge w:val="continue"/>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1400" w:type="dxa"/>
            <w:vAlign w:val="bottom"/>
            <w:gridSpan w:val="3"/>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40" w:type="dxa"/>
            <w:vAlign w:val="bottom"/>
            <w:gridSpan w:val="10"/>
          </w:tcPr>
          <w:p>
            <w:pPr>
              <w:jc w:val="right"/>
              <w:ind w:right="240"/>
              <w:spacing w:after="0"/>
              <w:rPr>
                <w:sz w:val="20"/>
                <w:szCs w:val="20"/>
                <w:color w:val="auto"/>
              </w:rPr>
            </w:pPr>
            <w:r>
              <w:rPr>
                <w:rFonts w:ascii="Arial" w:cs="Arial" w:eastAsia="Arial" w:hAnsi="Arial"/>
                <w:sz w:val="14"/>
                <w:szCs w:val="14"/>
                <w:b w:val="1"/>
                <w:bCs w:val="1"/>
                <w:color w:val="auto"/>
                <w:w w:val="94"/>
              </w:rPr>
              <w:t>(in thousands, except unit and per unit)</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$101,402</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$161,791</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$32,210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$41,154</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400" w:type="dxa"/>
            <w:vAlign w:val="bottom"/>
            <w:gridSpan w:val="3"/>
          </w:tcPr>
          <w:p>
            <w:pPr>
              <w:jc w:val="right"/>
              <w:ind w:right="42"/>
              <w:spacing w:after="0"/>
              <w:rPr>
                <w:sz w:val="20"/>
                <w:szCs w:val="20"/>
                <w:color w:val="auto"/>
              </w:rPr>
            </w:pPr>
            <w:r>
              <w:rPr>
                <w:rFonts w:ascii="Arial" w:cs="Arial" w:eastAsia="Arial" w:hAnsi="Arial"/>
                <w:sz w:val="18"/>
                <w:szCs w:val="18"/>
                <w:color w:val="auto"/>
              </w:rPr>
              <w:t>6,304</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7,074</w:t>
            </w:r>
          </w:p>
        </w:tc>
        <w:tc>
          <w:tcPr>
            <w:tcW w:w="14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7,630</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620" w:type="dxa"/>
            <w:vAlign w:val="bottom"/>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95,098</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137,158</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154,161</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39,297</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17,799</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30,716</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1400" w:type="dxa"/>
            <w:vAlign w:val="bottom"/>
            <w:gridSpan w:val="3"/>
          </w:tcPr>
          <w:p>
            <w:pPr>
              <w:jc w:val="right"/>
              <w:ind w:right="42"/>
              <w:spacing w:after="0"/>
              <w:rPr>
                <w:sz w:val="20"/>
                <w:szCs w:val="20"/>
                <w:color w:val="auto"/>
              </w:rPr>
            </w:pPr>
            <w:r>
              <w:rPr>
                <w:rFonts w:ascii="Arial" w:cs="Arial" w:eastAsia="Arial" w:hAnsi="Arial"/>
                <w:sz w:val="18"/>
                <w:szCs w:val="18"/>
                <w:color w:val="auto"/>
              </w:rPr>
              <w:t>20,034</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29,497</w:t>
            </w:r>
          </w:p>
        </w:tc>
        <w:tc>
          <w:tcPr>
            <w:tcW w:w="14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27,142</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6,708</w:t>
            </w:r>
          </w:p>
        </w:tc>
        <w:tc>
          <w:tcPr>
            <w:tcW w:w="620" w:type="dxa"/>
            <w:vAlign w:val="bottom"/>
          </w:tcPr>
          <w:p>
            <w:pPr>
              <w:jc w:val="right"/>
              <w:spacing w:after="0"/>
              <w:rPr>
                <w:sz w:val="20"/>
                <w:szCs w:val="20"/>
                <w:color w:val="auto"/>
              </w:rPr>
            </w:pPr>
            <w:r>
              <w:rPr>
                <w:rFonts w:ascii="Arial" w:cs="Arial" w:eastAsia="Arial" w:hAnsi="Arial"/>
                <w:sz w:val="18"/>
                <w:szCs w:val="18"/>
                <w:color w:val="auto"/>
              </w:rPr>
              <w:t>7,868</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38,935</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56,466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51,127</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11,999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400" w:type="dxa"/>
            <w:vAlign w:val="bottom"/>
            <w:gridSpan w:val="3"/>
          </w:tcPr>
          <w:p>
            <w:pPr>
              <w:jc w:val="right"/>
              <w:ind w:right="42"/>
              <w:spacing w:after="0"/>
              <w:rPr>
                <w:sz w:val="20"/>
                <w:szCs w:val="20"/>
                <w:color w:val="auto"/>
              </w:rPr>
            </w:pPr>
            <w:r>
              <w:rPr>
                <w:rFonts w:ascii="Arial" w:cs="Arial" w:eastAsia="Arial" w:hAnsi="Arial"/>
                <w:sz w:val="18"/>
                <w:szCs w:val="18"/>
                <w:color w:val="auto"/>
              </w:rPr>
              <w:t>2,149</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5,162</w:t>
            </w:r>
          </w:p>
        </w:tc>
        <w:tc>
          <w:tcPr>
            <w:tcW w:w="14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3.978</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999</w:t>
            </w:r>
          </w:p>
        </w:tc>
        <w:tc>
          <w:tcPr>
            <w:tcW w:w="620" w:type="dxa"/>
            <w:vAlign w:val="bottom"/>
          </w:tcPr>
          <w:p>
            <w:pPr>
              <w:jc w:val="right"/>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78,917</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130,871</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112,963</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26,337</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31,353</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(1,827)</w:t>
            </w:r>
          </w:p>
        </w:tc>
        <w:tc>
          <w:tcPr>
            <w:tcW w:w="28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(5,341)</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(2,368)</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(457)</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14,354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jc w:val="right"/>
              <w:ind w:right="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14,354</w:t>
            </w:r>
          </w:p>
        </w:tc>
        <w:tc>
          <w:tcPr>
            <w:tcW w:w="2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(1,675)</w:t>
            </w:r>
          </w:p>
        </w:tc>
        <w:tc>
          <w:tcPr>
            <w:tcW w:w="28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tcBorders>
              <w:bottom w:val="single" w:sz="8" w:color="CCEEFF"/>
            </w:tcBorders>
            <w:gridSpan w:val="3"/>
            <w:shd w:val="clear" w:color="auto" w:fill="CCEEFF"/>
          </w:tcPr>
          <w:p>
            <w:pPr>
              <w:jc w:val="right"/>
              <w:ind w:right="42"/>
              <w:spacing w:after="0"/>
              <w:rPr>
                <w:sz w:val="20"/>
                <w:szCs w:val="20"/>
                <w:color w:val="auto"/>
              </w:rPr>
            </w:pPr>
            <w:r>
              <w:rPr>
                <w:rFonts w:ascii="Arial" w:cs="Arial" w:eastAsia="Arial" w:hAnsi="Arial"/>
                <w:sz w:val="18"/>
                <w:szCs w:val="18"/>
                <w:color w:val="auto"/>
              </w:rPr>
              <w:t>$ 12,679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$ 38,830</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6"/>
              </w:rPr>
              <w:t>$ 3,809</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$ 7,731</w:t>
            </w:r>
          </w:p>
        </w:tc>
        <w:tc>
          <w:tcPr>
            <w:tcW w:w="0" w:type="dxa"/>
            <w:vAlign w:val="bottom"/>
          </w:tcPr>
          <w:p>
            <w:pPr>
              <w:spacing w:after="0"/>
              <w:rPr>
                <w:sz w:val="1"/>
                <w:szCs w:val="1"/>
                <w:color w:val="auto"/>
              </w:rPr>
            </w:pPr>
          </w:p>
        </w:tc>
      </w:tr>
      <w:tr>
        <w:trPr>
          <w:trHeight w:val="315"/>
        </w:trPr>
        <w:tc>
          <w:tcPr>
            <w:tcW w:w="3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9"/>
            <w:vMerge w:val="restart"/>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3"/>
          </w:tcPr>
          <w:p>
            <w:pPr>
              <w:jc w:val="center"/>
              <w:ind w:right="11"/>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80" w:type="dxa"/>
            <w:vAlign w:val="bottom"/>
            <w:gridSpan w:val="9"/>
            <w:vMerge w:val="continue"/>
          </w:tcPr>
          <w:p>
            <w:pPr>
              <w:spacing w:after="0"/>
              <w:rPr>
                <w:sz w:val="16"/>
                <w:szCs w:val="16"/>
                <w:color w:val="auto"/>
              </w:rPr>
            </w:pP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2"/>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1400" w:type="dxa"/>
            <w:vAlign w:val="bottom"/>
            <w:gridSpan w:val="3"/>
          </w:tcPr>
          <w:p>
            <w:pPr>
              <w:jc w:val="right"/>
              <w:ind w:right="62"/>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366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gridSpan w:val="2"/>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Cost of revenue</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0"/>
        </w:trPr>
        <w:tc>
          <w:tcPr>
            <w:tcW w:w="36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Product development expenses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20 %</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before tax</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Provision for income taxes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0"/>
        </w:trPr>
        <w:tc>
          <w:tcPr>
            <w:tcW w:w="3660" w:type="dxa"/>
            <w:vAlign w:val="bottom"/>
          </w:tcPr>
          <w:p>
            <w:pPr>
              <w:ind w:left="180"/>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3660" w:type="dxa"/>
            <w:vAlign w:val="bottom"/>
          </w:tcPr>
          <w:p>
            <w:pPr>
              <w:spacing w:after="0"/>
              <w:rPr>
                <w:sz w:val="4"/>
                <w:szCs w:val="4"/>
                <w:color w:val="auto"/>
              </w:rPr>
            </w:pPr>
          </w:p>
        </w:tc>
        <w:tc>
          <w:tcPr>
            <w:tcW w:w="840" w:type="dxa"/>
            <w:vAlign w:val="bottom"/>
            <w:gridSpan w:val="2"/>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4"/>
        </w:trPr>
        <w:tc>
          <w:tcPr>
            <w:tcW w:w="36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-6925945</wp:posOffset>
            </wp:positionV>
            <wp:extent cx="1028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-6925945</wp:posOffset>
            </wp:positionV>
            <wp:extent cx="1028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-6925945</wp:posOffset>
            </wp:positionV>
            <wp:extent cx="1028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-6925945</wp:posOffset>
            </wp:positionV>
            <wp:extent cx="1028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-3102610</wp:posOffset>
            </wp:positionV>
            <wp:extent cx="17145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-3102610</wp:posOffset>
            </wp:positionV>
            <wp:extent cx="1714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-3102610</wp:posOffset>
            </wp:positionV>
            <wp:extent cx="1714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3408680</wp:posOffset>
            </wp:positionH>
            <wp:positionV relativeFrom="paragraph">
              <wp:posOffset>-3102610</wp:posOffset>
            </wp:positionV>
            <wp:extent cx="17145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2962910</wp:posOffset>
            </wp:positionH>
            <wp:positionV relativeFrom="paragraph">
              <wp:posOffset>-3102610</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9019"/>
          </w:cols>
          <w:pgMar w:left="1440" w:top="265" w:right="1440" w:bottom="156" w:gutter="0" w:footer="0" w:header="0"/>
        </w:sect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56" w:gutter="0" w:footer="0" w:header="0"/>
          <w:type w:val="continuous"/>
        </w:sectPr>
      </w:pPr>
    </w:p>
    <w:bookmarkStart w:id="63" w:name="page64"/>
    <w:bookmarkEnd w:id="6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Three Months Ended March 31, 2021 and 2020 Revenue</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86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6"/>
                <w:szCs w:val="16"/>
                <w:color w:val="auto"/>
              </w:rPr>
            </w:pPr>
          </w:p>
        </w:tc>
        <w:tc>
          <w:tcPr>
            <w:tcW w:w="8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4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400" w:type="dxa"/>
            <w:vAlign w:val="bottom"/>
          </w:tcPr>
          <w:p>
            <w:pPr>
              <w:spacing w:after="0"/>
              <w:rPr>
                <w:sz w:val="19"/>
                <w:szCs w:val="19"/>
                <w:color w:val="auto"/>
              </w:rPr>
            </w:pPr>
          </w:p>
        </w:tc>
        <w:tc>
          <w:tcPr>
            <w:tcW w:w="33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60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40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$32,210</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54"/>
        </w:trPr>
        <w:tc>
          <w:tcPr>
            <w:tcW w:w="3400" w:type="dxa"/>
            <w:vAlign w:val="bottom"/>
            <w:shd w:val="clear" w:color="auto" w:fill="CCEEFF"/>
          </w:tcPr>
          <w:p>
            <w:pPr>
              <w:spacing w:after="0"/>
              <w:rPr>
                <w:sz w:val="4"/>
                <w:szCs w:val="4"/>
                <w:color w:val="auto"/>
              </w:rPr>
            </w:pPr>
          </w:p>
        </w:tc>
        <w:tc>
          <w:tcPr>
            <w:tcW w:w="27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5311775</wp:posOffset>
            </wp:positionH>
            <wp:positionV relativeFrom="paragraph">
              <wp:posOffset>-222250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-222250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-222250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-222250</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Total revenue increased by $8.9 million, or 28% for the three months ended March 31, 2021 compared to the same period in 2020. The increase was driven by a 30% increase in the monthly revenue per paying client, which was partially offset by a 1%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impact of the pricing increase related to transitioning all of our standard listing subscription clients to our new WM Business subscription package. These impacts were partially offset by the removal of Canada-based clients who had higher monthly spend than our average client base as well as the elimination of our technology services fee on all delivery orders.</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of revenue in fiscal 2020, of which $6.2 million was generated in the first quarter of fiscal 2020 and $5.2 million was generated in the fourth quarter of fiscal 2020. This reset of Canada was completed on November 30, 2020.</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we experienced increased delivery orders submitted through the platform. In fiscal 2020, standard listing clients were required to pay a $5.00 technology services fee on all delivery orders submitted. As a result of the increased delivery orders submitted through the platform,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our fiscal 2020 revenue. However, as we eliminated the technology services fee on January 1, 2021, and given the pricing model of our other products, it is not possible to quantify any other impact of the pandemic on revenue.</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Three Months</w:t>
            </w: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7"/>
              </w:rPr>
              <w:t>Ended March 31,</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640" w:type="dxa"/>
            <w:vAlign w:val="bottom"/>
          </w:tcPr>
          <w:p>
            <w:pPr>
              <w:jc w:val="right"/>
              <w:ind w:right="101"/>
              <w:spacing w:after="0"/>
              <w:rPr>
                <w:sz w:val="20"/>
                <w:szCs w:val="20"/>
                <w:color w:val="auto"/>
              </w:rPr>
            </w:pPr>
            <w:r>
              <w:rPr>
                <w:rFonts w:ascii="Arial" w:cs="Arial" w:eastAsia="Arial" w:hAnsi="Arial"/>
                <w:sz w:val="14"/>
                <w:szCs w:val="14"/>
                <w:b w:val="1"/>
                <w:bCs w:val="1"/>
                <w:color w:val="auto"/>
              </w:rPr>
              <w:t>2020</w:t>
            </w:r>
          </w:p>
        </w:tc>
        <w:tc>
          <w:tcPr>
            <w:tcW w:w="92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9"/>
                <w:szCs w:val="19"/>
                <w:color w:val="auto"/>
              </w:rPr>
            </w:pPr>
          </w:p>
        </w:tc>
        <w:tc>
          <w:tcPr>
            <w:tcW w:w="400" w:type="dxa"/>
            <w:vAlign w:val="bottom"/>
          </w:tcPr>
          <w:p>
            <w:pPr>
              <w:jc w:val="right"/>
              <w:ind w:right="102"/>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8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gridSpan w:val="2"/>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5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6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w w:val="87"/>
              </w:rPr>
              <w:t>$1,607</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$1,857</w:t>
            </w:r>
          </w:p>
        </w:tc>
        <w:tc>
          <w:tcPr>
            <w:tcW w:w="2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w w:val="79"/>
              </w:rPr>
              <w:t>250</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7"/>
        </w:trPr>
        <w:tc>
          <w:tcPr>
            <w:tcW w:w="5800" w:type="dxa"/>
            <w:vAlign w:val="bottom"/>
          </w:tcPr>
          <w:p>
            <w:pPr>
              <w:spacing w:after="0"/>
              <w:rPr>
                <w:sz w:val="20"/>
                <w:szCs w:val="20"/>
                <w:color w:val="auto"/>
              </w:rPr>
            </w:pPr>
            <w:r>
              <w:rPr>
                <w:rFonts w:ascii="Arial" w:cs="Arial" w:eastAsia="Arial" w:hAnsi="Arial"/>
                <w:sz w:val="18"/>
                <w:szCs w:val="18"/>
                <w:color w:val="auto"/>
              </w:rPr>
              <w:t>Gross margin</w:t>
            </w: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5208905</wp:posOffset>
            </wp:positionH>
            <wp:positionV relativeFrom="paragraph">
              <wp:posOffset>-556895</wp:posOffset>
            </wp:positionV>
            <wp:extent cx="17145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-556895</wp:posOffset>
            </wp:positionV>
            <wp:extent cx="17145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-556895</wp:posOffset>
            </wp:positionV>
            <wp:extent cx="1714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Cost of revenue increased by $0.3 million, or 16% for the three months ended March 31, 2021, compared to the same period in 2020. The increase was due to an increase in web hosting and internet services of $0.2 million as traffic to our website continues to increase requiring us to increase our server capacity. Cost of revenues also included an additional cost of $0.1 million related to the cost of hardware to operate our point of sales software.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7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20" w:type="dxa"/>
            <w:vAlign w:val="bottom"/>
          </w:tcPr>
          <w:p>
            <w:pPr>
              <w:spacing w:after="0"/>
              <w:rPr>
                <w:sz w:val="16"/>
                <w:szCs w:val="16"/>
                <w:color w:val="auto"/>
              </w:rPr>
            </w:pPr>
          </w:p>
        </w:tc>
        <w:tc>
          <w:tcPr>
            <w:tcW w:w="17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7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760" w:type="dxa"/>
            <w:vAlign w:val="bottom"/>
          </w:tcPr>
          <w:p>
            <w:pPr>
              <w:jc w:val="right"/>
              <w:ind w:right="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500" w:type="dxa"/>
            <w:vAlign w:val="bottom"/>
          </w:tcPr>
          <w:p>
            <w:pPr>
              <w:jc w:val="right"/>
              <w:ind w:right="14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5820" w:type="dxa"/>
            <w:vAlign w:val="bottom"/>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20" w:type="dxa"/>
            <w:vAlign w:val="bottom"/>
          </w:tcPr>
          <w:p>
            <w:pPr>
              <w:spacing w:after="0"/>
              <w:rPr>
                <w:sz w:val="19"/>
                <w:szCs w:val="19"/>
                <w:color w:val="auto"/>
              </w:rPr>
            </w:pPr>
          </w:p>
        </w:tc>
        <w:tc>
          <w:tcPr>
            <w:tcW w:w="2240" w:type="dxa"/>
            <w:vAlign w:val="bottom"/>
            <w:gridSpan w:val="4"/>
          </w:tcPr>
          <w:p>
            <w:pPr>
              <w:ind w:left="64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60" w:type="dxa"/>
            <w:vAlign w:val="bottom"/>
            <w:tcBorders>
              <w:bottom w:val="single" w:sz="8" w:color="CCEEFF"/>
            </w:tcBorders>
            <w:shd w:val="clear" w:color="auto" w:fill="CCEEFF"/>
          </w:tcPr>
          <w:p>
            <w:pPr>
              <w:jc w:val="right"/>
              <w:ind w:right="182"/>
              <w:spacing w:after="0"/>
              <w:rPr>
                <w:sz w:val="20"/>
                <w:szCs w:val="20"/>
                <w:color w:val="auto"/>
              </w:rPr>
            </w:pPr>
            <w:r>
              <w:rPr>
                <w:rFonts w:ascii="Arial" w:cs="Arial" w:eastAsia="Arial" w:hAnsi="Arial"/>
                <w:sz w:val="18"/>
                <w:szCs w:val="18"/>
                <w:color w:val="auto"/>
                <w:w w:val="87"/>
              </w:rPr>
              <w:t>$6,631</w:t>
            </w: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$9,117</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w w:val="84"/>
              </w:rPr>
              <w:t>2,486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Percentage of revenue</w:t>
            </w:r>
          </w:p>
        </w:tc>
        <w:tc>
          <w:tcPr>
            <w:tcW w:w="760" w:type="dxa"/>
            <w:vAlign w:val="bottom"/>
          </w:tcPr>
          <w:p>
            <w:pPr>
              <w:jc w:val="right"/>
              <w:ind w:right="42"/>
              <w:spacing w:after="0"/>
              <w:rPr>
                <w:sz w:val="20"/>
                <w:szCs w:val="20"/>
                <w:color w:val="auto"/>
              </w:rPr>
            </w:pPr>
            <w:r>
              <w:rPr>
                <w:rFonts w:ascii="Arial" w:cs="Arial" w:eastAsia="Arial" w:hAnsi="Arial"/>
                <w:sz w:val="18"/>
                <w:szCs w:val="18"/>
                <w:color w:val="auto"/>
              </w:rPr>
              <w:t>21%</w:t>
            </w: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-556895</wp:posOffset>
            </wp:positionV>
            <wp:extent cx="137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4848860</wp:posOffset>
            </wp:positionH>
            <wp:positionV relativeFrom="paragraph">
              <wp:posOffset>-556895</wp:posOffset>
            </wp:positionV>
            <wp:extent cx="137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-556895</wp:posOffset>
            </wp:positionV>
            <wp:extent cx="137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Sales and marketing expenses increased by $2.5 million, or 37% for the three months ended March 31, 2021, compared to the same period in 2020. Personnel-related cost increased by $1.3 million due to an increase in headcount and an increase in sales incentive plan compensation due to higher revenues. Branding and advertising expense, which mostly consisted of out-of-home advertising, increased by $0.2 million and online advertising increased by $0.8 million as more advertising options became available in the cannabis industry and we continued to invest in marketing spend. We also incurred additional costs related to event spend, merchandise giveaways and endorsements totaling $0.2 million.</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Years Ended</w:t>
            </w:r>
          </w:p>
        </w:tc>
        <w:tc>
          <w:tcPr>
            <w:tcW w:w="220" w:type="dxa"/>
            <w:vAlign w:val="bottom"/>
          </w:tcPr>
          <w:p>
            <w:pPr>
              <w:spacing w:after="0"/>
              <w:rPr>
                <w:sz w:val="14"/>
                <w:szCs w:val="14"/>
                <w:color w:val="auto"/>
              </w:rPr>
            </w:pPr>
          </w:p>
        </w:tc>
        <w:tc>
          <w:tcPr>
            <w:tcW w:w="720" w:type="dxa"/>
            <w:vAlign w:val="bottom"/>
            <w:vMerge w:val="restart"/>
          </w:tcPr>
          <w:p>
            <w:pPr>
              <w:ind w:left="24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2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24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860" w:type="dxa"/>
            <w:vAlign w:val="bottom"/>
          </w:tcPr>
          <w:p>
            <w:pPr>
              <w:jc w:val="right"/>
              <w:ind w:right="99"/>
              <w:spacing w:after="0"/>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4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$6,708</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$7,868</w:t>
            </w:r>
          </w:p>
        </w:tc>
        <w:tc>
          <w:tcPr>
            <w:tcW w:w="94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$1,160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70"/>
        </w:trPr>
        <w:tc>
          <w:tcPr>
            <w:tcW w:w="398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-573405</wp:posOffset>
            </wp:positionV>
            <wp:extent cx="137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-573405</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-573405</wp:posOffset>
            </wp:positionV>
            <wp:extent cx="137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Product development expenses increased by $1.2 million, or 17% for the three months ended March 31, 2021, compared to the same period in 2020. This increase was primarily due to an increase in personnel-related cost of $1.0 million as headcount increased. There was also an increase in outside development services of $0.2 million. Increase in headcount and outside development services was driven by development of new products and features.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720" w:type="dxa"/>
            <w:vAlign w:val="bottom"/>
          </w:tcPr>
          <w:p>
            <w:pPr>
              <w:spacing w:after="0"/>
              <w:rPr>
                <w:sz w:val="16"/>
                <w:szCs w:val="16"/>
                <w:color w:val="auto"/>
              </w:rPr>
            </w:pPr>
          </w:p>
        </w:tc>
        <w:tc>
          <w:tcPr>
            <w:tcW w:w="162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Ended March 31,</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720" w:type="dxa"/>
            <w:vAlign w:val="bottom"/>
          </w:tcPr>
          <w:p>
            <w:pPr>
              <w:spacing w:after="0"/>
              <w:rPr>
                <w:sz w:val="19"/>
                <w:szCs w:val="19"/>
                <w:color w:val="auto"/>
              </w:rPr>
            </w:pPr>
          </w:p>
        </w:tc>
        <w:tc>
          <w:tcPr>
            <w:tcW w:w="800" w:type="dxa"/>
            <w:vAlign w:val="bottom"/>
          </w:tcPr>
          <w:p>
            <w:pPr>
              <w:jc w:val="right"/>
              <w:ind w:right="222"/>
              <w:spacing w:after="0"/>
              <w:rPr>
                <w:sz w:val="20"/>
                <w:szCs w:val="20"/>
                <w:color w:val="auto"/>
              </w:rPr>
            </w:pPr>
            <w:r>
              <w:rPr>
                <w:rFonts w:ascii="Arial" w:cs="Arial" w:eastAsia="Arial" w:hAnsi="Arial"/>
                <w:sz w:val="14"/>
                <w:szCs w:val="14"/>
                <w:b w:val="1"/>
                <w:bCs w:val="1"/>
                <w:color w:val="auto"/>
              </w:rPr>
              <w:t>2020</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2021</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5720" w:type="dxa"/>
            <w:vAlign w:val="bottom"/>
          </w:tcPr>
          <w:p>
            <w:pPr>
              <w:spacing w:after="0"/>
              <w:rPr>
                <w:sz w:val="4"/>
                <w:szCs w:val="4"/>
                <w:color w:val="auto"/>
              </w:rPr>
            </w:pPr>
          </w:p>
        </w:tc>
        <w:tc>
          <w:tcPr>
            <w:tcW w:w="18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720" w:type="dxa"/>
            <w:vAlign w:val="bottom"/>
          </w:tcPr>
          <w:p>
            <w:pPr>
              <w:spacing w:after="0"/>
              <w:rPr>
                <w:sz w:val="19"/>
                <w:szCs w:val="19"/>
                <w:color w:val="auto"/>
              </w:rPr>
            </w:pPr>
          </w:p>
        </w:tc>
        <w:tc>
          <w:tcPr>
            <w:tcW w:w="2380" w:type="dxa"/>
            <w:vAlign w:val="bottom"/>
            <w:gridSpan w:val="4"/>
          </w:tcPr>
          <w:p>
            <w:pPr>
              <w:ind w:left="68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86"/>
              </w:rPr>
              <w:t>$11,999</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$13,366</w:t>
            </w:r>
          </w:p>
        </w:tc>
        <w:tc>
          <w:tcPr>
            <w:tcW w:w="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$1,367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ind w:right="2"/>
              <w:spacing w:after="0"/>
              <w:rPr>
                <w:sz w:val="20"/>
                <w:szCs w:val="20"/>
                <w:color w:val="auto"/>
              </w:rPr>
            </w:pPr>
            <w:r>
              <w:rPr>
                <w:rFonts w:ascii="Arial" w:cs="Arial" w:eastAsia="Arial" w:hAnsi="Arial"/>
                <w:sz w:val="18"/>
                <w:szCs w:val="18"/>
                <w:color w:val="auto"/>
              </w:rPr>
              <w:t>37%</w:t>
            </w: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-574040</wp:posOffset>
            </wp:positionV>
            <wp:extent cx="1028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-574040</wp:posOffset>
            </wp:positionV>
            <wp:extent cx="102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-574040</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General and administrative expenses increased by $1.4 million, or 11% for the three months ended March 31, 2021, compared to the same period in 2020. The increase was primarily due to an increase in rent expense of $1.0 million due to a new office lease that commenced in March 2020 together with an increased software cost of $0.3 million as we entered into new software service agreements to effectively operate the business. There was also an increase in outside and professional services of $0.4 million due to higher legal and lobbying expenses as well as additional cost for consultants to implement new software solutions. We also recorded additional bad debt expense of $0.1 million compared to the prior period. The increase was partially offset by a decrease in facility and travel related costs $0.4 million, mostly due to work-from-home guidelines which we put into effect in March 2020.</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8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8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60" w:type="dxa"/>
            <w:vAlign w:val="bottom"/>
          </w:tcPr>
          <w:p>
            <w:pPr>
              <w:spacing w:after="0"/>
              <w:rPr>
                <w:sz w:val="19"/>
                <w:szCs w:val="19"/>
                <w:color w:val="auto"/>
              </w:rPr>
            </w:pPr>
          </w:p>
        </w:tc>
        <w:tc>
          <w:tcPr>
            <w:tcW w:w="560" w:type="dxa"/>
            <w:vAlign w:val="bottom"/>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960" w:type="dxa"/>
            <w:vAlign w:val="bottom"/>
          </w:tcPr>
          <w:p>
            <w:pPr>
              <w:jc w:val="right"/>
              <w:ind w:right="119"/>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340" w:type="dxa"/>
            <w:vAlign w:val="bottom"/>
          </w:tcPr>
          <w:p>
            <w:pPr>
              <w:jc w:val="right"/>
              <w:ind w:right="82"/>
              <w:spacing w:after="0"/>
              <w:rPr>
                <w:sz w:val="20"/>
                <w:szCs w:val="20"/>
                <w:color w:val="auto"/>
              </w:rPr>
            </w:pPr>
            <w:r>
              <w:rPr>
                <w:rFonts w:ascii="Arial" w:cs="Arial" w:eastAsia="Arial" w:hAnsi="Arial"/>
                <w:sz w:val="14"/>
                <w:szCs w:val="14"/>
                <w:b w:val="1"/>
                <w:bCs w:val="1"/>
                <w:color w:val="auto"/>
                <w:w w:val="93"/>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58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w w:val="92"/>
              </w:rPr>
              <w:t>(dollars in thousands)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56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56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w w:val="89"/>
              </w:rPr>
              <w:t>$999</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$1,002</w:t>
            </w:r>
          </w:p>
        </w:tc>
        <w:tc>
          <w:tcPr>
            <w:tcW w:w="3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79"/>
              </w:rPr>
              <w:t>$3</w:t>
            </w:r>
          </w:p>
        </w:tc>
        <w:tc>
          <w:tcPr>
            <w:tcW w:w="400" w:type="dxa"/>
            <w:vAlign w:val="bottom"/>
            <w:tcBorders>
              <w:bottom w:val="single" w:sz="8" w:color="CCEEFF"/>
            </w:tcBorders>
            <w:shd w:val="clear" w:color="auto" w:fill="CCEEFF"/>
          </w:tcPr>
          <w:p>
            <w:pPr>
              <w:jc w:val="center"/>
              <w:ind w:left="59"/>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4883150</wp:posOffset>
            </wp:positionH>
            <wp:positionV relativeFrom="paragraph">
              <wp:posOffset>-574040</wp:posOffset>
            </wp:positionV>
            <wp:extent cx="4972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-574040</wp:posOffset>
            </wp:positionV>
            <wp:extent cx="18859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Depreciation and amortization were consistent for the three months ended March 31, 2021, compared to the same period in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Three Months</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5"/>
              </w:rPr>
              <w:t>Ended March 31,</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800" w:type="dxa"/>
            <w:vAlign w:val="bottom"/>
          </w:tcPr>
          <w:p>
            <w:pPr>
              <w:jc w:val="right"/>
              <w:ind w:right="242"/>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480" w:type="dxa"/>
            <w:vAlign w:val="bottom"/>
          </w:tcPr>
          <w:p>
            <w:pPr>
              <w:jc w:val="right"/>
              <w:ind w:right="122"/>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860" w:type="dxa"/>
            <w:vAlign w:val="bottom"/>
          </w:tcPr>
          <w:p>
            <w:pPr>
              <w:spacing w:after="0"/>
              <w:rPr>
                <w:sz w:val="19"/>
                <w:szCs w:val="19"/>
                <w:color w:val="auto"/>
              </w:rPr>
            </w:pPr>
          </w:p>
        </w:tc>
        <w:tc>
          <w:tcPr>
            <w:tcW w:w="2060" w:type="dxa"/>
            <w:vAlign w:val="bottom"/>
            <w:gridSpan w:val="4"/>
          </w:tcPr>
          <w:p>
            <w:pPr>
              <w:ind w:left="620"/>
              <w:spacing w:after="0"/>
              <w:rPr>
                <w:sz w:val="20"/>
                <w:szCs w:val="20"/>
                <w:color w:val="auto"/>
              </w:rPr>
            </w:pPr>
            <w:r>
              <w:rPr>
                <w:rFonts w:ascii="Arial" w:cs="Arial" w:eastAsia="Arial" w:hAnsi="Arial"/>
                <w:sz w:val="14"/>
                <w:szCs w:val="14"/>
                <w:b w:val="1"/>
                <w:bCs w:val="1"/>
                <w:color w:val="auto"/>
                <w:w w:val="97"/>
              </w:rPr>
              <w:t>(dollars in thousands)</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8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$(457)</w:t>
            </w:r>
          </w:p>
        </w:tc>
        <w:tc>
          <w:tcPr>
            <w:tcW w:w="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w w:val="84"/>
              </w:rPr>
              <w:t>$485</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ind w:right="82"/>
              <w:spacing w:after="0"/>
              <w:rPr>
                <w:sz w:val="20"/>
                <w:szCs w:val="20"/>
                <w:color w:val="auto"/>
              </w:rPr>
            </w:pPr>
            <w:r>
              <w:rPr>
                <w:rFonts w:ascii="Arial" w:cs="Arial" w:eastAsia="Arial" w:hAnsi="Arial"/>
                <w:sz w:val="18"/>
                <w:szCs w:val="18"/>
                <w:color w:val="auto"/>
              </w:rPr>
              <w:t>-1%</w:t>
            </w:r>
          </w:p>
        </w:tc>
        <w:tc>
          <w:tcPr>
            <w:tcW w:w="56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-574040</wp:posOffset>
            </wp:positionV>
            <wp:extent cx="137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-574040</wp:posOffset>
            </wp:positionV>
            <wp:extent cx="137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-574040</wp:posOffset>
            </wp:positionV>
            <wp:extent cx="1371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Other expense decreased by $0.5 million, or 106% for the three months ended March 31, 2021 compared to the same period in 2020. The decrease is due to a decrease in finance related cost of $0.2 million, a decrease in political contributions of $0.1 million and loss from foreign currency exchange that decreased by $0.2 million related to revenue generated in Canada.</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Years Ended</w:t>
            </w:r>
          </w:p>
        </w:tc>
        <w:tc>
          <w:tcPr>
            <w:tcW w:w="10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33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4"/>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$17,559</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3280" w:type="dxa"/>
            <w:vAlign w:val="bottom"/>
            <w:shd w:val="clear" w:color="auto" w:fill="CCEEFF"/>
          </w:tcPr>
          <w:p>
            <w:pPr>
              <w:spacing w:after="0"/>
              <w:rPr>
                <w:sz w:val="4"/>
                <w:szCs w:val="4"/>
                <w:color w:val="auto"/>
              </w:rPr>
            </w:pPr>
          </w:p>
        </w:tc>
        <w:tc>
          <w:tcPr>
            <w:tcW w:w="26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-401955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-401955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-401955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Total revenue increased by $17.6 million, or 12% for the year ended December 31, 2020 compared to the same period in 2019. The increase was driven by a 25% increase in the monthly revenue per paying client, which was partially offset by a 18% decrease in total paying clients as a result of factors described below. Our growth in monthly revenue per paying client reflects continued growth in the average price paid for our featured listings, more client engagement driven by the increased functionality across our WM Business suite of solutions, and the removal of California-based clients who had lower monthly spend than our average client base. On December 31, 2019, we discontinued our services to California-based retail operator clients who failed to provide valid license information as a result of our previously-announced intent to transition to supporting only licensed operators within the state. As a result, we removed a significant number of paying clients who generated approximately $28.5 million in fiscal 2019. When adjusting the prior year to remove revenue associated with these non-licensed clients, our revenue for fiscal year 2020 increased by $46.1 million, or 40%, compared to fiscal 2019. The impact on revenue by the removal of the aforementioned clients was partially offset by increase in total paying clients in non-California U.S. markets and Canada.</w:t>
      </w:r>
    </w:p>
    <w:p>
      <w:pPr>
        <w:spacing w:after="0" w:line="7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As a result, we removed a significant number of paying clients who generated approximately $31.4 million of revenue in fiscal 2020. This reset of Canada was completed on November 30, 2020.</w:t>
      </w:r>
    </w:p>
    <w:p>
      <w:pPr>
        <w:spacing w:after="0" w:line="53"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Further, beginning in the first quarter of fiscal 2020, we experienced a significant increase in demand from retailers, including storefronts and delivery services, for its technology solutions (such as clients using WM Orders functionality to enable reservation of products by consumers for curbside pickup), which resulted in increased revenue as we experienced increased delivery orders submitted through the platform. In fiscal 2020, standard listing clients were required to pay a $5.00 technology services fee on all delivery orders submitted. As a result of the increased delivery orders submitted through the platform, the revenue associated with the technology services fee averaged approximately 2.9x more per month from the beginning of March 2020 through December 2020 when compared with the average in January 2020 and February 2020. Total revenue associated with the technology services fee represented less than 5% of our fiscal 2020 revenue. However, as we eliminated the technology services fee on January 1, 2021, and given the pricing model of our other products, it is not possible to quantify any other impact of the pandemic on revenue.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6" w:name="page67"/>
    <w:bookmarkEnd w:id="66"/>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6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Cost of Revenue</w:t>
            </w: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gridSpan w:val="2"/>
          </w:tcPr>
          <w:p>
            <w:pPr>
              <w:jc w:val="right"/>
              <w:ind w:right="319"/>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24"/>
                <w:szCs w:val="2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$7,074</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$556</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-574040</wp:posOffset>
            </wp:positionV>
            <wp:extent cx="1543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-574040</wp:posOffset>
            </wp:positionV>
            <wp:extent cx="154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543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Cost of revenue increased by $0.6 million, or 8%, for the year ended December 31, 2020, compared to the same period in 2019. Credit card processing fees increased by $0.6 million as revenue increased and more clients opted to use credit cards as a form of payment.</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Years Ended</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1820" w:type="dxa"/>
            <w:vAlign w:val="bottom"/>
            <w:gridSpan w:val="3"/>
          </w:tcPr>
          <w:p>
            <w:pPr>
              <w:ind w:left="4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40" w:type="dxa"/>
            <w:vAlign w:val="bottom"/>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920" w:type="dxa"/>
            <w:vAlign w:val="bottom"/>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00" w:type="dxa"/>
            <w:vAlign w:val="bottom"/>
          </w:tcPr>
          <w:p>
            <w:pPr>
              <w:jc w:val="right"/>
              <w:ind w:right="18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w w:val="89"/>
              </w:rPr>
              <w:t>$39,746</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$30,716</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(9,030)</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-573405</wp:posOffset>
            </wp:positionV>
            <wp:extent cx="1028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4797425</wp:posOffset>
            </wp:positionH>
            <wp:positionV relativeFrom="paragraph">
              <wp:posOffset>-573405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-573405</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Sales and marketing expenses decreased by $9.0 million, or 23%, for the year ended December 31, 2020, compared to the same period in 2019. 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25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5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$29,497</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8"/>
              </w:rPr>
              <w:t>$27,142</w:t>
            </w:r>
          </w:p>
        </w:tc>
        <w:tc>
          <w:tcPr>
            <w:tcW w:w="9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$(2,355)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20" w:type="dxa"/>
            <w:vAlign w:val="bottom"/>
            <w:gridSpan w:val="2"/>
          </w:tcPr>
          <w:p>
            <w:pPr>
              <w:jc w:val="right"/>
              <w:ind w:right="8"/>
              <w:spacing w:after="0"/>
              <w:rPr>
                <w:sz w:val="20"/>
                <w:szCs w:val="20"/>
                <w:color w:val="auto"/>
              </w:rPr>
            </w:pPr>
            <w:r>
              <w:rPr>
                <w:rFonts w:ascii="Arial" w:cs="Arial" w:eastAsia="Arial" w:hAnsi="Arial"/>
                <w:sz w:val="18"/>
                <w:szCs w:val="18"/>
                <w:color w:val="auto"/>
              </w:rPr>
              <w:t>20%</w:t>
            </w: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-574040</wp:posOffset>
            </wp:positionV>
            <wp:extent cx="8572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-574040</wp:posOffset>
            </wp:positionV>
            <wp:extent cx="8572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-574040</wp:posOffset>
            </wp:positionV>
            <wp:extent cx="8572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Product development expenses decreased by $2.3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were to drive operating efficiencies and increase our liquidity position at the time. Travel related expenses also decreased by $0.2 million due to the COVID-19 pandemic.</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20" w:type="dxa"/>
            <w:vAlign w:val="bottom"/>
            <w:gridSpan w:val="2"/>
          </w:tcPr>
          <w:p>
            <w:pPr>
              <w:jc w:val="right"/>
              <w:ind w:right="336"/>
              <w:spacing w:after="0"/>
              <w:rPr>
                <w:sz w:val="20"/>
                <w:szCs w:val="20"/>
                <w:color w:val="auto"/>
              </w:rPr>
            </w:pPr>
            <w:r>
              <w:rPr>
                <w:rFonts w:ascii="Arial" w:cs="Arial" w:eastAsia="Arial" w:hAnsi="Arial"/>
                <w:sz w:val="14"/>
                <w:szCs w:val="14"/>
                <w:b w:val="1"/>
                <w:bCs w:val="1"/>
                <w:color w:val="auto"/>
              </w:rPr>
              <w:t>Years Ended</w:t>
            </w:r>
          </w:p>
        </w:tc>
        <w:tc>
          <w:tcPr>
            <w:tcW w:w="140" w:type="dxa"/>
            <w:vAlign w:val="bottom"/>
          </w:tcPr>
          <w:p>
            <w:pPr>
              <w:spacing w:after="0"/>
              <w:rPr>
                <w:sz w:val="14"/>
                <w:szCs w:val="14"/>
                <w:color w:val="auto"/>
              </w:rPr>
            </w:pPr>
          </w:p>
        </w:tc>
        <w:tc>
          <w:tcPr>
            <w:tcW w:w="760" w:type="dxa"/>
            <w:vAlign w:val="bottom"/>
            <w:vMerge w:val="restart"/>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2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232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7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4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52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tcBorders>
              <w:bottom w:val="single" w:sz="8" w:color="CCEEFF"/>
            </w:tcBorders>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$56,466</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8"/>
              </w:rPr>
              <w:t>$51,127</w:t>
            </w:r>
          </w:p>
        </w:tc>
        <w:tc>
          <w:tcPr>
            <w:tcW w:w="9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$(5,339)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320" w:type="dxa"/>
            <w:vAlign w:val="bottom"/>
            <w:gridSpan w:val="2"/>
          </w:tcPr>
          <w:p>
            <w:pPr>
              <w:jc w:val="right"/>
              <w:ind w:right="8"/>
              <w:spacing w:after="0"/>
              <w:rPr>
                <w:sz w:val="20"/>
                <w:szCs w:val="20"/>
                <w:color w:val="auto"/>
              </w:rPr>
            </w:pPr>
            <w:r>
              <w:rPr>
                <w:rFonts w:ascii="Arial" w:cs="Arial" w:eastAsia="Arial" w:hAnsi="Arial"/>
                <w:sz w:val="18"/>
                <w:szCs w:val="18"/>
                <w:color w:val="auto"/>
              </w:rPr>
              <w:t>39%</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-574040</wp:posOffset>
            </wp:positionV>
            <wp:extent cx="8572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-574040</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4248785</wp:posOffset>
            </wp:positionH>
            <wp:positionV relativeFrom="paragraph">
              <wp:posOffset>-574040</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General and administrative 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bad debt expense of $1.3 million during the year.</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80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20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100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0" w:type="dxa"/>
            <w:vAlign w:val="bottom"/>
            <w:gridSpan w:val="3"/>
          </w:tcPr>
          <w:p>
            <w:pPr>
              <w:ind w:left="6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240" w:type="dxa"/>
            <w:vAlign w:val="bottom"/>
          </w:tcPr>
          <w:p>
            <w:pPr>
              <w:spacing w:after="0"/>
              <w:rPr>
                <w:sz w:val="4"/>
                <w:szCs w:val="4"/>
                <w:color w:val="auto"/>
              </w:rPr>
            </w:pPr>
          </w:p>
        </w:tc>
        <w:tc>
          <w:tcPr>
            <w:tcW w:w="13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06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$5,162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$3,978</w:t>
            </w:r>
          </w:p>
        </w:tc>
        <w:tc>
          <w:tcPr>
            <w:tcW w:w="100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$(1,184)</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(23)</w:t>
            </w: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-573405</wp:posOffset>
            </wp:positionV>
            <wp:extent cx="1200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-573405</wp:posOffset>
            </wp:positionV>
            <wp:extent cx="1200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-573405</wp:posOffset>
            </wp:positionV>
            <wp:extent cx="12001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Depreciation and amortization expenses decreased by $1.2 million, or 23%, for the year ended December 31, 2020, compared to the same period in 2019. The decrease is due to accelerated amortization of $2.5 million related to intangible assets of the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Ended</w:t>
            </w:r>
          </w:p>
        </w:tc>
        <w:tc>
          <w:tcPr>
            <w:tcW w:w="9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7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80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580" w:type="dxa"/>
            <w:vAlign w:val="bottom"/>
          </w:tcPr>
          <w:p>
            <w:pPr>
              <w:jc w:val="right"/>
              <w:ind w:right="16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234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$(5,341)</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$(2,368)</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87"/>
              </w:rPr>
              <w:t>$2,973</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ind w:left="420"/>
              <w:spacing w:after="0"/>
              <w:rPr>
                <w:sz w:val="20"/>
                <w:szCs w:val="20"/>
                <w:color w:val="auto"/>
              </w:rPr>
            </w:pPr>
            <w:r>
              <w:rPr>
                <w:rFonts w:ascii="Arial" w:cs="Arial" w:eastAsia="Arial" w:hAnsi="Arial"/>
                <w:sz w:val="18"/>
                <w:szCs w:val="18"/>
                <w:color w:val="auto"/>
              </w:rPr>
              <w:t>-4%</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-574040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-574040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-574040</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Other expenses decreased by $3.0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Comparison of Year Ended December 31, 2018 and 2019</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460" w:type="dxa"/>
            <w:vAlign w:val="bottom"/>
            <w:gridSpan w:val="2"/>
          </w:tcPr>
          <w:p>
            <w:pPr>
              <w:ind w:left="3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33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2018</w:t>
            </w:r>
          </w:p>
        </w:tc>
        <w:tc>
          <w:tcPr>
            <w:tcW w:w="740" w:type="dxa"/>
            <w:vAlign w:val="bottom"/>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2"/>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1560" w:type="dxa"/>
            <w:vAlign w:val="bottom"/>
            <w:tcBorders>
              <w:bottom w:val="single" w:sz="8" w:color="auto"/>
            </w:tcBorders>
            <w:gridSpan w:val="3"/>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28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0" w:type="dxa"/>
            <w:vAlign w:val="bottom"/>
            <w:gridSpan w:val="4"/>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26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$42,830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54"/>
        </w:trPr>
        <w:tc>
          <w:tcPr>
            <w:tcW w:w="3280" w:type="dxa"/>
            <w:vAlign w:val="bottom"/>
            <w:shd w:val="clear" w:color="auto" w:fill="CCEEFF"/>
          </w:tcPr>
          <w:p>
            <w:pPr>
              <w:spacing w:after="0"/>
              <w:rPr>
                <w:sz w:val="4"/>
                <w:szCs w:val="4"/>
                <w:color w:val="auto"/>
              </w:rPr>
            </w:pPr>
          </w:p>
        </w:tc>
        <w:tc>
          <w:tcPr>
            <w:tcW w:w="26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-402590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-402590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-402590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Total revenue increased by $42.8 million, or 42% in 2019 compared to 2018. The increase was driven by a 15% increase in total paying clients and a 14% increase in the monthly revenue per paying client. Our growth in total paying clients reflected our continued expansion in U.S. states outside of California as well as Canada. Our growth in monthly revenue per paying client reflects continued growth in the average price paid for our featured listings as well as more client engagement driven by the increased functionality across our WM Business suite of solutions.</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2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3660" w:type="dxa"/>
            <w:vAlign w:val="bottom"/>
            <w:gridSpan w:val="2"/>
          </w:tcPr>
          <w:p>
            <w:pPr>
              <w:ind w:left="360"/>
              <w:spacing w:after="0"/>
              <w:rPr>
                <w:sz w:val="20"/>
                <w:szCs w:val="20"/>
                <w:color w:val="auto"/>
              </w:rPr>
            </w:pPr>
            <w:r>
              <w:rPr>
                <w:rFonts w:ascii="Arial" w:cs="Arial" w:eastAsia="Arial" w:hAnsi="Arial"/>
                <w:sz w:val="18"/>
                <w:szCs w:val="18"/>
                <w:i w:val="1"/>
                <w:iCs w:val="1"/>
                <w:color w:val="auto"/>
              </w:rPr>
              <w:t>Cost of Revenue</w:t>
            </w: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15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4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Years Ended</w:t>
            </w:r>
          </w:p>
        </w:tc>
        <w:tc>
          <w:tcPr>
            <w:tcW w:w="240" w:type="dxa"/>
            <w:vAlign w:val="bottom"/>
          </w:tcPr>
          <w:p>
            <w:pPr>
              <w:spacing w:after="0"/>
              <w:rPr>
                <w:sz w:val="24"/>
                <w:szCs w:val="24"/>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4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7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2018</w:t>
            </w:r>
          </w:p>
        </w:tc>
        <w:tc>
          <w:tcPr>
            <w:tcW w:w="90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1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7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$6,304</w:t>
            </w: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$7,074</w:t>
            </w:r>
          </w:p>
        </w:tc>
        <w:tc>
          <w:tcPr>
            <w:tcW w:w="74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$770</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36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5226050</wp:posOffset>
            </wp:positionH>
            <wp:positionV relativeFrom="paragraph">
              <wp:posOffset>-574040</wp:posOffset>
            </wp:positionV>
            <wp:extent cx="1543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-574040</wp:posOffset>
            </wp:positionV>
            <wp:extent cx="1543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5430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Cost of revenue increased by $0.8 million, or 12%, in 2019 compared to 2018. Credit card processing fees increased by $1.2 million as revenue increased and more clients opted to use credit cards as a form of payment. The increase was partially offset by a decrease of $0.5 million in web hosting and internet services cost as we were able to more efficiently manage these expenses.</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Ended</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19"/>
                <w:szCs w:val="19"/>
                <w:color w:val="auto"/>
              </w:rPr>
            </w:pPr>
          </w:p>
        </w:tc>
        <w:tc>
          <w:tcPr>
            <w:tcW w:w="800" w:type="dxa"/>
            <w:vAlign w:val="bottom"/>
          </w:tcPr>
          <w:p>
            <w:pPr>
              <w:jc w:val="right"/>
              <w:ind w:right="202"/>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660" w:type="dxa"/>
            <w:vAlign w:val="bottom"/>
          </w:tcPr>
          <w:p>
            <w:pPr>
              <w:jc w:val="right"/>
              <w:ind w:right="20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19"/>
                <w:szCs w:val="19"/>
                <w:color w:val="auto"/>
              </w:rPr>
            </w:pPr>
          </w:p>
        </w:tc>
        <w:tc>
          <w:tcPr>
            <w:tcW w:w="2420" w:type="dxa"/>
            <w:vAlign w:val="bottom"/>
            <w:gridSpan w:val="4"/>
          </w:tcPr>
          <w:p>
            <w:pPr>
              <w:ind w:left="720"/>
              <w:spacing w:after="0"/>
              <w:rPr>
                <w:sz w:val="20"/>
                <w:szCs w:val="20"/>
                <w:color w:val="auto"/>
              </w:rPr>
            </w:pPr>
            <w:r>
              <w:rPr>
                <w:rFonts w:ascii="Arial" w:cs="Arial" w:eastAsia="Arial" w:hAnsi="Arial"/>
                <w:sz w:val="14"/>
                <w:szCs w:val="14"/>
                <w:b w:val="1"/>
                <w:bCs w:val="1"/>
                <w:color w:val="auto"/>
              </w:rPr>
              <w:t>(dollars in thousands)</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80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86"/>
              </w:rPr>
              <w:t>$17,799</w:t>
            </w:r>
          </w:p>
        </w:tc>
        <w:tc>
          <w:tcPr>
            <w:tcW w:w="8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8"/>
                <w:szCs w:val="18"/>
                <w:color w:val="auto"/>
                <w:w w:val="86"/>
              </w:rPr>
              <w:t>$21,947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56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-573405</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4814570</wp:posOffset>
            </wp:positionH>
            <wp:positionV relativeFrom="paragraph">
              <wp:posOffset>-573405</wp:posOffset>
            </wp:positionV>
            <wp:extent cx="857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-573405</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Sales and marketing expenses increased by $22.0 million, or 123%, in 2019 compared to 2018. Personnel - related cost increased by $8.0 million due to an increase in headcount, accrual of compensation cost related to the reduction in force, and an increase in sales incentive plan compensation due to higher revenues. Branding and advertising expense, that mostly consisted of out of home advertising, increased by $5.9 million and online advertising increased by $4.4 million as more advertising options became available in the cannabis industry and we continued to invest in marketing spend. Event cost also increased by $3.5 million, mostly related to the Weedmaps Museum of Weed and sponsorships for other events.</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Product Development Expenses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64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Years Ended</w:t>
            </w:r>
          </w:p>
        </w:tc>
        <w:tc>
          <w:tcPr>
            <w:tcW w:w="180" w:type="dxa"/>
            <w:vAlign w:val="bottom"/>
          </w:tcPr>
          <w:p>
            <w:pPr>
              <w:spacing w:after="0"/>
              <w:rPr>
                <w:sz w:val="14"/>
                <w:szCs w:val="14"/>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39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40" w:type="dxa"/>
            <w:vAlign w:val="bottom"/>
            <w:gridSpan w:val="2"/>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3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25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7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9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96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2560" w:type="dxa"/>
            <w:vAlign w:val="bottom"/>
            <w:tcBorders>
              <w:bottom w:val="single" w:sz="8" w:color="CCEEFF"/>
            </w:tcBorders>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$20,034</w:t>
            </w:r>
          </w:p>
        </w:tc>
        <w:tc>
          <w:tcPr>
            <w:tcW w:w="8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$29,497</w:t>
            </w:r>
          </w:p>
        </w:tc>
        <w:tc>
          <w:tcPr>
            <w:tcW w:w="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$9,463</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Percentage of revenue</w:t>
            </w:r>
          </w:p>
        </w:tc>
        <w:tc>
          <w:tcPr>
            <w:tcW w:w="2560" w:type="dxa"/>
            <w:vAlign w:val="bottom"/>
            <w:gridSpan w:val="2"/>
          </w:tcPr>
          <w:p>
            <w:pPr>
              <w:jc w:val="right"/>
              <w:ind w:right="8"/>
              <w:spacing w:after="0"/>
              <w:rPr>
                <w:sz w:val="20"/>
                <w:szCs w:val="20"/>
                <w:color w:val="auto"/>
              </w:rPr>
            </w:pPr>
            <w:r>
              <w:rPr>
                <w:rFonts w:ascii="Arial" w:cs="Arial" w:eastAsia="Arial" w:hAnsi="Arial"/>
                <w:sz w:val="18"/>
                <w:szCs w:val="18"/>
                <w:color w:val="auto"/>
              </w:rPr>
              <w:t>20%</w:t>
            </w: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-574040</wp:posOffset>
            </wp:positionV>
            <wp:extent cx="1028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-574040</wp:posOffset>
            </wp:positionV>
            <wp:extent cx="10287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-574040</wp:posOffset>
            </wp:positionV>
            <wp:extent cx="10287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Product development expenses increased by $9.5 million, or 47%, in 2019 compared to 2018. This increase was primarily due to an increase in personnel-related cost of $10.1 million as headcount increased, including an accrual for compensation cost related to the reduction in force, partially offset by a decrease in outside development services of $0.7 million. Increase in headcount was driven by development of new products and features.</w:t>
      </w: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gridSpan w:val="3"/>
          </w:tcPr>
          <w:p>
            <w:pPr>
              <w:ind w:left="4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80" w:type="dxa"/>
            <w:vAlign w:val="bottom"/>
          </w:tcPr>
          <w:p>
            <w:pPr>
              <w:spacing w:after="0"/>
              <w:rPr>
                <w:sz w:val="16"/>
                <w:szCs w:val="16"/>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c>
          <w:tcPr>
            <w:tcW w:w="7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80" w:type="dxa"/>
            <w:vAlign w:val="bottom"/>
          </w:tcPr>
          <w:p>
            <w:pPr>
              <w:spacing w:after="0"/>
              <w:rPr>
                <w:sz w:val="19"/>
                <w:szCs w:val="19"/>
                <w:color w:val="auto"/>
              </w:rPr>
            </w:pPr>
          </w:p>
        </w:tc>
        <w:tc>
          <w:tcPr>
            <w:tcW w:w="820" w:type="dxa"/>
            <w:vAlign w:val="bottom"/>
          </w:tcPr>
          <w:p>
            <w:pPr>
              <w:jc w:val="right"/>
              <w:ind w:right="222"/>
              <w:spacing w:after="0"/>
              <w:rPr>
                <w:sz w:val="20"/>
                <w:szCs w:val="20"/>
                <w:color w:val="auto"/>
              </w:rPr>
            </w:pPr>
            <w:r>
              <w:rPr>
                <w:rFonts w:ascii="Arial" w:cs="Arial" w:eastAsia="Arial" w:hAnsi="Arial"/>
                <w:sz w:val="14"/>
                <w:szCs w:val="14"/>
                <w:b w:val="1"/>
                <w:bCs w:val="1"/>
                <w:color w:val="auto"/>
              </w:rPr>
              <w:t>2018</w:t>
            </w:r>
          </w:p>
        </w:tc>
        <w:tc>
          <w:tcPr>
            <w:tcW w:w="80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9"/>
                <w:szCs w:val="19"/>
                <w:color w:val="auto"/>
              </w:rPr>
            </w:pPr>
          </w:p>
        </w:tc>
        <w:tc>
          <w:tcPr>
            <w:tcW w:w="740" w:type="dxa"/>
            <w:vAlign w:val="bottom"/>
          </w:tcPr>
          <w:p>
            <w:pPr>
              <w:jc w:val="right"/>
              <w:ind w:right="28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162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5680" w:type="dxa"/>
            <w:vAlign w:val="bottom"/>
          </w:tcPr>
          <w:p>
            <w:pPr>
              <w:spacing w:after="0"/>
              <w:rPr>
                <w:sz w:val="19"/>
                <w:szCs w:val="19"/>
                <w:color w:val="auto"/>
              </w:rPr>
            </w:pPr>
          </w:p>
        </w:tc>
        <w:tc>
          <w:tcPr>
            <w:tcW w:w="2500" w:type="dxa"/>
            <w:vAlign w:val="bottom"/>
            <w:gridSpan w:val="4"/>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8"/>
                <w:szCs w:val="18"/>
                <w:color w:val="auto"/>
                <w:w w:val="89"/>
              </w:rPr>
              <w:t>$38,935</w:t>
            </w:r>
          </w:p>
        </w:tc>
        <w:tc>
          <w:tcPr>
            <w:tcW w:w="8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8"/>
              </w:rPr>
              <w:t>$56,466</w:t>
            </w: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86"/>
              </w:rPr>
              <w:t>$17,531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ind w:right="2"/>
              <w:spacing w:after="0"/>
              <w:rPr>
                <w:sz w:val="20"/>
                <w:szCs w:val="20"/>
                <w:color w:val="auto"/>
              </w:rPr>
            </w:pPr>
            <w:r>
              <w:rPr>
                <w:rFonts w:ascii="Arial" w:cs="Arial" w:eastAsia="Arial" w:hAnsi="Arial"/>
                <w:sz w:val="18"/>
                <w:szCs w:val="18"/>
                <w:color w:val="auto"/>
              </w:rPr>
              <w:t>38%</w:t>
            </w:r>
          </w:p>
        </w:tc>
        <w:tc>
          <w:tcPr>
            <w:tcW w:w="80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5294630</wp:posOffset>
            </wp:positionH>
            <wp:positionV relativeFrom="paragraph">
              <wp:posOffset>-573405</wp:posOffset>
            </wp:positionV>
            <wp:extent cx="857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-573405</wp:posOffset>
            </wp:positionV>
            <wp:extent cx="857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-573405</wp:posOffset>
            </wp:positionV>
            <wp:extent cx="857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General and administrative expenses increased by $17.5 million, or 45%, in 2019 compared to 2018. The increase is primarily due to an increase in personnel-related cost of $10.2 million reflecting an increase in headcount and employee benefits cost, including an accrual for compensation cost related to the reduction in force in October 2019. The headcount increases also resulted in an increase in facility cost of $0.9 million. Professional and outside</w:t>
      </w:r>
    </w:p>
    <w:p>
      <w:pPr>
        <w:sectPr>
          <w:pgSz w:w="11900" w:h="16838" w:orient="portrait"/>
          <w:cols w:equalWidth="0" w:num="1">
            <w:col w:w="9019"/>
          </w:cols>
          <w:pgMar w:left="1440" w:top="262"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86" w:lineRule="auto"/>
        <w:rPr>
          <w:sz w:val="20"/>
          <w:szCs w:val="20"/>
          <w:color w:val="auto"/>
        </w:rPr>
      </w:pPr>
      <w:r>
        <w:rPr>
          <w:rFonts w:ascii="Arial" w:cs="Arial" w:eastAsia="Arial" w:hAnsi="Arial"/>
          <w:sz w:val="17"/>
          <w:szCs w:val="17"/>
          <w:color w:val="auto"/>
        </w:rPr>
        <w:t>services cost increased by $2.9 million, mostly related to lobbying and legal fees. Rent expense increased by $1.5 million due to leasing of additional office space and software cost increased by $2.0 million as we signed up for additional software solutions as well as an increase in licensing due to increased headcount.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80" w:type="dxa"/>
            <w:vAlign w:val="bottom"/>
            <w:gridSpan w:val="2"/>
          </w:tcPr>
          <w:p>
            <w:pPr>
              <w:jc w:val="right"/>
              <w:ind w:right="279"/>
              <w:spacing w:after="0"/>
              <w:rPr>
                <w:sz w:val="20"/>
                <w:szCs w:val="20"/>
                <w:color w:val="auto"/>
              </w:rPr>
            </w:pPr>
            <w:r>
              <w:rPr>
                <w:rFonts w:ascii="Arial" w:cs="Arial" w:eastAsia="Arial" w:hAnsi="Arial"/>
                <w:sz w:val="14"/>
                <w:szCs w:val="14"/>
                <w:b w:val="1"/>
                <w:bCs w:val="1"/>
                <w:color w:val="auto"/>
              </w:rPr>
              <w:t>Years Ended</w:t>
            </w:r>
          </w:p>
        </w:tc>
        <w:tc>
          <w:tcPr>
            <w:tcW w:w="200" w:type="dxa"/>
            <w:vAlign w:val="bottom"/>
          </w:tcPr>
          <w:p>
            <w:pPr>
              <w:spacing w:after="0"/>
              <w:rPr>
                <w:sz w:val="14"/>
                <w:szCs w:val="14"/>
                <w:color w:val="auto"/>
              </w:rPr>
            </w:pPr>
          </w:p>
        </w:tc>
        <w:tc>
          <w:tcPr>
            <w:tcW w:w="9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4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gridSpan w:val="2"/>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212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820" w:type="dxa"/>
            <w:vAlign w:val="bottom"/>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gridSpan w:val="2"/>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21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$2,149</w:t>
            </w:r>
          </w:p>
        </w:tc>
        <w:tc>
          <w:tcPr>
            <w:tcW w:w="8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$5,162</w:t>
            </w:r>
          </w:p>
        </w:tc>
        <w:tc>
          <w:tcPr>
            <w:tcW w:w="7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$3,013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0"/>
                <w:szCs w:val="20"/>
                <w:color w:val="auto"/>
              </w:rPr>
            </w:pPr>
            <w:r>
              <w:rPr>
                <w:rFonts w:ascii="Arial" w:cs="Arial" w:eastAsia="Arial" w:hAnsi="Arial"/>
                <w:sz w:val="18"/>
                <w:szCs w:val="18"/>
                <w:color w:val="auto"/>
              </w:rPr>
              <w:t>Percentage of revenue</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-574040</wp:posOffset>
            </wp:positionV>
            <wp:extent cx="1200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-574040</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-574040</wp:posOffset>
            </wp:positionV>
            <wp:extent cx="1200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Depreciation and amortization expenses increased by $3.0 million, or 140%, in 2019 compared to 2018, mostly due to $2.5 million of accelerated depreciation related to assets capitalized for Weedmaps Museum of Weed in fiscal year 2019. The remaining increase was due to an increase in headcount and leased office space in 2019.</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expense, net</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760" w:type="dxa"/>
            <w:vAlign w:val="bottom"/>
            <w:gridSpan w:val="3"/>
          </w:tcPr>
          <w:p>
            <w:pPr>
              <w:ind w:left="400"/>
              <w:spacing w:after="0"/>
              <w:rPr>
                <w:sz w:val="20"/>
                <w:szCs w:val="20"/>
                <w:color w:val="auto"/>
              </w:rPr>
            </w:pPr>
            <w:r>
              <w:rPr>
                <w:rFonts w:ascii="Arial" w:cs="Arial" w:eastAsia="Arial" w:hAnsi="Arial"/>
                <w:sz w:val="14"/>
                <w:szCs w:val="14"/>
                <w:b w:val="1"/>
                <w:bCs w:val="1"/>
                <w:color w:val="auto"/>
              </w:rPr>
              <w:t>Years Ended</w:t>
            </w:r>
          </w:p>
        </w:tc>
        <w:tc>
          <w:tcPr>
            <w:tcW w:w="780" w:type="dxa"/>
            <w:vAlign w:val="bottom"/>
            <w:vMerge w:val="restart"/>
          </w:tcPr>
          <w:p>
            <w:pPr>
              <w:ind w:left="300"/>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600" w:type="dxa"/>
            <w:vAlign w:val="bottom"/>
          </w:tcPr>
          <w:p>
            <w:pPr>
              <w:spacing w:after="0"/>
              <w:rPr>
                <w:sz w:val="16"/>
                <w:szCs w:val="16"/>
                <w:color w:val="auto"/>
              </w:rPr>
            </w:pPr>
          </w:p>
        </w:tc>
        <w:tc>
          <w:tcPr>
            <w:tcW w:w="1760" w:type="dxa"/>
            <w:vAlign w:val="bottom"/>
            <w:gridSpan w:val="3"/>
          </w:tcPr>
          <w:p>
            <w:pPr>
              <w:ind w:left="380"/>
              <w:spacing w:after="0"/>
              <w:rPr>
                <w:sz w:val="20"/>
                <w:szCs w:val="20"/>
                <w:color w:val="auto"/>
              </w:rPr>
            </w:pPr>
            <w:r>
              <w:rPr>
                <w:rFonts w:ascii="Arial" w:cs="Arial" w:eastAsia="Arial" w:hAnsi="Arial"/>
                <w:sz w:val="14"/>
                <w:szCs w:val="14"/>
                <w:b w:val="1"/>
                <w:bCs w:val="1"/>
                <w:color w:val="auto"/>
              </w:rPr>
              <w:t>December 31,</w:t>
            </w:r>
          </w:p>
        </w:tc>
        <w:tc>
          <w:tcPr>
            <w:tcW w:w="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20" w:type="dxa"/>
            <w:vAlign w:val="bottom"/>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9"/>
                <w:szCs w:val="19"/>
                <w:color w:val="auto"/>
              </w:rPr>
            </w:pPr>
          </w:p>
        </w:tc>
        <w:tc>
          <w:tcPr>
            <w:tcW w:w="780" w:type="dxa"/>
            <w:vAlign w:val="bottom"/>
          </w:tcPr>
          <w:p>
            <w:pPr>
              <w:jc w:val="right"/>
              <w:ind w:right="30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5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20" w:type="dxa"/>
            <w:vAlign w:val="bottom"/>
            <w:gridSpan w:val="3"/>
          </w:tcPr>
          <w:p>
            <w:pPr>
              <w:ind w:left="2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5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w w:val="89"/>
              </w:rPr>
              <w:t>$(1,827)</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$(5,341)</w:t>
            </w: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w w:val="89"/>
              </w:rPr>
              <w:t>$(3,514)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192</w:t>
            </w:r>
          </w:p>
        </w:tc>
        <w:tc>
          <w:tcPr>
            <w:tcW w:w="0" w:type="dxa"/>
            <w:vAlign w:val="bottom"/>
          </w:tcPr>
          <w:p>
            <w:pPr>
              <w:spacing w:after="0"/>
              <w:rPr>
                <w:sz w:val="1"/>
                <w:szCs w:val="1"/>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20" w:type="dxa"/>
            <w:vAlign w:val="bottom"/>
          </w:tcPr>
          <w:p>
            <w:pPr>
              <w:ind w:left="420"/>
              <w:spacing w:after="0"/>
              <w:rPr>
                <w:sz w:val="20"/>
                <w:szCs w:val="20"/>
                <w:color w:val="auto"/>
              </w:rPr>
            </w:pPr>
            <w:r>
              <w:rPr>
                <w:rFonts w:ascii="Arial" w:cs="Arial" w:eastAsia="Arial" w:hAnsi="Arial"/>
                <w:sz w:val="18"/>
                <w:szCs w:val="18"/>
                <w:color w:val="auto"/>
                <w:w w:val="87"/>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5260340</wp:posOffset>
            </wp:positionH>
            <wp:positionV relativeFrom="paragraph">
              <wp:posOffset>-574040</wp:posOffset>
            </wp:positionV>
            <wp:extent cx="10287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-574040</wp:posOffset>
            </wp:positionV>
            <wp:extent cx="10287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-574040</wp:posOffset>
            </wp:positionV>
            <wp:extent cx="10287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Other expense increased by $3.5 million, or 192%, in 2019 compared to 2018, mostly due to an increase in financing fees of $3.3 million related to several equity and debt transactions that we were evaluating but ultimately decided not to pursue, an increase in tax expenses of $0.5 million related to revenue generated by our foreign subsidiary in Canada along with an increase of $0.2 million in political contribution, partially offset by a decrease in interest expense of $0.5 million due to the repayment and closure of our secured line of credit in April 2019.</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360" w:type="dxa"/>
            <w:vAlign w:val="bottom"/>
            <w:gridSpan w:val="5"/>
          </w:tcPr>
          <w:p>
            <w:pPr>
              <w:jc w:val="right"/>
              <w:ind w:right="27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25"/>
        </w:trPr>
        <w:tc>
          <w:tcPr>
            <w:tcW w:w="606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9"/>
                <w:szCs w:val="19"/>
                <w:color w:val="auto"/>
              </w:rPr>
            </w:pPr>
          </w:p>
        </w:tc>
        <w:tc>
          <w:tcPr>
            <w:tcW w:w="620" w:type="dxa"/>
            <w:vAlign w:val="bottom"/>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3"/>
        </w:trPr>
        <w:tc>
          <w:tcPr>
            <w:tcW w:w="60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$25,771</w:t>
            </w:r>
          </w:p>
        </w:tc>
        <w:tc>
          <w:tcPr>
            <w:tcW w:w="2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$ 4,968</w:t>
            </w:r>
          </w:p>
        </w:tc>
        <w:tc>
          <w:tcPr>
            <w:tcW w:w="2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$19,919</w:t>
            </w:r>
          </w:p>
        </w:tc>
      </w:tr>
      <w:tr>
        <w:trPr>
          <w:trHeight w:val="270"/>
        </w:trPr>
        <w:tc>
          <w:tcPr>
            <w:tcW w:w="6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00" w:type="dxa"/>
            <w:vAlign w:val="bottom"/>
          </w:tcPr>
          <w:p>
            <w:pPr>
              <w:jc w:val="right"/>
              <w:spacing w:after="0"/>
              <w:rPr>
                <w:sz w:val="20"/>
                <w:szCs w:val="20"/>
                <w:color w:val="auto"/>
              </w:rPr>
            </w:pPr>
            <w:r>
              <w:rPr>
                <w:rFonts w:ascii="Arial" w:cs="Arial" w:eastAsia="Arial" w:hAnsi="Arial"/>
                <w:sz w:val="18"/>
                <w:szCs w:val="18"/>
                <w:color w:val="auto"/>
              </w:rPr>
              <w:t>1,357</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3,929</w:t>
            </w:r>
          </w:p>
        </w:tc>
        <w:tc>
          <w:tcPr>
            <w:tcW w:w="2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27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10,569</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2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10,917</w:t>
            </w:r>
          </w:p>
        </w:tc>
      </w:tr>
      <w:tr>
        <w:trPr>
          <w:trHeight w:val="54"/>
        </w:trPr>
        <w:tc>
          <w:tcPr>
            <w:tcW w:w="60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-633730</wp:posOffset>
            </wp:positionV>
            <wp:extent cx="1714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-633730</wp:posOffset>
            </wp:positionV>
            <wp:extent cx="171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-633730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As of March 31, 2021, the majority of our cash was held for general corporate purposes. We also intend to increase our capital expenditures to support the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including those described in the section entitled “Risk Factors.” We may not be able to secure additional financing to meet our operating requirements on acceptable terms, or at all.</w:t>
      </w:r>
    </w:p>
    <w:p>
      <w:pPr>
        <w:sectPr>
          <w:pgSz w:w="11900" w:h="16838" w:orient="portrait"/>
          <w:cols w:equalWidth="0" w:num="1">
            <w:col w:w="9019"/>
          </w:cols>
          <w:pgMar w:left="1440" w:top="265"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and the private sales of equity securities. Since inception and through the end of fiscal 2018, we raised a total of $22.6 million from the sale of equity securities, net of costs and expenses associated with such financings.</w:t>
      </w:r>
    </w:p>
    <w:p>
      <w:pPr>
        <w:spacing w:after="0" w:line="79"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Although we are not currently a party to any agreement or letter of intent with respect to potential investments in, or acquisitions of, complementary businesses, services or technologies, we may enter into these types of arrangements in the future, which could also require us to seek additional equity financing, incur indebtedness, or use cash resources. We have no present understandings, commitments or agreements to enter into any such acquisitions.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86"/>
        </w:trPr>
        <w:tc>
          <w:tcPr>
            <w:tcW w:w="4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gridSpan w:val="4"/>
            <w:vMerge w:val="continue"/>
          </w:tcPr>
          <w:p>
            <w:pPr>
              <w:spacing w:after="0"/>
              <w:rPr>
                <w:sz w:val="16"/>
                <w:szCs w:val="16"/>
                <w:color w:val="auto"/>
              </w:rPr>
            </w:pPr>
          </w:p>
        </w:tc>
        <w:tc>
          <w:tcPr>
            <w:tcW w:w="144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19"/>
                <w:szCs w:val="19"/>
                <w:color w:val="auto"/>
              </w:rPr>
            </w:pPr>
          </w:p>
        </w:tc>
        <w:tc>
          <w:tcPr>
            <w:tcW w:w="11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820" w:type="dxa"/>
            <w:vAlign w:val="bottom"/>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66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 thousands)</w:t>
            </w: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$17,689</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6,295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$ 38,620</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86"/>
              </w:rPr>
              <w:t>$ 4,896</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$ 10,587</w:t>
            </w: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(2,124)</w:t>
            </w:r>
          </w:p>
        </w:tc>
        <w:tc>
          <w:tcPr>
            <w:tcW w:w="780" w:type="dxa"/>
            <w:vAlign w:val="bottom"/>
          </w:tcPr>
          <w:p>
            <w:pPr>
              <w:jc w:val="right"/>
              <w:spacing w:after="0"/>
              <w:rPr>
                <w:sz w:val="20"/>
                <w:szCs w:val="20"/>
                <w:color w:val="auto"/>
              </w:rPr>
            </w:pPr>
            <w:r>
              <w:rPr>
                <w:rFonts w:ascii="Arial" w:cs="Arial" w:eastAsia="Arial" w:hAnsi="Arial"/>
                <w:sz w:val="18"/>
                <w:szCs w:val="18"/>
                <w:color w:val="auto"/>
              </w:rPr>
              <w:t>(5,129)</w:t>
            </w:r>
          </w:p>
        </w:tc>
        <w:tc>
          <w:tcPr>
            <w:tcW w:w="820" w:type="dxa"/>
            <w:vAlign w:val="bottom"/>
          </w:tcPr>
          <w:p>
            <w:pPr>
              <w:jc w:val="right"/>
              <w:spacing w:after="0"/>
              <w:rPr>
                <w:sz w:val="20"/>
                <w:szCs w:val="20"/>
                <w:color w:val="auto"/>
              </w:rPr>
            </w:pPr>
            <w:r>
              <w:rPr>
                <w:rFonts w:ascii="Arial" w:cs="Arial" w:eastAsia="Arial" w:hAnsi="Arial"/>
                <w:sz w:val="18"/>
                <w:szCs w:val="18"/>
                <w:color w:val="auto"/>
              </w:rPr>
              <w:t>(1,311)</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(201)</w:t>
            </w:r>
          </w:p>
        </w:tc>
        <w:tc>
          <w:tcPr>
            <w:tcW w:w="78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54"/>
        </w:trPr>
        <w:tc>
          <w:tcPr>
            <w:tcW w:w="4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1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3,244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(22,358)</w:t>
            </w: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(10,619)</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-814070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-814070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-814070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-814070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Cash from operating activities consists primarily of net income adjusted for certain non-cash items, including depreciation and amortization, non-cash interest expense, and the effect of changes in working capital and other activities.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Net cash from operating activities for the three months ended March 31, 2021 was $10.6 million, which resulted from net income of $7.7 million, together with a net cash inflow of $1.9 million from changes in operating assets and liabilities, and non-cash charges of $1.0 million, consisting of depreciation and amortization. The net cash inflows from changes in operating assets and liabilities were primarily due to a decrease in accounts receivable of $1.9 million, an increase in accounts payable and accrued expenses of $1.6 and an increase in deferred revenue of $0.9 million. These changes were partially offset by an increase in prepaid expenses and other current assets of $2.5 million. The changes in operating assets and liabilities are mostly due to fluctuations in timing of cash receipts and payments.</w:t>
      </w:r>
    </w:p>
    <w:p>
      <w:pPr>
        <w:spacing w:after="0" w:line="8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Net cash from operating activities for the three months ended March 31, 2020 was $4.9 million, which resulted from net income of $3.8 million, together with a net cash inflow of $0.1 million from changes in operating assets and liabilities, and non-cash charges of $1.0 million, consisting of depreciation and amortization. The net cash inflows from changes in operating assets and liabilities were primarily due to a decrease in other assets of $0.4 million and an increase in deferred revenue of $0.6 million. These changes were partially offset by an increase in prepaid expenses and other current assets of $0.5 million, an increase in accounts receivable of $0.1 million and a decrease in accounts payable and accrued expenses of $0.4 million. The changes in operating assets and liabilities are mostly due to fluctuations in timing of cash receipts and payments.</w:t>
      </w:r>
    </w:p>
    <w:p>
      <w:pPr>
        <w:spacing w:after="0" w:line="5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Net cash from operating activities during 2020 was $38.6 million, which resulted from net income of $38.8 million, together with a net cash outflow of $4.2 million from changes in operating assets and liabilities, and non-cash charges of $4.0 million, consisting of depreciation and amortization. The net cash outflows from changes in operating assets and liabilities were primarily due to an increase in accounts receivable of $5.5 million, an increase in prepaid expenses and other current asset of $3.1 million and a decrease in accounts payable and accrued expenses of $1.0 million. These changes were partially offset by an increase in deferred revenue of $0.9 million, an increase in deferred rent of $3.7 million and an increase in other assets of $0.7 million. The changes in operating assets and liabilities are mostly due to fluctuations in timing of cash receipts and payments.</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Net cash from operating activities during 2019 was $6.3 million, which resulted from net loss of $0.4 million, together with a net cash inflow of $1.5 million from changes in operating assets and liabilities, and non-cash charges of $5.2 million, consisting of depreciation and amortization expense. The net cash inflows from changes in operating assets and liabilities were primarily due to an increase in accounts payable and accrued liabilities of $7.4 million, an increase in deferred rent of $0.5 million, together with an increase in deferred revenue of $0.2 million. These changes were partially offset by an increase in accounts receivable of $2.6 million and an increase in prepaid expense and other assets of $4.0 million. The changes in operating assets and liabilities are mostly due to fluctuations in timing of cash receipts and payments.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Net cash from operating activities during 2018 was $17.7 million, which resulted from net income of $12.7 million, together with a net cash inflow of $2.8 million from changes in operating assets and liabilities, and non-cash charges of $2.2 million, mainly consisting of depreciation and amortization expense. The net cash inflows from changes in operating assets and liabilities were primarily due to an increase in accounts payable and accrued liabilities of $1.6 million, an increase in deferred revenue of $0.7 million, together with a decrease in prepaid expenses and other assets of $0.9 million. These changes were partially offset by an increase in accounts receivable of $0.4 million. The changes in operating assets and liabilities are mostly due to fluctuations in timing of cash receipts and payments.</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investing activities have consisted of purchases of property and equipment.</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Net cash used in investing activities was $0.3 million for the three months ended March 31, 2021, which resulted from purchases of property and equipment. These expenses are comparable to the same period in 2020.</w:t>
      </w:r>
    </w:p>
    <w:p>
      <w:pPr>
        <w:spacing w:after="0" w:line="1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was $0.2 million for the three months ended March 31, 2020, which resulted from purchases of property and equipment. These expenses decreased compared to the same period in 2019 due to no large marketing projects that required significant capital expenditures.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investing activities was $1.3 million in 2020, which resulted from purchases of property and equipment. These expenses decreased compared to the same period in 2019 due to no large marketing projects that required significant capital expenditures.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used in investing activities was $5.1 million in 2019, which resulted from purchases of assets related to Weedmaps Museum of Weed as well as other property and equipment and capitalized software development costs related to development of our POS solution. These expenses increased compared to 2018 due to one-time capital expenditures related to the Weedmaps Museum of Weed.</w:t>
      </w:r>
    </w:p>
    <w:p>
      <w:pPr>
        <w:spacing w:after="0" w:line="79"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was $2.1 million in 2018, which resulted from purchases of property and equipment and leasehold improvements and capitalized software development costs related to development of our POS solution. These expenses decreased in 2018 compared to 2017 due to a reduction in leasehold improvements.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Provided by Financing Activities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Financing activities consist primarily of borrowings, sale of Class A units, repayments related to the existing line of credit and notes payable, distribution to members, and the repurchase of Class B units.</w:t>
      </w:r>
    </w:p>
    <w:p>
      <w:pPr>
        <w:spacing w:after="0" w:line="62"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Net cash used in financing activities was $10.6 million for the three months ended March 31, 2021, which was the result of $10.5 million in distribution payments to members and $0.1 million for the repurchase of Class B units.</w:t>
      </w:r>
    </w:p>
    <w:p>
      <w:pPr>
        <w:spacing w:after="0" w:line="1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Net cash used in financing activities was $3.2 million for the three months ended March 31, 2020, which was the result of $3.1 million in distribution payments to members and $0.1 million for the repurchase of Class B units.</w:t>
      </w:r>
    </w:p>
    <w:p>
      <w:pPr>
        <w:spacing w:after="0" w:line="1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Net cash used in financing activities was $22.4 million in 2020, which was the result of $22.0 million in distribution payments to members and $0.4 million for the repurchase of Class B units.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was $22.0 million in 2019, which was attributable to $15.4 million in distribution payments to members, $5.0 million repayment of the secured line of credit, and $1.6 million for the repurchase of Class B units.</w:t>
      </w:r>
    </w:p>
    <w:p>
      <w:pPr>
        <w:spacing w:after="0" w:line="76"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Net cash provided by financing activities was $3.2 million in 2018, which was attributable to $17.6 million related to the sale of Class A units and an additional $1.7 million borrowed on the line of credit, offset by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7" w:lineRule="auto"/>
        <w:rPr>
          <w:sz w:val="20"/>
          <w:szCs w:val="20"/>
          <w:color w:val="auto"/>
        </w:rPr>
      </w:pPr>
      <w:r>
        <w:rPr>
          <w:rFonts w:ascii="Arial" w:cs="Arial" w:eastAsia="Arial" w:hAnsi="Arial"/>
          <w:sz w:val="18"/>
          <w:szCs w:val="18"/>
          <w:color w:val="auto"/>
        </w:rPr>
        <w:t>$11.4 million distribution payments to members, $2.3 million repayment of notes payable to members, $1.7 million for the repurchase of Class B units, and repayment of other notes payable of $0.7 million.</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did not have any off-balance sheet arrangements in any of the periods presented in this prospectus, except for operating leases as discussed below.</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As of March 31, 2021, we leased various office facilities, including our corporate headquarters in Irvine, California under operating lease agreements that expire from 2021 to 2031. We recognize rent expense on a straight-line basis over the lease periods in accordance with the new lease accounting guidance. We do not have any debt or material capital lease obligations and most of our property, equipment and software have been purchased with cash. Our future minimum payments under non-cancelable operating leases for office facilities are as follows as of March 31, 2021:</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20" w:type="dxa"/>
            <w:vAlign w:val="bottom"/>
            <w:gridSpan w:val="3"/>
          </w:tcPr>
          <w:p>
            <w:pPr>
              <w:jc w:val="center"/>
              <w:ind w:left="4"/>
              <w:spacing w:after="0"/>
              <w:rPr>
                <w:sz w:val="20"/>
                <w:szCs w:val="20"/>
                <w:color w:val="auto"/>
              </w:rPr>
            </w:pPr>
            <w:r>
              <w:rPr>
                <w:rFonts w:ascii="Arial" w:cs="Arial" w:eastAsia="Arial" w:hAnsi="Arial"/>
                <w:sz w:val="14"/>
                <w:szCs w:val="14"/>
                <w:b w:val="1"/>
                <w:bCs w:val="1"/>
                <w:color w:val="auto"/>
                <w:w w:val="92"/>
              </w:rPr>
              <w:t>Payments Due by Period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900" w:type="dxa"/>
            <w:vAlign w:val="bottom"/>
          </w:tcPr>
          <w:p>
            <w:pPr>
              <w:spacing w:after="0"/>
              <w:rPr>
                <w:sz w:val="16"/>
                <w:szCs w:val="16"/>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Less than</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1-3</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3-5</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86"/>
        </w:trPr>
        <w:tc>
          <w:tcPr>
            <w:tcW w:w="49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1 Year</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4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60" w:type="dxa"/>
            <w:vAlign w:val="bottom"/>
            <w:gridSpan w:val="2"/>
          </w:tcPr>
          <w:p>
            <w:pPr>
              <w:jc w:val="center"/>
              <w:ind w:right="502"/>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4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$71,491</w:t>
            </w: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$7,029</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$19,495</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$15,235</w:t>
            </w: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$29,732</w:t>
            </w:r>
          </w:p>
        </w:tc>
        <w:tc>
          <w:tcPr>
            <w:tcW w:w="0" w:type="dxa"/>
            <w:vAlign w:val="bottom"/>
          </w:tcPr>
          <w:p>
            <w:pPr>
              <w:spacing w:after="0"/>
              <w:rPr>
                <w:sz w:val="1"/>
                <w:szCs w:val="1"/>
                <w:color w:val="auto"/>
              </w:rPr>
            </w:pPr>
          </w:p>
        </w:tc>
      </w:tr>
      <w:tr>
        <w:trPr>
          <w:trHeight w:val="54"/>
        </w:trPr>
        <w:tc>
          <w:tcPr>
            <w:tcW w:w="49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-401955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-401955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4128770</wp:posOffset>
            </wp:positionH>
            <wp:positionV relativeFrom="paragraph">
              <wp:posOffset>-401955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-401955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expect that the payments we will be required to make under the Tax Receivable Agreement (as defined below) will be substantial, and such payments are not reflected in the table above.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$157.1 million over 15 years from the date of the Closing. Under this scenario, we would be required to pay to the Class A Unit holders approximately 85% of such amount, or $133.5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(as defined below)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website and internal-use software development costs, income taxes and equity-based compensation have the greatest potential impact on our consolidated financial statements. Therefore, we consider these to be our critical accounting policies and estimates. For further information on all of our significant accounting policies, see Note 2 of the notes to our consolidated financial statements included elsewhere in this prospectus.</w:t>
      </w:r>
    </w:p>
    <w:p>
      <w:pPr>
        <w:spacing w:after="0" w:line="2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Website and Internal-Use Software Development Costs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historically capitalized certain costs related to the development of our POS solution.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No cost related to the development of software applications have been capitalized for the three-month period ended March 31, 2021.</w:t>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WMH LLC is a limited liability company that is treated as a partnership for U.S. federal and most applicable state and local income tax purposes. As a result, it is not liable for U.S. federal or state and local income taxes in most jurisdictions in which it operates, and the income, expenses, gains and losses are reported on the returns of the members of WMH LLC. It is subject to state and local income tax in certain jurisdictions in which it is not treated like a partnership, where it pays an immaterial amount of taxes. WMH LLC’s foreign subsidiaries are subject to their jurisdiction’s income tax laws, and WMH LLC will record income tax expense based on revenue generated in those jurisdictions. Accordingly, a provision for income taxes of $1.3 million was recorded in fiscal year 2019, related to revenue generated by WMH LLC’s wholly owned subsidiary in Canada and is reflected in the accompanying consolidated statements of income.</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believe we have any uncertain income tax positions that are more likely than not to materially affect our consolidated financial statements. Our federal and state income tax returns remain open to agency examination for the standard statutory length of time after filing.</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Effective January 1, 2021, we adopted ASC 842.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5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We continued to account for leases in the prior period financial statements under Accounting Standards Codification,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equivalents. As of March 31, 2021, we did not have any cash equivalents.</w:t>
      </w:r>
    </w:p>
    <w:p>
      <w:pPr>
        <w:spacing w:after="0" w:line="62"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5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are also a “smaller reporting company” as defined in the Securities and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2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See Note 2 to our consolidated financial statements included elsewhere in this prospectus for additional information regarding recent accounting pronouncements.</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Silver Spike’s management re-evaluated, with the participation of Silver Spike’s current chief executive officer and chief financial officer (Silver Spike’s “Certifying Officers”), the effectiveness of our disclosure controls and procedures as of December 31, 2020, pursuant to Rule 13a-15(b) under the Exchange Act. Based upon that evaluation, Silver Spike’s Certifying Officers concluded that, solely due to the material weakness in our internal control over financial reporting that led to Silver</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our stated goals under all potential future conditions.</w:t>
      </w:r>
    </w:p>
    <w:p>
      <w:pPr>
        <w:spacing w:after="0" w:line="3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our financial statements,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are on a mission to power a transparent and inclusive cannabis economy in the United States and globally. We were founded in 2008 with a strong belief in the power of cannabis and the importance of enabling safe, legal access to cannabis for consumers worldwide. Since then, we have worked tirelessly to be the most comprehensive platform for consumers on cannabis;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 Now in our second decade, we believe we have been a driving force behind a great deal of the cannabis-related legislative change seen in the past decade.</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were founded in 2008, and operates a leading listings marketplace with one of the most comprehensive SaaS subscription offerings sold to retailers and brands in the U.S. state-legal and Canadian cannabis markets. We also provide information on the cannabis plant and the industry and advocates for legalization. The state-legal cannabis industry in the United States has grown consistently in recent years and is expected to double over the next five years (according to Arcview Market Research/BDS Analytics13 and Gallup) as the majority of U.S. adults now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compliantly manage their operations. Cannabis users within the United States represent less than 12% of the adult population as of December 31, 2019, with those consuming at least one time a month representing an even smaller percentage, according to the National Survey on Drug Use and Health estimates. At the same time, there are only approximately 9,200 retail licenses across U.S. and Canadian markets with medical and/or adult-use regulations in place, which is an effective retail density of approximately one retail license per 40,000 residents across these markets in the aggregate, based on data available from individual governmental cannabis license databases, U.S. Census Bureau estimates and Statistics Canada for both licenses and population.</w:t>
      </w:r>
    </w:p>
    <w:p>
      <w:pPr>
        <w:spacing w:after="0" w:line="5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discovery and price comparison across multiple channels, and transparency of information from cannabis businesses that they expect from other retailers or brands. These consumer expectations, coupled with the unique attributes of cannabis as a nascent and highly regulated consumer product, create significant challenges for retailers and brands who serve cannabis users. Retailers and brands must meet these consumer expectations and provide omni-channel engagement opportunities (to a narrow segment of the population) with the same level of (i) service, (ii) richness of product information, (iii) ability to compare prices, and (iv) ease of product and brand discovery that consumers would receive when researching other consumer product categories.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6"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address the challenges facing both consumers seeking to understand cannabis products and businesses seeking brand awareness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over 9 million MAUs on the demand-side and more than 4,000 paying business clients on the supply-side of our marketplace as of March 31, 2021.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Consumers do not purchase cannabis products using Weedmaps, and all confirmation of product availability, final order entry, order fulfillment,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7"/>
          <w:szCs w:val="17"/>
          <w:color w:val="auto"/>
        </w:rPr>
        <w:t>and processing of payments is handled directly between the consumer and our client outside of the Weedmaps listings marketplace. We provide consumers with discovery channels to improve their knowledge of the local market for cannabis products, whether they are looking by strain, price, effects or form factors.</w:t>
      </w:r>
      <w:r>
        <w:rPr>
          <w:rFonts w:ascii="Arial" w:cs="Arial" w:eastAsia="Arial" w:hAnsi="Arial"/>
          <w:sz w:val="28"/>
          <w:szCs w:val="28"/>
          <w:color w:val="auto"/>
          <w:vertAlign w:val="superscript"/>
        </w:rPr>
        <w:t>4</w:t>
      </w:r>
    </w:p>
    <w:p>
      <w:pPr>
        <w:spacing w:after="0" w:line="3" w:lineRule="exact"/>
        <w:rPr>
          <w:sz w:val="20"/>
          <w:szCs w:val="20"/>
          <w:color w:val="auto"/>
        </w:rPr>
      </w:pPr>
    </w:p>
    <w:p>
      <w:pPr>
        <w:jc w:val="both"/>
        <w:ind w:left="300" w:right="299" w:firstLine="360"/>
        <w:spacing w:after="0" w:line="251" w:lineRule="auto"/>
        <w:rPr>
          <w:sz w:val="20"/>
          <w:szCs w:val="20"/>
          <w:color w:val="auto"/>
        </w:rPr>
      </w:pPr>
      <w:r>
        <w:rPr>
          <w:rFonts w:ascii="Arial" w:cs="Arial" w:eastAsia="Arial" w:hAnsi="Arial"/>
          <w:sz w:val="18"/>
          <w:szCs w:val="18"/>
          <w:color w:val="auto"/>
        </w:rPr>
        <w:t>Given the lack of uniform industry product information, this is only made possible by the ingestion and normalization of data from a variety of sources, including quantified consumer feedback.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176530</wp:posOffset>
            </wp:positionV>
            <wp:extent cx="4174490" cy="21259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174490"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as well as complete orders and process payments,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158750</wp:posOffset>
            </wp:positionV>
            <wp:extent cx="8229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8" w:lineRule="exact"/>
        <w:rPr>
          <w:sz w:val="20"/>
          <w:szCs w:val="20"/>
          <w:color w:val="auto"/>
        </w:rPr>
      </w:pPr>
    </w:p>
    <w:p>
      <w:pPr>
        <w:ind w:left="460" w:hanging="168"/>
        <w:spacing w:after="0"/>
        <w:tabs>
          <w:tab w:leader="none" w:pos="460" w:val="left"/>
        </w:tabs>
        <w:numPr>
          <w:ilvl w:val="0"/>
          <w:numId w:val="51"/>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92075</wp:posOffset>
            </wp:positionV>
            <wp:extent cx="4063365" cy="22631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6336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WM Business solution is sold as a value-priced monthly subscription package, and is not based on the retailer’s revenues, profits, or volume of sales to consumers. We also offer several upsell and add-on products that allow businesses to have more prominent placement on the Weedmaps listings marketplace through featured listings, display ads, keyword search ads or promoted deal offerings. We sell our offerings in the United States and Canada, and we have a limited number of non-monetized listings in several international countries including Austria, Germany, the Netherlands, Spain, and Switzerland. As of March 31, 2021, we actively operate in 23 U.S. states and territories that have adult-use and/or medical-use regulations in place.</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a history of growth since our inception in 2008. From fiscal year 2014 through 2020, we grew our revenue at a compound annual growth rate, or CAGR, of 35% and expanded our gross margin rate from 92% to 95%. For the year ended December 31, 2020, we generated $162 million in revenue, which represented 12% growth over the prior year and 40% growth over that same period when adjusting the prior year to eliminate revenue associated with non-licensed operators in California that we removed from the Weedmaps listings marketplace at the end of fiscal year 2019. For the year ended December 31, 2020, we generated net income of $39 million and EBITDA of $43 million. For the three months ended March 31, 2021, we generated $41 million in revenue, which represented 28% growth over the prior year and 58% growth over that same period when adjusting the prior year to eliminate revenue associated with non-licensed operators in Canada that we removed from the Weedmaps listings marketplace at the end of fiscal year 2020. For the three months ended March 31, 2021, we generated net income of $8 million and EBITDA of $9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158750</wp:posOffset>
            </wp:positionV>
            <wp:extent cx="4817745" cy="12172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81774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End-Markets</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Cannabis is a large and growing industry spanning multiple countries across several continents. As of the date of this filing, four countries and, in the United States, 14 states, four territories, and the District of Columbia have legalized cannabis for adult use. In addition, more than 50 countries, and 36 U.S. states have legalized the medicinal use of cannabis. In December 2020, the United Nations Commission on Narcotic Drugs voted to remove cannabis</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32" w:lineRule="auto"/>
        <w:rPr>
          <w:sz w:val="20"/>
          <w:szCs w:val="20"/>
          <w:color w:val="auto"/>
        </w:rPr>
      </w:pPr>
      <w:r>
        <w:rPr>
          <w:rFonts w:ascii="Arial" w:cs="Arial" w:eastAsia="Arial" w:hAnsi="Arial"/>
          <w:sz w:val="18"/>
          <w:szCs w:val="18"/>
          <w:color w:val="auto"/>
        </w:rPr>
        <w:t>from its current Schedule IV classification under the 1961 Single Convention on Narcotic Drugs, following the World Health Organization’s recommendation in 2019 to ease barriers to cannabis for medical use and research. In 2019, the global legal cannabis industry reached $14.8 billion in sales, representing 45% growth over 2018, which was 2.5 times higher than the 18% growth rate in 2018. According to Arcview Market Research/BDS Analytics, global cannabis sales are expected to grow at a CAGR of 21% from 2019 to 2025, reaching nearly $47 billion in 2025.</w:t>
      </w:r>
      <w:r>
        <w:rPr>
          <w:rFonts w:ascii="Arial" w:cs="Arial" w:eastAsia="Arial" w:hAnsi="Arial"/>
          <w:sz w:val="29"/>
          <w:szCs w:val="29"/>
          <w:color w:val="auto"/>
          <w:vertAlign w:val="superscript"/>
        </w:rPr>
        <w:t>15</w:t>
      </w:r>
      <w:r>
        <w:rPr>
          <w:rFonts w:ascii="Arial" w:cs="Arial" w:eastAsia="Arial" w:hAnsi="Arial"/>
          <w:sz w:val="18"/>
          <w:szCs w:val="18"/>
          <w:color w:val="auto"/>
        </w:rPr>
        <w:t xml:space="preserve"> The following maps and chart outline the current global cannabis regulatory framework and where we currently have a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182245</wp:posOffset>
            </wp:positionV>
            <wp:extent cx="4911725" cy="26403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1172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primary end-market today is the United States, which is the largest cannabis market in the world. Licensed retail sales of cannabis in the United States grew to $12.4 billion in 2019, up from $3.3 billion in 2014, and are expected to grow at a CAGR of 18% through 2025, reaching nearly $34 billion sales, based on the “Arcview Market Research/BDS Analytics - The State of Legal Cannabis Markets, 8th Edition” report. Notably, all five states’ ballot initiatives for medical or adult use legalization in the November 2020 election passed. According to an October 2020 Gallup poll, 68% of U.S. adults support the legalization of cannabis in the United States, which is higher than at any point in the past five decades. We expect additional states, as well as additional countries, to legalize cannabis for adult and/or medical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156210</wp:posOffset>
            </wp:positionV>
            <wp:extent cx="4997450" cy="24777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97450"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60" w:hanging="168"/>
        <w:spacing w:after="0"/>
        <w:tabs>
          <w:tab w:leader="none" w:pos="460" w:val="left"/>
        </w:tabs>
        <w:numPr>
          <w:ilvl w:val="0"/>
          <w:numId w:val="52"/>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jc w:val="both"/>
        <w:ind w:left="1000" w:right="299" w:hanging="348"/>
        <w:spacing w:after="0" w:line="255"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as a regulated industry is still in a nascent stage of development. </w:t>
      </w:r>
      <w:r>
        <w:rPr>
          <w:rFonts w:ascii="Arial" w:cs="Arial" w:eastAsia="Arial" w:hAnsi="Arial"/>
          <w:sz w:val="18"/>
          <w:szCs w:val="18"/>
          <w:color w:val="auto"/>
        </w:rPr>
        <w:t>As such, the industry lacks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foundational components such as a master product catalog with standardized stock-keeping units/SKUs, normalized inventory data, consistent retail layouts, price transparency across products within markets, or other common product characteristic data. The lack of these foundational components creates challenges for consumers seeking to understand the local cannabis market as well as retailers and brands seeking brand awareness.</w:t>
      </w:r>
    </w:p>
    <w:p>
      <w:pPr>
        <w:spacing w:after="0" w:line="84" w:lineRule="exact"/>
        <w:rPr>
          <w:rFonts w:ascii="Arial" w:cs="Arial" w:eastAsia="Arial" w:hAnsi="Arial"/>
          <w:sz w:val="18"/>
          <w:szCs w:val="18"/>
          <w:color w:val="auto"/>
        </w:rPr>
      </w:pPr>
    </w:p>
    <w:p>
      <w:pPr>
        <w:jc w:val="both"/>
        <w:ind w:left="1000" w:right="319" w:hanging="348"/>
        <w:spacing w:after="0" w:line="269"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Cannabis users are less than 12% of the population today without a “typical” user profile. </w:t>
      </w:r>
      <w:r>
        <w:rPr>
          <w:rFonts w:ascii="Arial" w:cs="Arial" w:eastAsia="Arial" w:hAnsi="Arial"/>
          <w:sz w:val="17"/>
          <w:szCs w:val="17"/>
          <w:color w:val="auto"/>
        </w:rPr>
        <w:t>The 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Survey on Drug Use and Health estimated that, as of 2019, less than 12% of the U.S. adult population consumed cannabis monthly. These users are hard to target as they are statistically distributed relatively evenly across age, gender, income levels based on our consumer survey work and do not fit a narrow user profile or segment. The impact of these dynamics on traditional channels create pain-points for retailers and brands seeking to cost-effectively target cannabis consumers in compliance with audience restriction requirements under applicable law while balancing the need to preserve brand equity by ensuring the messaging is not viewed by non-cannabis consumers who still stigmatize the cannabis industry, thereby limiting future potential conversion opportunities for such consumer that could arise as cannabis continues to gain mainstream acceptance.</w:t>
      </w:r>
    </w:p>
    <w:p>
      <w:pPr>
        <w:spacing w:after="0" w:line="77" w:lineRule="exact"/>
        <w:rPr>
          <w:rFonts w:ascii="Arial" w:cs="Arial" w:eastAsia="Arial" w:hAnsi="Arial"/>
          <w:sz w:val="17"/>
          <w:szCs w:val="17"/>
          <w:color w:val="auto"/>
        </w:rPr>
      </w:pPr>
    </w:p>
    <w:p>
      <w:pPr>
        <w:jc w:val="both"/>
        <w:ind w:left="1000" w:right="299" w:hanging="348"/>
        <w:spacing w:after="0" w:line="285" w:lineRule="auto"/>
        <w:tabs>
          <w:tab w:leader="none" w:pos="100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Regulations governing cannabis are complex and vary state-by-state and by city and county within states. </w:t>
      </w:r>
      <w:r>
        <w:rPr>
          <w:rFonts w:ascii="Arial" w:cs="Arial" w:eastAsia="Arial" w:hAnsi="Arial"/>
          <w:sz w:val="16"/>
          <w:szCs w:val="16"/>
          <w:color w:val="auto"/>
        </w:rPr>
        <w:t>Cannabis regulations have been governed at the state as well as city / county level resulting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disparate regulatory frameworks and “closed-border” systems that prohibit interstate commerce. Those state and local laws, regulations, and ordinances are generally materially divergent with respect to many technical aspects of operating a legal cannabis business. Additionally, several states allow local governments an unusual degree of latitude to not only set licensing limits, but also to implement their own taxes and additional regulatory requirements. The net effect of this complex regulatory framework is that the cannabis industry within the U.S. is highly fragmented, and the disparate regulatory frameworks render it difficult to standardize products or business operations across different jurisdictions. Cannabis as a product is regulated more like hazardous waste material as opposed to a consumer good, given incredibly stringent policies governing pesticide limits and track-and-trace compliance, among other restrictions governing the production, distribution and sale of cannabis products. The penalties for non-compliance with these laws and regulations can often be costly, with permanent loss of licensed operations being a common penalty for material violations. Given this context, software that supports and enables businesses to be compliant and helps businesses identify non-compliance is an important tool to help mitigate the serious risks of non-compliance.</w:t>
      </w:r>
    </w:p>
    <w:p>
      <w:pPr>
        <w:spacing w:after="0" w:line="68" w:lineRule="exact"/>
        <w:rPr>
          <w:rFonts w:ascii="Arial" w:cs="Arial" w:eastAsia="Arial" w:hAnsi="Arial"/>
          <w:sz w:val="16"/>
          <w:szCs w:val="16"/>
          <w:color w:val="auto"/>
        </w:rPr>
      </w:pPr>
    </w:p>
    <w:p>
      <w:pPr>
        <w:jc w:val="both"/>
        <w:ind w:left="1000" w:right="319" w:hanging="348"/>
        <w:spacing w:after="0" w:line="25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Cannabis has wide variance in characteristics that make it complex to make an informed purchase decision. </w:t>
      </w:r>
      <w:r>
        <w:rPr>
          <w:rFonts w:ascii="Arial" w:cs="Arial" w:eastAsia="Arial" w:hAnsi="Arial"/>
          <w:sz w:val="18"/>
          <w:szCs w:val="18"/>
          <w:color w:val="auto"/>
        </w:rPr>
        <w:t>Cannabis products have wide ranges of use-cases, flavors, and clinical effects on different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of which are not well-understood today given the nascency of legalized cannabis usage and limited academic research. This makes gathering information regarding cannabis products more complex than many other consumer good verticals.</w:t>
      </w:r>
    </w:p>
    <w:p>
      <w:pPr>
        <w:spacing w:after="0" w:line="79" w:lineRule="exact"/>
        <w:rPr>
          <w:rFonts w:ascii="Arial" w:cs="Arial" w:eastAsia="Arial" w:hAnsi="Arial"/>
          <w:sz w:val="18"/>
          <w:szCs w:val="18"/>
          <w:color w:val="auto"/>
        </w:rPr>
      </w:pPr>
    </w:p>
    <w:p>
      <w:pPr>
        <w:jc w:val="both"/>
        <w:ind w:left="1000" w:right="299" w:hanging="348"/>
        <w:spacing w:after="0" w:line="273"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Cannabis is a perishable good with a lack of product homogeneity. </w:t>
      </w:r>
      <w:r>
        <w:rPr>
          <w:rFonts w:ascii="Arial" w:cs="Arial" w:eastAsia="Arial" w:hAnsi="Arial"/>
          <w:sz w:val="17"/>
          <w:szCs w:val="17"/>
          <w:color w:val="auto"/>
        </w:rPr>
        <w:t>Cannabis flower and concentrate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generally has limited shelf-stability and loses potency, flavor, and odor over time, creating additional challenges for retailers, who are required in certain states to report on changes in inventory weights to comply with state-level track-and-trace requirements. This, combined with the seasonality of cannabis cultivation and harvest, means that retailer and brand inventory have a wider degree of variance heterogeneity than is seen in many other consumer goods, such as alcohol.</w:t>
      </w:r>
    </w:p>
    <w:p>
      <w:pPr>
        <w:spacing w:after="0" w:line="69" w:lineRule="exact"/>
        <w:rPr>
          <w:rFonts w:ascii="Arial" w:cs="Arial" w:eastAsia="Arial" w:hAnsi="Arial"/>
          <w:sz w:val="17"/>
          <w:szCs w:val="17"/>
          <w:color w:val="auto"/>
        </w:rPr>
      </w:pPr>
    </w:p>
    <w:p>
      <w:pPr>
        <w:jc w:val="both"/>
        <w:ind w:left="1000" w:right="299" w:hanging="348"/>
        <w:spacing w:after="0" w:line="273"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Brands are only in the early innings of establishing a consumer presence. </w:t>
      </w:r>
      <w:r>
        <w:rPr>
          <w:rFonts w:ascii="Arial" w:cs="Arial" w:eastAsia="Arial" w:hAnsi="Arial"/>
          <w:sz w:val="17"/>
          <w:szCs w:val="17"/>
          <w:color w:val="auto"/>
        </w:rPr>
        <w:t>Very few brands have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able to establish a national or regional awareness or following given state-level restrictions and federal enforcement priorities prohibiting interstate commerce. Brands also often face restrictions and are almost always restricted from selling direct to consumers, creating challenges in winning consumer loyalty and brand affinity. There are limited data sources for brands to be able to quantitatively demonstrate their reach or affinity with cannabis consumers to retailers.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Our solutions are designed to address these challenges facing cannabis consumers and businesses. The Weedmaps listings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listings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retailer clients, which include both dispensaries and delivery services. We also sell similar solutions to brand clients and other client segments such as doctors, though our revenue from these clients was less than 10% of our total revenue for the year ended March 31, 2021. We recently migrated all of our business clients from our Standard Listings subscription (which provided access to several of our SaaS solutions at no additional charge for clients with paid listings services) to our new WM Business subscription offering, which was completed by January 1, 2021. Our current solutions include:</w:t>
      </w:r>
    </w:p>
    <w:p>
      <w:pPr>
        <w:spacing w:after="0" w:line="78" w:lineRule="exact"/>
        <w:rPr>
          <w:sz w:val="20"/>
          <w:szCs w:val="20"/>
          <w:color w:val="auto"/>
        </w:rPr>
      </w:pPr>
    </w:p>
    <w:p>
      <w:pPr>
        <w:ind w:left="1000" w:right="319" w:hanging="348"/>
        <w:spacing w:after="0" w:line="277" w:lineRule="auto"/>
        <w:tabs>
          <w:tab w:leader="none" w:pos="100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62" w:lineRule="exact"/>
        <w:rPr>
          <w:rFonts w:ascii="Arial" w:cs="Arial" w:eastAsia="Arial" w:hAnsi="Arial"/>
          <w:sz w:val="18"/>
          <w:szCs w:val="18"/>
          <w:color w:val="auto"/>
        </w:rPr>
      </w:pPr>
    </w:p>
    <w:p>
      <w:pPr>
        <w:jc w:val="both"/>
        <w:ind w:left="1360" w:right="319" w:hanging="348"/>
        <w:spacing w:after="0" w:line="263"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75" w:lineRule="exact"/>
        <w:rPr>
          <w:rFonts w:ascii="Arial" w:cs="Arial" w:eastAsia="Arial" w:hAnsi="Arial"/>
          <w:sz w:val="18"/>
          <w:szCs w:val="18"/>
          <w:color w:val="auto"/>
        </w:rPr>
      </w:pPr>
    </w:p>
    <w:p>
      <w:pPr>
        <w:jc w:val="both"/>
        <w:ind w:left="1360" w:right="319" w:hanging="348"/>
        <w:spacing w:after="0" w:line="272" w:lineRule="auto"/>
        <w:tabs>
          <w:tab w:leader="none" w:pos="1360"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WM Orders. </w:t>
      </w:r>
      <w:r>
        <w:rPr>
          <w:rFonts w:ascii="Arial" w:cs="Arial" w:eastAsia="Arial" w:hAnsi="Arial"/>
          <w:sz w:val="17"/>
          <w:szCs w:val="17"/>
          <w:color w:val="auto"/>
        </w:rPr>
        <w:t>Transmission of requests for reservation of products for pick-up by consumers or</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consumers, allowing retailers to confirm product availability (and to complete orders and process payments - both of which only occur outside the Weedmaps listings marketplace). Weedmaps serves as a passive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69" w:lineRule="exact"/>
        <w:rPr>
          <w:rFonts w:ascii="Arial" w:cs="Arial" w:eastAsia="Arial" w:hAnsi="Arial"/>
          <w:sz w:val="17"/>
          <w:szCs w:val="17"/>
          <w:color w:val="auto"/>
        </w:rPr>
      </w:pPr>
    </w:p>
    <w:p>
      <w:pPr>
        <w:jc w:val="both"/>
        <w:ind w:left="1360" w:right="319" w:hanging="348"/>
        <w:spacing w:after="0" w:line="263"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Logistics and fulfillment software and driver apps, which provide tools that can be</w:t>
      </w:r>
      <w:r>
        <w:rPr>
          <w:rFonts w:ascii="Arial" w:cs="Arial" w:eastAsia="Arial" w:hAnsi="Arial"/>
          <w:sz w:val="18"/>
          <w:szCs w:val="18"/>
          <w:i w:val="1"/>
          <w:iCs w:val="1"/>
          <w:color w:val="auto"/>
        </w:rPr>
        <w:t xml:space="preserve"> </w:t>
      </w:r>
      <w:r>
        <w:rPr>
          <w:rFonts w:ascii="Arial" w:cs="Arial" w:eastAsia="Arial" w:hAnsi="Arial"/>
          <w:sz w:val="18"/>
          <w:szCs w:val="18"/>
          <w:color w:val="auto"/>
        </w:rPr>
        <w:t>used for legally compliant delivery and tracking of product reserved online through WM Orders and real-time routing and tracking of delivery fleet.</w:t>
      </w:r>
    </w:p>
    <w:p>
      <w:pPr>
        <w:spacing w:after="0" w:line="75" w:lineRule="exact"/>
        <w:rPr>
          <w:rFonts w:ascii="Arial" w:cs="Arial" w:eastAsia="Arial" w:hAnsi="Arial"/>
          <w:sz w:val="18"/>
          <w:szCs w:val="18"/>
          <w:color w:val="auto"/>
        </w:rPr>
      </w:pPr>
    </w:p>
    <w:p>
      <w:pPr>
        <w:jc w:val="both"/>
        <w:ind w:left="1360" w:right="319" w:hanging="348"/>
        <w:spacing w:after="0" w:line="270" w:lineRule="auto"/>
        <w:tabs>
          <w:tab w:leader="none" w:pos="1360"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WM Retail. </w:t>
      </w:r>
      <w:r>
        <w:rPr>
          <w:rFonts w:ascii="Arial" w:cs="Arial" w:eastAsia="Arial" w:hAnsi="Arial"/>
          <w:sz w:val="17"/>
          <w:szCs w:val="17"/>
          <w:color w:val="auto"/>
        </w:rPr>
        <w:t>Retail POS system, which provides inventory management and track-and-trace</w:t>
      </w:r>
      <w:r>
        <w:rPr>
          <w:rFonts w:ascii="Arial" w:cs="Arial" w:eastAsia="Arial" w:hAnsi="Arial"/>
          <w:sz w:val="17"/>
          <w:szCs w:val="17"/>
          <w:i w:val="1"/>
          <w:iCs w:val="1"/>
          <w:color w:val="auto"/>
        </w:rPr>
        <w:t xml:space="preserve"> </w:t>
      </w:r>
      <w:r>
        <w:rPr>
          <w:rFonts w:ascii="Arial" w:cs="Arial" w:eastAsia="Arial" w:hAnsi="Arial"/>
          <w:sz w:val="17"/>
          <w:szCs w:val="17"/>
          <w:color w:val="auto"/>
        </w:rPr>
        <w:t>compliance reporting functionality along with built-in integrations with the listing page product menu and digital product reservation functionality to stream-line workflows. Our retail POS system is available in only a limited number of markets today, including Oklahoma, Michigan, and Missouri, though we have plans to continue expanding into additional states. We also support API integrations with third-party POS providers to make the Weedmaps listings marketplace more attractive for retailers who have not yet adopted our retail POS solution, including retailers in markets where our POS is not available, to replicate the labor efficiencies of the built-in listing menu and order integrations that come with our retail POS solution.</w:t>
      </w:r>
    </w:p>
    <w:p>
      <w:pPr>
        <w:spacing w:after="0" w:line="72" w:lineRule="exact"/>
        <w:rPr>
          <w:rFonts w:ascii="Arial" w:cs="Arial" w:eastAsia="Arial" w:hAnsi="Arial"/>
          <w:sz w:val="17"/>
          <w:szCs w:val="17"/>
          <w:color w:val="auto"/>
        </w:rPr>
      </w:pPr>
    </w:p>
    <w:p>
      <w:pPr>
        <w:ind w:left="1360" w:right="319" w:hanging="348"/>
        <w:spacing w:after="0" w:line="277" w:lineRule="auto"/>
        <w:tabs>
          <w:tab w:leader="none" w:pos="1360" w:val="left"/>
        </w:tabs>
        <w:numPr>
          <w:ilvl w:val="1"/>
          <w:numId w:val="54"/>
        </w:numPr>
        <w:rPr>
          <w:rFonts w:ascii="Arial" w:cs="Arial" w:eastAsia="Arial" w:hAnsi="Arial"/>
          <w:sz w:val="18"/>
          <w:szCs w:val="18"/>
          <w:color w:val="auto"/>
        </w:rPr>
      </w:pPr>
      <w:r>
        <w:rPr>
          <w:rFonts w:ascii="Arial" w:cs="Arial" w:eastAsia="Arial" w:hAnsi="Arial"/>
          <w:sz w:val="18"/>
          <w:szCs w:val="18"/>
          <w:i w:val="1"/>
          <w:iCs w:val="1"/>
          <w:color w:val="auto"/>
        </w:rPr>
        <w:t>WM Dashboard</w:t>
      </w:r>
      <w:r>
        <w:rPr>
          <w:rFonts w:ascii="Arial" w:cs="Arial" w:eastAsia="Arial" w:hAnsi="Arial"/>
          <w:sz w:val="18"/>
          <w:szCs w:val="18"/>
          <w:color w:val="auto"/>
        </w:rPr>
        <w:t>. 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62" w:lineRule="exact"/>
        <w:rPr>
          <w:rFonts w:ascii="Arial" w:cs="Arial" w:eastAsia="Arial" w:hAnsi="Arial"/>
          <w:sz w:val="18"/>
          <w:szCs w:val="18"/>
          <w:color w:val="auto"/>
        </w:rPr>
      </w:pPr>
    </w:p>
    <w:p>
      <w:pPr>
        <w:jc w:val="both"/>
        <w:ind w:left="1360" w:right="319" w:hanging="348"/>
        <w:spacing w:after="0" w:line="293" w:lineRule="auto"/>
        <w:tabs>
          <w:tab w:leader="none" w:pos="1360" w:val="left"/>
        </w:tabs>
        <w:numPr>
          <w:ilvl w:val="1"/>
          <w:numId w:val="54"/>
        </w:numPr>
        <w:rPr>
          <w:rFonts w:ascii="Arial" w:cs="Arial" w:eastAsia="Arial" w:hAnsi="Arial"/>
          <w:sz w:val="16"/>
          <w:szCs w:val="16"/>
          <w:color w:val="auto"/>
        </w:rPr>
      </w:pPr>
      <w:r>
        <w:rPr>
          <w:rFonts w:ascii="Arial" w:cs="Arial" w:eastAsia="Arial" w:hAnsi="Arial"/>
          <w:sz w:val="16"/>
          <w:szCs w:val="16"/>
          <w:i w:val="1"/>
          <w:iCs w:val="1"/>
          <w:color w:val="auto"/>
        </w:rPr>
        <w:t xml:space="preserve">WM Store. </w:t>
      </w:r>
      <w:r>
        <w:rPr>
          <w:rFonts w:ascii="Arial" w:cs="Arial" w:eastAsia="Arial" w:hAnsi="Arial"/>
          <w:sz w:val="16"/>
          <w:szCs w:val="16"/>
          <w:color w:val="auto"/>
        </w:rPr>
        <w:t>Orders and menu embed, which allows retailers to import their Weedmaps listing menu or</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listings marketplace.</w:t>
      </w:r>
    </w:p>
    <w:p>
      <w:pPr>
        <w:spacing w:after="0" w:line="56" w:lineRule="exact"/>
        <w:rPr>
          <w:rFonts w:ascii="Arial" w:cs="Arial" w:eastAsia="Arial" w:hAnsi="Arial"/>
          <w:sz w:val="16"/>
          <w:szCs w:val="16"/>
          <w:color w:val="auto"/>
        </w:rPr>
      </w:pPr>
    </w:p>
    <w:p>
      <w:pPr>
        <w:jc w:val="both"/>
        <w:ind w:left="1360" w:right="319" w:hanging="348"/>
        <w:spacing w:after="0" w:line="279" w:lineRule="auto"/>
        <w:tabs>
          <w:tab w:leader="none" w:pos="1360" w:val="left"/>
        </w:tabs>
        <w:numPr>
          <w:ilvl w:val="1"/>
          <w:numId w:val="54"/>
        </w:numPr>
        <w:rPr>
          <w:rFonts w:ascii="Arial" w:cs="Arial" w:eastAsia="Arial" w:hAnsi="Arial"/>
          <w:sz w:val="17"/>
          <w:szCs w:val="17"/>
          <w:color w:val="auto"/>
        </w:rPr>
      </w:pPr>
      <w:r>
        <w:rPr>
          <w:rFonts w:ascii="Arial" w:cs="Arial" w:eastAsia="Arial" w:hAnsi="Arial"/>
          <w:sz w:val="17"/>
          <w:szCs w:val="17"/>
          <w:i w:val="1"/>
          <w:iCs w:val="1"/>
          <w:color w:val="auto"/>
        </w:rPr>
        <w:t xml:space="preserve">WM Exchange. </w:t>
      </w:r>
      <w:r>
        <w:rPr>
          <w:rFonts w:ascii="Arial" w:cs="Arial" w:eastAsia="Arial" w:hAnsi="Arial"/>
          <w:sz w:val="17"/>
          <w:szCs w:val="17"/>
          <w:color w:val="auto"/>
        </w:rPr>
        <w:t>Access to our wholesale online exchange, which allows retailers to browse brand</w:t>
      </w:r>
      <w:r>
        <w:rPr>
          <w:rFonts w:ascii="Arial" w:cs="Arial" w:eastAsia="Arial" w:hAnsi="Arial"/>
          <w:sz w:val="17"/>
          <w:szCs w:val="17"/>
          <w:i w:val="1"/>
          <w:iCs w:val="1"/>
          <w:color w:val="auto"/>
        </w:rPr>
        <w:t xml:space="preserve"> </w:t>
      </w:r>
      <w:r>
        <w:rPr>
          <w:rFonts w:ascii="Arial" w:cs="Arial" w:eastAsia="Arial" w:hAnsi="Arial"/>
          <w:sz w:val="17"/>
          <w:szCs w:val="17"/>
          <w:color w:val="auto"/>
        </w:rPr>
        <w:t>catalogs and identify brands to obtain inventory from and brands to manage their customer relationships and wholesale operations. WM Exchange also facilitates the sharing of license information and certificates of analysis between wholesale buyers and sellers, and offers other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80" w:right="299"/>
        <w:spacing w:after="0" w:line="286" w:lineRule="auto"/>
        <w:rPr>
          <w:sz w:val="20"/>
          <w:szCs w:val="20"/>
          <w:color w:val="auto"/>
        </w:rPr>
      </w:pPr>
      <w:r>
        <w:rPr>
          <w:rFonts w:ascii="Arial" w:cs="Arial" w:eastAsia="Arial" w:hAnsi="Arial"/>
          <w:sz w:val="17"/>
          <w:szCs w:val="17"/>
          <w:color w:val="auto"/>
        </w:rPr>
        <w:t>compliance features including invoice and transportation manifest generation and recordkeeping. Our wholesale exchange is currently available in California, Oklahoma, Michigan, Maryland, Missouri, and Maine, though we have plans to continue expanding into additional states.</w:t>
      </w:r>
    </w:p>
    <w:p>
      <w:pPr>
        <w:spacing w:after="0" w:line="57" w:lineRule="exact"/>
        <w:rPr>
          <w:sz w:val="20"/>
          <w:szCs w:val="20"/>
          <w:color w:val="auto"/>
        </w:rPr>
      </w:pPr>
    </w:p>
    <w:p>
      <w:pPr>
        <w:ind w:left="1000" w:right="319" w:hanging="348"/>
        <w:spacing w:after="0" w:line="277"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Featured listings on our weedmaps.com marketplace; and</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advertising products. </w:t>
      </w:r>
      <w:r>
        <w:rPr>
          <w:rFonts w:ascii="Arial" w:cs="Arial" w:eastAsia="Arial" w:hAnsi="Arial"/>
          <w:sz w:val="18"/>
          <w:szCs w:val="18"/>
          <w:color w:val="auto"/>
        </w:rPr>
        <w:t>We also provide several a la carte advertising solutions including banner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ads and promotion tile cards on our Weedmaps listings marketplace, as well as banner ads that can be tied to keyword searches. These products provide clients with targeted ad solutions in highly visible slots across our digital surfaces.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1000" w:right="319" w:hanging="348"/>
        <w:spacing w:after="0" w:line="272"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particularly in California and other more established cannabis markets.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69" w:lineRule="exact"/>
        <w:rPr>
          <w:rFonts w:ascii="Arial" w:cs="Arial" w:eastAsia="Arial" w:hAnsi="Arial"/>
          <w:sz w:val="17"/>
          <w:szCs w:val="17"/>
          <w:color w:val="auto"/>
        </w:rPr>
      </w:pPr>
    </w:p>
    <w:p>
      <w:pPr>
        <w:jc w:val="both"/>
        <w:ind w:left="1000" w:right="299" w:hanging="348"/>
        <w:spacing w:after="0" w:line="268"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Largest Two-Sided Platform for Cannabis Businesses and Consumers. </w:t>
      </w:r>
      <w:r>
        <w:rPr>
          <w:rFonts w:ascii="Arial" w:cs="Arial" w:eastAsia="Arial" w:hAnsi="Arial"/>
          <w:sz w:val="17"/>
          <w:szCs w:val="17"/>
          <w:color w:val="auto"/>
        </w:rPr>
        <w:t>We have over nine million MAUs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who drove over fifty-three million user engagements (which we define as valuable user actions on the Weedmaps listings marketplace) as of March 31, 2021. We estimate that we have approximately 55% share of all licensed cannabis retailers across the U.S. markets we serve as paying clients on the platform. In March 2021, our users spent on average over seven minutes per session on our platform, which is higher than the eCommerce industry average. As of March 31, 2021, our Weedmaps mobile app has received 4.9 and 4.7 ratings (in each case, out of a 5.0 scale) on the Apple App Store and Google Play Store, respectively.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76" w:lineRule="exact"/>
        <w:rPr>
          <w:rFonts w:ascii="Arial" w:cs="Arial" w:eastAsia="Arial" w:hAnsi="Arial"/>
          <w:sz w:val="17"/>
          <w:szCs w:val="17"/>
          <w:color w:val="auto"/>
        </w:rPr>
      </w:pPr>
    </w:p>
    <w:p>
      <w:pPr>
        <w:jc w:val="both"/>
        <w:ind w:left="1000" w:right="319" w:hanging="348"/>
        <w:spacing w:after="0" w:line="271"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The Only Fully-Integrated Business-in-a-Box SaaS Solution Specific to the Cannabis Industry.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WM Business solution enables licensed cannabis clients to comply with state law through integrated software solutions ranging from live menus, logistics and fulfillment, POS, and inventory management, and data and analytics. We believe we offer the only comprehensive software platform that allows cannabis retailers to reach their target audience, quickly and cost effectively, addressing a wide range of needs, with compliance front-of-mind. Our platform features self-service administrative functionality that enables clients to manage their listings page, including adding images, adjusting their menus, editing product information and responding to reviews as well as analyzing traffic trends.</w:t>
      </w:r>
    </w:p>
    <w:p>
      <w:pPr>
        <w:spacing w:after="0" w:line="70"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Unique and Growing Data Asset. </w:t>
      </w:r>
      <w:r>
        <w:rPr>
          <w:rFonts w:ascii="Arial" w:cs="Arial" w:eastAsia="Arial" w:hAnsi="Arial"/>
          <w:sz w:val="17"/>
          <w:szCs w:val="17"/>
          <w:color w:val="auto"/>
        </w:rPr>
        <w:t>Given our established presence, scale, and the breadth of product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offerings that provide us with a high volume of retail-level information and user insights, we have a growing and unique data asset. Currently, the cannabis industry has few reliable sources of data.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299" w:hanging="348"/>
        <w:spacing w:after="0" w:line="286" w:lineRule="auto"/>
        <w:tabs>
          <w:tab w:leader="none" w:pos="100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 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 For example, we were able to develop our WM Store product in approximately two months using a core team of only two engineers. When we then launch these initiatives and innovations, we are well-positioned to roll them out to a ready-made and already scaled market-the clients and users on our platform.</w:t>
      </w:r>
    </w:p>
    <w:p>
      <w:pPr>
        <w:spacing w:after="0" w:line="59" w:lineRule="exact"/>
        <w:rPr>
          <w:rFonts w:ascii="Arial" w:cs="Arial" w:eastAsia="Arial" w:hAnsi="Arial"/>
          <w:sz w:val="16"/>
          <w:szCs w:val="16"/>
          <w:color w:val="auto"/>
        </w:rPr>
      </w:pPr>
    </w:p>
    <w:p>
      <w:pPr>
        <w:jc w:val="both"/>
        <w:ind w:left="1000" w:right="299" w:hanging="348"/>
        <w:spacing w:after="0" w:line="267" w:lineRule="auto"/>
        <w:tabs>
          <w:tab w:leader="none" w:pos="100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Capital-Efficient Business Model with Strong Cashflow Generation. </w:t>
      </w:r>
      <w:r>
        <w:rPr>
          <w:rFonts w:ascii="Arial" w:cs="Arial" w:eastAsia="Arial" w:hAnsi="Arial"/>
          <w:sz w:val="17"/>
          <w:szCs w:val="17"/>
          <w:color w:val="auto"/>
        </w:rPr>
        <w:t>We operate a cloud-based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 From 2014 to 2020, we grew revenue at a CAGR of 35%. Over that period of time, we have expanded our gross margin rate from 92% to 95%. For 2020, our net income was $39 million and EBITDA was $43 million. For the three months ended March 31, 2021, we generated $41 million in revenue, which represented 28% growth over the prior year and 58% growth over that same period when adjusting the prior year to eliminate revenue associated with non-licensed operators in Canada that we removed from the Weedmaps listings marketplace at the end of fiscal year 2020. For the three months ended March 31, 2021, we generated net income of $8 million and EBITDA of $9 million. For further information about how we calculate EBITDA, limitations of its use and a reconciliation of EBITDA to net income, see the section entitled “Management's Discussion and Analysis of Financial Condition and Results of Operations—Key Operating and Financial Metrics-EBITDA and Adjusted EBITDA.”</w:t>
      </w:r>
    </w:p>
    <w:p>
      <w:pPr>
        <w:spacing w:after="0" w:line="83" w:lineRule="exact"/>
        <w:rPr>
          <w:rFonts w:ascii="Arial" w:cs="Arial" w:eastAsia="Arial" w:hAnsi="Arial"/>
          <w:sz w:val="17"/>
          <w:szCs w:val="17"/>
          <w:color w:val="auto"/>
        </w:rPr>
      </w:pPr>
    </w:p>
    <w:p>
      <w:pPr>
        <w:jc w:val="both"/>
        <w:ind w:left="1000" w:right="299" w:hanging="348"/>
        <w:spacing w:after="0" w:line="254" w:lineRule="auto"/>
        <w:tabs>
          <w:tab w:leader="none" w:pos="100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Operationally-Focused Management Team with Deep Experience. </w:t>
      </w:r>
      <w:r>
        <w:rPr>
          <w:rFonts w:ascii="Arial" w:cs="Arial" w:eastAsia="Arial" w:hAnsi="Arial"/>
          <w:sz w:val="18"/>
          <w:szCs w:val="18"/>
          <w:color w:val="auto"/>
        </w:rPr>
        <w:t>Our executive leadership team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3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With our leading share of cannabis consumers and businesses, we believe we are well-positioned to capitalize on underlying growth across our end-markets by executing against our strategy as follows:</w:t>
      </w:r>
    </w:p>
    <w:p>
      <w:pPr>
        <w:spacing w:after="0" w:line="62" w:lineRule="exact"/>
        <w:rPr>
          <w:sz w:val="20"/>
          <w:szCs w:val="20"/>
          <w:color w:val="auto"/>
        </w:rPr>
      </w:pPr>
    </w:p>
    <w:p>
      <w:pPr>
        <w:jc w:val="both"/>
        <w:ind w:left="1000" w:right="319" w:hanging="348"/>
        <w:spacing w:after="0" w:line="257" w:lineRule="auto"/>
        <w:tabs>
          <w:tab w:leader="none" w:pos="100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Two-Sided Marketplace. </w:t>
      </w:r>
      <w:r>
        <w:rPr>
          <w:rFonts w:ascii="Arial" w:cs="Arial" w:eastAsia="Arial" w:hAnsi="Arial"/>
          <w:sz w:val="18"/>
          <w:szCs w:val="18"/>
          <w:color w:val="auto"/>
        </w:rPr>
        <w:t>We intend to continue growing the number of consumers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through original content that educates, entertains, facilitates discovery of new products, increases awareness of our platform and encourages repeat usage. As we grow our users and user engagements, we can convince more businesses to increase adoption of our WM Business services through our WM Business subscription offering and additional offerings.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92075</wp:posOffset>
            </wp:positionV>
            <wp:extent cx="5014595" cy="224599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014595"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both"/>
        <w:ind w:left="1000" w:right="319" w:hanging="348"/>
        <w:spacing w:after="0" w:line="291" w:lineRule="auto"/>
        <w:tabs>
          <w:tab w:leader="none" w:pos="100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only 23 U.S. states and territories, as of March 31, 2021. Based on our internal research, we believe the minimum level of acceptable retail density to have a healthy and functioning licensed market is a minimum of one licensed retailer per 10,000 residents. As seen below, many of the U.S. states where we operate today are still under-penetrated with low levels of licensed retail density.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157480</wp:posOffset>
            </wp:positionV>
            <wp:extent cx="4465955" cy="21259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46595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There are approximately 9,200 existing retail licenses across the United States and Canadian markets that we monetize, of which 44.1% are paying clients on our platform. Assuming no cap on the number of licenses issued or other restrictions on the number of licenses issued, if these same markets were to issue enough licenses to match a ratio of one license per 10,000 residents, approximately 12,000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 number of licenses issued or other restrictions on the number of licenses issued, if the entire United States and Canada reached a minimum level of density of one license per 10,000 residents, we believe the total universe of retail licenses would reach approximately 37,300, which is approximately 4.0 times the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146685</wp:posOffset>
            </wp:positionV>
            <wp:extent cx="5246370" cy="22371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46370"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1000" w:right="299" w:hanging="348"/>
        <w:spacing w:after="0" w:line="268" w:lineRule="auto"/>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SaaS solutions through additional offerings of premium analytics, Customer Relationship Management, or CRM, and loyalty tools, among other solutions, which we intend to monetize through additional higher priced tiers within our subscription offering. We will continue to expand the availability of our POS and wholesale exchange offerings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 In any particular period, we determine our total annualized run-rate GMV by adding the dollar amounts associated with all estimated transactions originating from users engaging with a retailer on the Weedmaps listings marketplace or tracked via our WM Business solutions for the final calendar month of the given period and then multiplying that amount by a factor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158750</wp:posOffset>
            </wp:positionV>
            <wp:extent cx="4732020" cy="21602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73202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59" w:lineRule="auto"/>
        <w:tabs>
          <w:tab w:leader="none" w:pos="1000" w:val="left"/>
        </w:tabs>
        <w:numPr>
          <w:ilvl w:val="0"/>
          <w:numId w:val="6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prior POS subsidiary, that complement our existing offerings. We intend to continue selectively pursuing opportunities to invest in and acquire technology offerings that allow us to accelerate our growth.</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direct competitors for individual components of our platform include cannabis-focused, two-sided networks like Leafly (for retailer listing pages), Dutchie and Jane Technologies (for menu embed and orders functionality), Leaflink (for B2B sales) and a variety of cannabis-focused point-of-sale providers.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8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Industry—We currently face intense competition in the market, and we expect competition to further intensify as the cannabis industry continues to evolve.”</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consumer marketing efforts focus on driving awareness of the platform, acquiring new users who may be interested in the platform and increasing engagement of existing users. To augment the engagement of our platform, 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the recent sponsorship of the Mike Tyson vs. Roy Jones, Jr. pay-per-view fight, one of the top 10 most purchased combat sports events of all time.</w:t>
      </w:r>
    </w:p>
    <w:p>
      <w:pPr>
        <w:spacing w:after="0" w:line="7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March 31, 2021, we have been issued trademark registrations in the United States, Canada, Japan, the European Union and the United Kingdom. We have also been issued an international trademark registration with designation in Australia and the European Union for “Weedmaps.” As of March 31, 2021, we have pending trademark applications in the United States covering: “Weedmaps Museum of Weed” and “WMMW”, as well as a pending trademark application in the United States covering “Weedmaps” for delivery platform services. We also have pending trademark applications in Canada covering “Weedmaps” and our “wm verified logo”.</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corporate headquarters is located in Irvine, California, pursuant to an operating lease that expires in 2025. We have built out a second headquarter space in Los Angeles, California, pursuant to an operating lease that expires in 2031. We lease or license additional offices in Denver, Colorado; Ontario Canada; and Barcelona, Spain.</w:t>
      </w:r>
    </w:p>
    <w:p>
      <w:pPr>
        <w:spacing w:after="0" w:line="4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believe that our current facilities are adequate to meet our ongoing needs. However, from time to time we may evaluate additional or substitute office spaces. We believe that we will be able to obtain additional facilities, as needed, on commercially reasonable terms. Additionally, we recently adopted a work from anywhere policy.</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 of March 31, 2021, we had 433 full-time employees and 1 part-time employee, including 176 in engineering, product and design, 179 in sales and marketing, and 79 in general and administrative and professional services. Of these employees, 420 are located in the United States, 12 are located in Canada, and two are located in Spain.</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2" w:lineRule="exact"/>
        <w:rPr>
          <w:sz w:val="20"/>
          <w:szCs w:val="20"/>
          <w:color w:val="auto"/>
        </w:rPr>
      </w:pPr>
    </w:p>
    <w:p>
      <w:pPr>
        <w:jc w:val="both"/>
        <w:ind w:left="300" w:right="299" w:hanging="8"/>
        <w:spacing w:after="0" w:line="255" w:lineRule="auto"/>
        <w:tabs>
          <w:tab w:leader="none" w:pos="497" w:val="left"/>
        </w:tabs>
        <w:numPr>
          <w:ilvl w:val="0"/>
          <w:numId w:val="62"/>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24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five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President Biden’s presidential campaign position on cannabis falls short of full legalization. According to the Biden campaign website, Biden “will decriminalize cannabis use and automatically expunge prior convictions, support the legalization of cannabis for medical purposes, leave decisions regarding legalization for recreational use up to the states, and reschedule cannabis as a CSA schedule II drug so researchers can study its positive and negative impacts.”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CSA schedule II would ease certain research restrictions, it would not make the state medical or adult-use programs completely federally legal. While industry observers are hopeful that changes in Congress and the Senate, along with a Biden presidency, will increase the chances of banking reform, it is not a certainty. A number of bills would affect the legal status of cannabis banking. The Secure and Fair Enforcement (“SAFE”)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Recently, Senators Cory Booker (D-NJ), Ron Wyden (D-OR) and Chuck Schumer (D-NY) issued a joint statement regarding comprehensive cannabis reform legislation they will be introducing in the form of a new bill in 2021. Senator Schumer specifically stated that he wants to end the federal government’s prohibition targeting marijuana and “repair the damage done to communities by the War on Drugs” through this new bill. In addition to the new bill, some previously introduced bills, or at least provisions from those bills, are expected to be reintroduced this year. For example: the Marijuana Opportunity, Reinvestment and Expungement (“MORE”) Act, which would remove cannabis entirely from the list of scheduled substances under the Controlled Substances Act and eliminate criminal penalties for manufacturing, distributing, or possessing cannabis, and among other measures would also establish certain measures for social and criminal justice and impose a federal tax on cannabis products.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September 2019, we received a grand jury subpoena from the U.S. Attorney’s Office for the Eastern District of California, requiring the production of a broad range of documents related to our business, personnel, finances and operations, including documents related to our dealings with various companies in the cannabis industry. We are fully cooperating with the inquiry.</w:t>
      </w:r>
    </w:p>
    <w:p>
      <w:pPr>
        <w:spacing w:after="0" w:line="79"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Based on our discussions with the U.S. Attorney’s Office since we received the subpoena, we believe the primary focus of their investigation is on our relationships in 2019 with cannabis retailers in California who may not have been properly licensed under state law at the time they were advertising on our platform. In August 2019, prior to receiving the subpoena, and following collaborative discussions with the California Bureau of Cannabis Control, we announced that we would remove from the platform any remaining California retailers who failed to provide us with information demonstrating a valid cannabis license. That was accomplished by the end of 2019. We currently require that all operational cannabis retailers on the platform provide license information.</w:t>
      </w:r>
    </w:p>
    <w:p>
      <w:pPr>
        <w:spacing w:after="0" w:line="58"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of December 31, 2020, the U.S. Attorney’s Office investigation has not been resolved. In our dialogue with the U.S. Attorney’s Office, we have had productive discussions about a potential resolution, but no agreement has been reached. Following an initial production of documents in November 2019, further productions responsive to the subpoena have been postponed pending discussions about resolving the matter.</w:t>
      </w:r>
    </w:p>
    <w:p>
      <w:pPr>
        <w:spacing w:after="0" w:line="63"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recent election of Joe Biden will likely result in a change in leadership at the U.S. Attorney’s Office for the Eastern District of California, which may delay any resolution of this investigation. In addition, the Department of Justice in a Biden administration may have different priorities relating to companies that serve the cannabis industry, and may issue new guidance on the exercise of prosecutorial discretion in such cases.</w:t>
      </w:r>
    </w:p>
    <w:p>
      <w:pPr>
        <w:spacing w:after="0" w:line="6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June 30, 2021) of our directors and executive officers: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620" w:type="dxa"/>
            <w:vAlign w:val="bottom"/>
          </w:tcPr>
          <w:p>
            <w:pPr>
              <w:ind w:left="256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311"/>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4"/>
                <w:szCs w:val="24"/>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24"/>
        </w:trPr>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20" w:type="dxa"/>
            <w:vAlign w:val="bottom"/>
            <w:shd w:val="clear" w:color="auto" w:fill="CCEEFF"/>
          </w:tcPr>
          <w:p>
            <w:pPr>
              <w:spacing w:after="0"/>
              <w:rPr>
                <w:sz w:val="24"/>
                <w:szCs w:val="24"/>
                <w:color w:val="auto"/>
              </w:rPr>
            </w:pP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20" w:type="dxa"/>
            <w:vAlign w:val="bottom"/>
          </w:tcPr>
          <w:p>
            <w:pPr>
              <w:spacing w:after="0"/>
              <w:rPr>
                <w:sz w:val="23"/>
                <w:szCs w:val="23"/>
                <w:color w:val="auto"/>
              </w:rPr>
            </w:pP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304"/>
        </w:trPr>
        <w:tc>
          <w:tcPr>
            <w:tcW w:w="2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5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26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00" w:type="dxa"/>
            <w:vAlign w:val="bottom"/>
          </w:tcPr>
          <w:p>
            <w:pPr>
              <w:spacing w:after="0"/>
              <w:rPr>
                <w:sz w:val="23"/>
                <w:szCs w:val="23"/>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r>
        <w:trPr>
          <w:trHeight w:val="270"/>
        </w:trPr>
        <w:tc>
          <w:tcPr>
            <w:tcW w:w="2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CEEFF"/>
          </w:tcPr>
          <w:p>
            <w:pPr>
              <w:spacing w:after="0"/>
              <w:rPr>
                <w:sz w:val="23"/>
                <w:szCs w:val="23"/>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21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6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-3102610</wp:posOffset>
            </wp:positionV>
            <wp:extent cx="596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1557020</wp:posOffset>
            </wp:positionH>
            <wp:positionV relativeFrom="paragraph">
              <wp:posOffset>-3102610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Brenda Freeman</w:t>
      </w:r>
      <w:r>
        <w:rPr>
          <w:rFonts w:ascii="Arial" w:cs="Arial" w:eastAsia="Arial" w:hAnsi="Arial"/>
          <w:sz w:val="17"/>
          <w:szCs w:val="17"/>
          <w:color w:val="auto"/>
        </w:rPr>
        <w:t>. Ms. Freeman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Olga Gonzalez</w:t>
      </w:r>
      <w:r>
        <w:rPr>
          <w:rFonts w:ascii="Arial" w:cs="Arial" w:eastAsia="Arial" w:hAnsi="Arial"/>
          <w:sz w:val="18"/>
          <w:szCs w:val="18"/>
          <w:color w:val="auto"/>
        </w:rPr>
        <w:t>. Ms. Gonzalez has served as a member of our board of directors since June 2021.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Fiona Tan</w:t>
      </w:r>
      <w:r>
        <w:rPr>
          <w:rFonts w:ascii="Arial" w:cs="Arial" w:eastAsia="Arial" w:hAnsi="Arial"/>
          <w:sz w:val="17"/>
          <w:szCs w:val="17"/>
          <w:color w:val="auto"/>
        </w:rPr>
        <w:t>. Ms. Tan has served as a member of our board of directors since June 2021. Since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Class I, which consists of Mr. Beals, Ms. Tan and one vacancy,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Our board of directors determined that each of the directors on our board of directors other than Messrs. Beals, Hartfield and Mr. Francis are independent directors, as defined under the listing rules of The Nasdaq Stock Market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Lead Independent Director</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Christopher Beals, our Chief Executive Officer, serves as Chair of our board of directors. Mr. Beals is not “independent” as defined under the applicable rules and regulations of the SEC and the listing requirements and rules of Nasdaq. Our corporate governance guidelines provide that one of our independent directors may serve as the lead independent director at any time that Mr. Beals or anyone else who is not an independent director is serving as the Chair of our board of directors. The independent directors of our board of directors appointed Ms. Freeman to serve as our lead independent director. As lead independent director, Ms. Freeman presides over periodic meetings of our independent directors (including at any meetings of our board of directors where the Chair is not present) and coordinate certain activities of the independent directors.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Mr.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approve the hiring, discharging and compensation of our independent registered public accounting firm;</w:t>
      </w:r>
    </w:p>
    <w:p>
      <w:pPr>
        <w:spacing w:after="0" w:line="140" w:lineRule="exact"/>
        <w:rPr>
          <w:rFonts w:ascii="Arial" w:cs="Arial" w:eastAsia="Arial" w:hAnsi="Arial"/>
          <w:sz w:val="16"/>
          <w:szCs w:val="16"/>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the work of our independent registered public accounting firm;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29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2020, were:</w:t>
      </w:r>
    </w:p>
    <w:p>
      <w:pPr>
        <w:spacing w:after="0" w:line="62" w:lineRule="exact"/>
        <w:rPr>
          <w:sz w:val="20"/>
          <w:szCs w:val="20"/>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Christopher Beals, Chief Executive Officer and manager;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Justin Dean, Chief Technology Officer and Chief Information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Steven Jung, President and Chief Operating Officer.</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Non-Equity</w:t>
            </w: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780" w:type="dxa"/>
            <w:vAlign w:val="bottom"/>
            <w:gridSpan w:val="2"/>
            <w:vMerge w:val="continue"/>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Incentive Plan</w:t>
            </w:r>
          </w:p>
        </w:tc>
        <w:tc>
          <w:tcPr>
            <w:tcW w:w="1080" w:type="dxa"/>
            <w:vAlign w:val="bottom"/>
            <w:gridSpan w:val="2"/>
            <w:vMerge w:val="continue"/>
          </w:tcPr>
          <w:p>
            <w:pPr>
              <w:spacing w:after="0"/>
              <w:rPr>
                <w:sz w:val="12"/>
                <w:szCs w:val="12"/>
                <w:color w:val="auto"/>
              </w:rPr>
            </w:pPr>
          </w:p>
        </w:tc>
        <w:tc>
          <w:tcPr>
            <w:tcW w:w="7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5"/>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0" w:type="dxa"/>
            <w:vAlign w:val="bottom"/>
            <w:vMerge w:val="restart"/>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2"/>
        </w:trPr>
        <w:tc>
          <w:tcPr>
            <w:tcW w:w="298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57"/>
              <w:spacing w:after="0" w:line="24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8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64"/>
        </w:trPr>
        <w:tc>
          <w:tcPr>
            <w:tcW w:w="31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18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190,000</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718,119</w:t>
            </w:r>
          </w:p>
        </w:tc>
        <w:tc>
          <w:tcPr>
            <w:tcW w:w="180" w:type="dxa"/>
            <w:vAlign w:val="bottom"/>
          </w:tcPr>
          <w:p>
            <w:pPr>
              <w:spacing w:after="0"/>
              <w:rPr>
                <w:sz w:val="22"/>
                <w:szCs w:val="22"/>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24,940</w:t>
            </w:r>
          </w:p>
        </w:tc>
        <w:tc>
          <w:tcPr>
            <w:tcW w:w="1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1,408,059</w:t>
            </w:r>
          </w:p>
        </w:tc>
        <w:tc>
          <w:tcPr>
            <w:tcW w:w="0" w:type="dxa"/>
            <w:vAlign w:val="bottom"/>
          </w:tcPr>
          <w:p>
            <w:pPr>
              <w:spacing w:after="0"/>
              <w:rPr>
                <w:sz w:val="1"/>
                <w:szCs w:val="1"/>
                <w:color w:val="auto"/>
              </w:rPr>
            </w:pPr>
          </w:p>
        </w:tc>
      </w:tr>
      <w:tr>
        <w:trPr>
          <w:trHeight w:val="216"/>
        </w:trPr>
        <w:tc>
          <w:tcPr>
            <w:tcW w:w="3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Jung</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550,962</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697,200</w:t>
            </w:r>
          </w:p>
        </w:tc>
        <w:tc>
          <w:tcPr>
            <w:tcW w:w="1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1,248,162</w:t>
            </w:r>
          </w:p>
        </w:tc>
        <w:tc>
          <w:tcPr>
            <w:tcW w:w="0" w:type="dxa"/>
            <w:vAlign w:val="bottom"/>
          </w:tcPr>
          <w:p>
            <w:pPr>
              <w:spacing w:after="0"/>
              <w:rPr>
                <w:sz w:val="1"/>
                <w:szCs w:val="1"/>
                <w:color w:val="auto"/>
              </w:rPr>
            </w:pPr>
          </w:p>
        </w:tc>
      </w:tr>
      <w:tr>
        <w:trPr>
          <w:trHeight w:val="230"/>
        </w:trPr>
        <w:tc>
          <w:tcPr>
            <w:tcW w:w="31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w w:val="99"/>
              </w:rPr>
              <w:t xml:space="preserve">President and Chief </w:t>
            </w:r>
            <w:r>
              <w:rPr>
                <w:rFonts w:ascii="Arial" w:cs="Arial" w:eastAsia="Arial" w:hAnsi="Arial"/>
                <w:sz w:val="18"/>
                <w:szCs w:val="18"/>
                <w:color w:val="auto"/>
                <w:w w:val="99"/>
              </w:rPr>
              <w:t>Operating</w:t>
            </w:r>
            <w:r>
              <w:rPr>
                <w:rFonts w:ascii="Arial" w:cs="Arial" w:eastAsia="Arial" w:hAnsi="Arial"/>
                <w:sz w:val="18"/>
                <w:szCs w:val="18"/>
                <w:i w:val="1"/>
                <w:iCs w:val="1"/>
                <w:color w:val="auto"/>
                <w:w w:val="99"/>
              </w:rPr>
              <w:t xml:space="preserve"> Officer</w:t>
            </w: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9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-1182370</wp:posOffset>
            </wp:positionV>
            <wp:extent cx="1200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4265930</wp:posOffset>
            </wp:positionH>
            <wp:positionV relativeFrom="paragraph">
              <wp:posOffset>-1182370</wp:posOffset>
            </wp:positionV>
            <wp:extent cx="12001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-1182370</wp:posOffset>
            </wp:positionV>
            <wp:extent cx="1200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-1182370</wp:posOffset>
            </wp:positionV>
            <wp:extent cx="12001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2585720</wp:posOffset>
            </wp:positionH>
            <wp:positionV relativeFrom="paragraph">
              <wp:posOffset>-1182370</wp:posOffset>
            </wp:positionV>
            <wp:extent cx="12001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2088515</wp:posOffset>
            </wp:positionH>
            <wp:positionV relativeFrom="paragraph">
              <wp:posOffset>-1182370</wp:posOffset>
            </wp:positionV>
            <wp:extent cx="1200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reflect the grant date fair value of equity awards granted in 2020, in accordance with ASC 718. For information regarding assumptions underlying the value of equity awards, see Note 8 to our financial statements included elsewhere in this prospectus.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amounts represent (a) group term life insurance premiums in excess of the broad-based benefit level and (b) with respect to Mr. Dean, $24,604 for a housing allowance.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2020, the compensation programs for our named executive officers consisted of base salary and incentive compensation delivered in the form of Plan Units.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do not have a formal arrangement with our named executive officers providing for annual cash bonus awards. However, we have at times provided cash bonuses to certain members of our executive team on an ad hoc basis as deemed appropriate, in the form of spot bonuses or for achievement of certain milestones.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the Business Combination, all of the equity awards Legacy WMH has granted were made pursuant to the 2018 Plan. The terms of our equity plans are described under the section titled “-Employee Benefit Plans”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Mr. Beals’s current annual base salary is $600,000. If Mr. Beals’s employment is terminated by us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Justin Dean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Dean previously entered into an offer letter with Ghost Management Group, LLC, dated October 3, 2018. Pursuant to a subsequent change of employment status form, Mr. Dean’s current annual base salary is $475,000. Mr. Dean also is eligible to participate in the employee benefit plans generally available to our employees and maintained by 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Steven Jung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the Closing, Mr. Jung entered into a Strategic Advisor Agreement (the “Strategic Advisor Agreement”) with Ghost Management Group, LLC. Pursuant to the Strategic Advisor Agreement, Mr. Jung’s last day of active employment in his previous role as President and Chief Operating Officer of the Company and Ghost Management, LLC was on June 30, 2021, and he transitioned to a paid employee advisory role from July 1, 2021 through July 6, 2022 (the “Advisory Services Period”). The Strategic Advisor Agreement provides for Mr. Jung to be paid his regular salary during the Advisory Services Period and the continued vesting of the Class P units of WMH LLC held by Mr. Jung during the Advisory Services Period, each subject to a maximum aggregate amount, and a general release of claims in favor of Ghost Management Group, LLC.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4"/>
          </w:tcPr>
          <w:p>
            <w:pPr>
              <w:ind w:left="360"/>
              <w:spacing w:after="0"/>
              <w:rPr>
                <w:sz w:val="20"/>
                <w:szCs w:val="20"/>
                <w:color w:val="auto"/>
              </w:rPr>
            </w:pPr>
            <w:r>
              <w:rPr>
                <w:rFonts w:ascii="Arial" w:cs="Arial" w:eastAsia="Arial" w:hAnsi="Arial"/>
                <w:sz w:val="14"/>
                <w:szCs w:val="14"/>
                <w:b w:val="1"/>
                <w:bCs w:val="1"/>
                <w:color w:val="auto"/>
              </w:rPr>
              <w:t>Equity Awards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Vesting</w:t>
            </w:r>
          </w:p>
        </w:tc>
        <w:tc>
          <w:tcPr>
            <w:tcW w:w="1100" w:type="dxa"/>
            <w:vAlign w:val="bottom"/>
            <w:gridSpan w:val="2"/>
            <w:vMerge w:val="continue"/>
          </w:tcPr>
          <w:p>
            <w:pPr>
              <w:spacing w:after="0"/>
              <w:rPr>
                <w:sz w:val="12"/>
                <w:szCs w:val="12"/>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Units that</w:t>
            </w:r>
          </w:p>
        </w:tc>
        <w:tc>
          <w:tcPr>
            <w:tcW w:w="104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4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6"/>
        </w:trPr>
        <w:tc>
          <w:tcPr>
            <w:tcW w:w="4360" w:type="dxa"/>
            <w:vAlign w:val="bottom"/>
            <w:gridSpan w:val="2"/>
            <w:vMerge w:val="continue"/>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Vested</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Have Vested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53"/>
        </w:trPr>
        <w:tc>
          <w:tcPr>
            <w:tcW w:w="41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8/17/2015</w:t>
            </w: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line="331" w:lineRule="exact"/>
              <w:rPr>
                <w:sz w:val="20"/>
                <w:szCs w:val="20"/>
                <w:color w:val="auto"/>
              </w:rPr>
            </w:pPr>
            <w:r>
              <w:rPr>
                <w:rFonts w:ascii="Arial" w:cs="Arial" w:eastAsia="Arial" w:hAnsi="Arial"/>
                <w:sz w:val="18"/>
                <w:szCs w:val="18"/>
                <w:color w:val="auto"/>
              </w:rPr>
              <w:t>53,333</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11/05/2018</w:t>
            </w:r>
          </w:p>
        </w:tc>
        <w:tc>
          <w:tcPr>
            <w:tcW w:w="900" w:type="dxa"/>
            <w:vAlign w:val="bottom"/>
          </w:tcPr>
          <w:p>
            <w:pPr>
              <w:jc w:val="right"/>
              <w:spacing w:after="0" w:line="324" w:lineRule="exact"/>
              <w:rPr>
                <w:sz w:val="20"/>
                <w:szCs w:val="20"/>
                <w:color w:val="auto"/>
              </w:rPr>
            </w:pPr>
            <w:r>
              <w:rPr>
                <w:rFonts w:ascii="Arial" w:cs="Arial" w:eastAsia="Arial" w:hAnsi="Arial"/>
                <w:sz w:val="35"/>
                <w:szCs w:val="35"/>
                <w:color w:val="auto"/>
                <w:w w:val="92"/>
                <w:vertAlign w:val="subscript"/>
              </w:rPr>
              <w:t>1,500</w:t>
            </w:r>
            <w:r>
              <w:rPr>
                <w:rFonts w:ascii="Arial" w:cs="Arial" w:eastAsia="Arial" w:hAnsi="Arial"/>
                <w:sz w:val="15"/>
                <w:szCs w:val="15"/>
                <w:color w:val="auto"/>
                <w:w w:val="92"/>
              </w:rPr>
              <w:t>(2)(3)</w:t>
            </w:r>
          </w:p>
        </w:tc>
        <w:tc>
          <w:tcPr>
            <w:tcW w:w="200" w:type="dxa"/>
            <w:vAlign w:val="bottom"/>
          </w:tcPr>
          <w:p>
            <w:pPr>
              <w:spacing w:after="0"/>
              <w:rPr>
                <w:sz w:val="24"/>
                <w:szCs w:val="24"/>
                <w:color w:val="auto"/>
              </w:rPr>
            </w:pPr>
          </w:p>
        </w:tc>
        <w:tc>
          <w:tcPr>
            <w:tcW w:w="820" w:type="dxa"/>
            <w:vAlign w:val="bottom"/>
          </w:tcPr>
          <w:p>
            <w:pPr>
              <w:jc w:val="right"/>
              <w:spacing w:after="0" w:line="324" w:lineRule="exact"/>
              <w:rPr>
                <w:sz w:val="20"/>
                <w:szCs w:val="20"/>
                <w:color w:val="auto"/>
              </w:rPr>
            </w:pPr>
            <w:r>
              <w:rPr>
                <w:rFonts w:ascii="Arial" w:cs="Arial" w:eastAsia="Arial" w:hAnsi="Arial"/>
                <w:sz w:val="18"/>
                <w:szCs w:val="18"/>
                <w:color w:val="auto"/>
              </w:rPr>
              <w:t>1,500</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700" w:type="dxa"/>
            <w:vAlign w:val="bottom"/>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12/08/2020</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w w:val="92"/>
                <w:vertAlign w:val="subscript"/>
              </w:rPr>
              <w:t>2,000</w:t>
            </w:r>
            <w:r>
              <w:rPr>
                <w:rFonts w:ascii="Arial" w:cs="Arial" w:eastAsia="Arial" w:hAnsi="Arial"/>
                <w:sz w:val="15"/>
                <w:szCs w:val="15"/>
                <w:color w:val="auto"/>
                <w:w w:val="92"/>
              </w:rPr>
              <w:t>(2)(5)</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36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06/19/2017</w:t>
            </w:r>
          </w:p>
        </w:tc>
        <w:tc>
          <w:tcPr>
            <w:tcW w:w="900" w:type="dxa"/>
            <w:vAlign w:val="bottom"/>
          </w:tcPr>
          <w:p>
            <w:pPr>
              <w:jc w:val="right"/>
              <w:spacing w:after="0" w:line="324" w:lineRule="exact"/>
              <w:rPr>
                <w:sz w:val="20"/>
                <w:szCs w:val="20"/>
                <w:color w:val="auto"/>
              </w:rPr>
            </w:pPr>
            <w:r>
              <w:rPr>
                <w:rFonts w:ascii="Arial" w:cs="Arial" w:eastAsia="Arial" w:hAnsi="Arial"/>
                <w:sz w:val="35"/>
                <w:szCs w:val="35"/>
                <w:color w:val="auto"/>
                <w:vertAlign w:val="subscript"/>
              </w:rPr>
              <w:t>544</w:t>
            </w:r>
            <w:r>
              <w:rPr>
                <w:rFonts w:ascii="Arial" w:cs="Arial" w:eastAsia="Arial" w:hAnsi="Arial"/>
                <w:sz w:val="15"/>
                <w:szCs w:val="15"/>
                <w:color w:val="auto"/>
              </w:rPr>
              <w:t>(2)(3)</w:t>
            </w:r>
          </w:p>
        </w:tc>
        <w:tc>
          <w:tcPr>
            <w:tcW w:w="200" w:type="dxa"/>
            <w:vAlign w:val="bottom"/>
          </w:tcPr>
          <w:p>
            <w:pPr>
              <w:spacing w:after="0"/>
              <w:rPr>
                <w:sz w:val="24"/>
                <w:szCs w:val="24"/>
                <w:color w:val="auto"/>
              </w:rPr>
            </w:pPr>
          </w:p>
        </w:tc>
        <w:tc>
          <w:tcPr>
            <w:tcW w:w="820" w:type="dxa"/>
            <w:vAlign w:val="bottom"/>
          </w:tcPr>
          <w:p>
            <w:pPr>
              <w:jc w:val="right"/>
              <w:spacing w:after="0" w:line="324" w:lineRule="exact"/>
              <w:rPr>
                <w:sz w:val="20"/>
                <w:szCs w:val="20"/>
                <w:color w:val="auto"/>
              </w:rPr>
            </w:pPr>
            <w:r>
              <w:rPr>
                <w:rFonts w:ascii="Arial" w:cs="Arial" w:eastAsia="Arial" w:hAnsi="Arial"/>
                <w:sz w:val="18"/>
                <w:szCs w:val="18"/>
                <w:color w:val="auto"/>
              </w:rPr>
              <w:t>3,810</w:t>
            </w:r>
            <w:r>
              <w:rPr>
                <w:rFonts w:ascii="Arial" w:cs="Arial" w:eastAsia="Arial" w:hAnsi="Arial"/>
                <w:sz w:val="29"/>
                <w:szCs w:val="29"/>
                <w:color w:val="auto"/>
                <w:vertAlign w:val="superscript"/>
              </w:rPr>
              <w:t>(2)</w:t>
            </w:r>
          </w:p>
        </w:tc>
        <w:tc>
          <w:tcPr>
            <w:tcW w:w="220" w:type="dxa"/>
            <w:vAlign w:val="bottom"/>
          </w:tcPr>
          <w:p>
            <w:pPr>
              <w:spacing w:after="0"/>
              <w:rPr>
                <w:sz w:val="24"/>
                <w:szCs w:val="24"/>
                <w:color w:val="auto"/>
              </w:rPr>
            </w:pPr>
          </w:p>
        </w:tc>
        <w:tc>
          <w:tcPr>
            <w:tcW w:w="700" w:type="dxa"/>
            <w:vAlign w:val="bottom"/>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24"/>
        </w:trPr>
        <w:tc>
          <w:tcPr>
            <w:tcW w:w="4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05/01/2018</w:t>
            </w:r>
          </w:p>
        </w:tc>
        <w:tc>
          <w:tcPr>
            <w:tcW w:w="900" w:type="dxa"/>
            <w:vAlign w:val="bottom"/>
            <w:shd w:val="clear" w:color="auto" w:fill="CCEEFF"/>
          </w:tcPr>
          <w:p>
            <w:pPr>
              <w:jc w:val="right"/>
              <w:spacing w:after="0" w:line="324" w:lineRule="exact"/>
              <w:rPr>
                <w:sz w:val="20"/>
                <w:szCs w:val="20"/>
                <w:color w:val="auto"/>
              </w:rPr>
            </w:pPr>
            <w:r>
              <w:rPr>
                <w:rFonts w:ascii="Arial" w:cs="Arial" w:eastAsia="Arial" w:hAnsi="Arial"/>
                <w:sz w:val="35"/>
                <w:szCs w:val="35"/>
                <w:color w:val="auto"/>
                <w:w w:val="92"/>
                <w:vertAlign w:val="subscript"/>
              </w:rPr>
              <w:t>1,500</w:t>
            </w:r>
            <w:r>
              <w:rPr>
                <w:rFonts w:ascii="Arial" w:cs="Arial" w:eastAsia="Arial" w:hAnsi="Arial"/>
                <w:sz w:val="15"/>
                <w:szCs w:val="15"/>
                <w:color w:val="auto"/>
                <w:w w:val="92"/>
              </w:rPr>
              <w:t>(2)(3)</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line="324" w:lineRule="exact"/>
              <w:rPr>
                <w:sz w:val="20"/>
                <w:szCs w:val="20"/>
                <w:color w:val="auto"/>
              </w:rPr>
            </w:pPr>
            <w:r>
              <w:rPr>
                <w:rFonts w:ascii="Arial" w:cs="Arial" w:eastAsia="Arial" w:hAnsi="Arial"/>
                <w:sz w:val="18"/>
                <w:szCs w:val="18"/>
                <w:color w:val="auto"/>
              </w:rPr>
              <w:t>2,500</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line="32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71"/>
        </w:trPr>
        <w:tc>
          <w:tcPr>
            <w:tcW w:w="4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04/06/2020</w:t>
            </w:r>
          </w:p>
        </w:tc>
        <w:tc>
          <w:tcPr>
            <w:tcW w:w="900" w:type="dxa"/>
            <w:vAlign w:val="bottom"/>
          </w:tcPr>
          <w:p>
            <w:pPr>
              <w:jc w:val="right"/>
              <w:spacing w:after="0"/>
              <w:rPr>
                <w:sz w:val="20"/>
                <w:szCs w:val="20"/>
                <w:color w:val="auto"/>
              </w:rPr>
            </w:pPr>
            <w:r>
              <w:rPr>
                <w:rFonts w:ascii="Arial" w:cs="Arial" w:eastAsia="Arial" w:hAnsi="Arial"/>
                <w:sz w:val="35"/>
                <w:szCs w:val="35"/>
                <w:color w:val="auto"/>
                <w:w w:val="92"/>
                <w:vertAlign w:val="subscript"/>
              </w:rPr>
              <w:t>3,500</w:t>
            </w:r>
            <w:r>
              <w:rPr>
                <w:rFonts w:ascii="Arial" w:cs="Arial" w:eastAsia="Arial" w:hAnsi="Arial"/>
                <w:sz w:val="15"/>
                <w:szCs w:val="15"/>
                <w:color w:val="auto"/>
                <w:w w:val="92"/>
              </w:rPr>
              <w:t>(2)(6)</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35"/>
                <w:szCs w:val="35"/>
                <w:color w:val="auto"/>
                <w:vertAlign w:val="subscript"/>
              </w:rPr>
              <w:t>500</w:t>
            </w: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-1344295</wp:posOffset>
            </wp:positionV>
            <wp:extent cx="1371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4300220</wp:posOffset>
            </wp:positionH>
            <wp:positionV relativeFrom="paragraph">
              <wp:posOffset>-1344295</wp:posOffset>
            </wp:positionV>
            <wp:extent cx="137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3597275</wp:posOffset>
            </wp:positionH>
            <wp:positionV relativeFrom="paragraph">
              <wp:posOffset>-1344295</wp:posOffset>
            </wp:positionV>
            <wp:extent cx="137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-1344295</wp:posOffset>
            </wp:positionV>
            <wp:extent cx="137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43815</wp:posOffset>
            </wp:positionV>
            <wp:extent cx="8229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8" w:lineRule="exact"/>
        <w:rPr>
          <w:sz w:val="20"/>
          <w:szCs w:val="20"/>
          <w:color w:val="auto"/>
        </w:rPr>
      </w:pPr>
    </w:p>
    <w:p>
      <w:pPr>
        <w:ind w:left="640" w:hanging="348"/>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Class A-3 units.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Represents Class B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Class A-3 units and Class B units represent profits interests in WM Holding Company, LLC. No value is realized as a result of vesting of these units and consistent with FASB ASC Topic 718, the grant date fair value of Class A-3 and Class B units is $0.</w:t>
      </w:r>
    </w:p>
    <w:p>
      <w:pPr>
        <w:spacing w:after="0" w:line="11"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 We have approximately 450 employees, seven non-employee directors and 40 consultants who may be eligible to receive awards under the 2021 Plan.</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w:t>
      </w:r>
    </w:p>
    <w:p>
      <w:pPr>
        <w:sectPr>
          <w:pgSz w:w="11900" w:h="16838" w:orient="portrait"/>
          <w:cols w:equalWidth="0" w:num="1">
            <w:col w:w="9019"/>
          </w:cols>
          <w:pgMar w:left="1440" w:top="265" w:right="1440" w:bottom="1440" w:gutter="0" w:footer="0" w:header="0"/>
        </w:sectPr>
      </w:pP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issuance under the equity incentive plan. Additionally, shares issued pursuant to stock awards under the equity 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will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w:t>
      </w:r>
    </w:p>
    <w:p>
      <w:pPr>
        <w:spacing w:after="0" w:line="1" w:lineRule="exact"/>
        <w:rPr>
          <w:sz w:val="20"/>
          <w:szCs w:val="20"/>
          <w:color w:val="auto"/>
        </w:rPr>
      </w:pPr>
    </w:p>
    <w:p>
      <w:pPr>
        <w:jc w:val="both"/>
        <w:ind w:left="300" w:right="299" w:hanging="8"/>
        <w:spacing w:after="0" w:line="284" w:lineRule="auto"/>
        <w:tabs>
          <w:tab w:leader="none" w:pos="6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equity incentive plan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the Amended Operating Agreement.</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Operating Company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of the Units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Management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Distributions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Transfer Restrictions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$157.1 million over 15 years from the Closing Date. Under this scenario, we would be required to pay to the Class A Unit holders approximately 85% of such amount, or $133.5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8" w:name="page109"/>
    <w:bookmarkEnd w:id="10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9" w:name="page110"/>
    <w:bookmarkEnd w:id="1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June 16, 2021,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June 16, 2021,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June 16, 2021.</w:t>
      </w:r>
    </w:p>
    <w:p>
      <w:pPr>
        <w:spacing w:after="0" w:line="3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32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three months ended March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three months ended March 31, 2021.</w:t>
      </w:r>
    </w:p>
    <w:p>
      <w:pPr>
        <w:spacing w:after="0" w:line="75"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Kathleen Joosten was formerly employed as a corporate attorney in our legal department. Ms. Joosten, who is the sister-in-law of Mr. Francis, earned $163,462 and $167,427 in compensation in 2019 and 2020, respectively, and $47,454 in compensation in the three months ended March 31, 2021.</w:t>
      </w:r>
    </w:p>
    <w:p>
      <w:pPr>
        <w:spacing w:after="0" w:line="40" w:lineRule="exact"/>
        <w:rPr>
          <w:rFonts w:ascii="Arial" w:cs="Arial" w:eastAsia="Arial" w:hAnsi="Arial"/>
          <w:sz w:val="16"/>
          <w:szCs w:val="16"/>
          <w:color w:val="auto"/>
        </w:rPr>
      </w:pPr>
    </w:p>
    <w:p>
      <w:pPr>
        <w:jc w:val="both"/>
        <w:ind w:left="1000" w:right="299" w:hanging="348"/>
        <w:spacing w:after="0" w:line="263" w:lineRule="auto"/>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and $0 in compensation in each of 2019 and 2020, respectively, and no compensation in the three months ended March 31, 2021.</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WCC MGMT, LLC is a business of which each of Messrs. Francis and Hartfield indirectly own a minority interest. WCC MGMT, LLC uses our listing products and has participated in other brand promotion opportunities. WCC MGMT, LLC paid us a total of $98,495 and $536,750 in 2019 and 2020, respectively, and $2,985 in the three months ended March 31, 2021, for such products and services. Mr. Beals indirectly owned a minority interest in WCC MGMT, LLC, but relinquished his indirect interest in April 2019.</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3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Pursuant to a note payable to Mr. Hartfield and that certain Global Securities Purchase, Consulting, and Resignation Agreement dated as of July 31, 2012, by and among Searchcore, Weedmaps Media, Inc. and Justin Hartfield, we paid Mr. Hartfield $0 and $0 in 2019 and 2020, respectively, and $0 in the three months ended March 31, 2021. All obligations to Mr. Francis and Mr. Hartfield under these arrangements have been paid in full.</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June 16, 2021, after giving effect to the Closing,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beneficial ownership percentages set forth in the table below are based on 129,240,912 shares of our Common Stock issued and outstanding as of June 16, 2021 and do not take into account the issuance of any shares of Class A Common Stock upon (i) the exercise of 19,499,993 Warrants to purchase an aggregate of 19,499,993 shares of Class A Common Stock or (ii) the exchange of 25,896,042 Class P Units for up to 25,896,042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6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Number of Shares of</w:t>
            </w: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Number of Shares of</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 of</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Class A Common</w:t>
            </w: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Class V Common</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160" w:type="dxa"/>
            <w:vAlign w:val="bottom"/>
            <w:vMerge w:val="restart"/>
          </w:tcPr>
          <w:p>
            <w:pPr>
              <w:spacing w:after="0"/>
              <w:rPr>
                <w:sz w:val="12"/>
                <w:szCs w:val="12"/>
                <w:color w:val="auto"/>
              </w:rPr>
            </w:pPr>
          </w:p>
        </w:tc>
        <w:tc>
          <w:tcPr>
            <w:tcW w:w="146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1"/>
              </w:rPr>
              <w:t>Stock Beneficially</w:t>
            </w:r>
          </w:p>
        </w:tc>
        <w:tc>
          <w:tcPr>
            <w:tcW w:w="14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Stock Beneficially</w:t>
            </w:r>
          </w:p>
        </w:tc>
        <w:tc>
          <w:tcPr>
            <w:tcW w:w="10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2"/>
        </w:trPr>
        <w:tc>
          <w:tcPr>
            <w:tcW w:w="43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CCEEFF"/>
            </w:tcBorders>
            <w:vMerge w:val="continue"/>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Owned</w:t>
            </w:r>
          </w:p>
        </w:tc>
        <w:tc>
          <w:tcPr>
            <w:tcW w:w="16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16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line="242"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311"/>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6,166,819</w:t>
            </w:r>
          </w:p>
        </w:tc>
        <w:tc>
          <w:tcPr>
            <w:tcW w:w="160" w:type="dxa"/>
            <w:vAlign w:val="bottom"/>
          </w:tcPr>
          <w:p>
            <w:pPr>
              <w:spacing w:after="0"/>
              <w:rPr>
                <w:sz w:val="23"/>
                <w:szCs w:val="23"/>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Justin Dean</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44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13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4480" w:type="dxa"/>
            <w:vAlign w:val="bottom"/>
            <w:gridSpan w:val="2"/>
          </w:tcPr>
          <w:p>
            <w:pPr>
              <w:spacing w:after="0" w:line="324" w:lineRule="exact"/>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27,700,850</w:t>
            </w:r>
          </w:p>
        </w:tc>
        <w:tc>
          <w:tcPr>
            <w:tcW w:w="16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324"/>
        </w:trPr>
        <w:tc>
          <w:tcPr>
            <w:tcW w:w="44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29,328,310</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Scott Gordon</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48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14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w w:val="94"/>
              </w:rPr>
              <w:t>All Directors and Executive Officers of the Company as</w:t>
            </w: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4480" w:type="dxa"/>
            <w:vAlign w:val="bottom"/>
            <w:gridSpan w:val="2"/>
          </w:tcPr>
          <w:p>
            <w:pPr>
              <w:ind w:left="180"/>
              <w:spacing w:after="0" w:line="298" w:lineRule="exact"/>
              <w:rPr>
                <w:sz w:val="20"/>
                <w:szCs w:val="20"/>
                <w:color w:val="auto"/>
              </w:rPr>
            </w:pPr>
            <w:r>
              <w:rPr>
                <w:rFonts w:ascii="Arial" w:cs="Arial" w:eastAsia="Arial" w:hAnsi="Arial"/>
                <w:sz w:val="18"/>
                <w:szCs w:val="18"/>
                <w:b w:val="1"/>
                <w:bCs w:val="1"/>
                <w:color w:val="auto"/>
              </w:rPr>
              <w:t>a Group (12 Individuals)</w:t>
            </w:r>
            <w:r>
              <w:rPr>
                <w:rFonts w:ascii="Arial" w:cs="Arial" w:eastAsia="Arial" w:hAnsi="Arial"/>
                <w:sz w:val="29"/>
                <w:szCs w:val="29"/>
                <w:b w:val="1"/>
                <w:bCs w:val="1"/>
                <w:color w:val="auto"/>
                <w:vertAlign w:val="superscript"/>
              </w:rPr>
              <w:t>(7)</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54,726,788</w:t>
            </w:r>
          </w:p>
        </w:tc>
        <w:tc>
          <w:tcPr>
            <w:tcW w:w="160" w:type="dxa"/>
            <w:vAlign w:val="bottom"/>
          </w:tcPr>
          <w:p>
            <w:pPr>
              <w:spacing w:after="0"/>
              <w:rPr>
                <w:sz w:val="24"/>
                <w:szCs w:val="24"/>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304"/>
        </w:trPr>
        <w:tc>
          <w:tcPr>
            <w:tcW w:w="4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3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480" w:type="dxa"/>
            <w:vAlign w:val="bottom"/>
            <w:gridSpan w:val="2"/>
          </w:tcPr>
          <w:p>
            <w:pPr>
              <w:spacing w:after="0" w:line="324" w:lineRule="exact"/>
              <w:rPr>
                <w:sz w:val="20"/>
                <w:szCs w:val="20"/>
                <w:color w:val="auto"/>
              </w:rPr>
            </w:pPr>
            <w:r>
              <w:rPr>
                <w:rFonts w:ascii="Arial" w:cs="Arial" w:eastAsia="Arial" w:hAnsi="Arial"/>
                <w:sz w:val="18"/>
                <w:szCs w:val="18"/>
                <w:color w:val="auto"/>
              </w:rPr>
              <w:t>Silver Spike Sponsor, LLC</w:t>
            </w:r>
            <w:r>
              <w:rPr>
                <w:rFonts w:ascii="Arial" w:cs="Arial" w:eastAsia="Arial" w:hAnsi="Arial"/>
                <w:sz w:val="29"/>
                <w:szCs w:val="29"/>
                <w:color w:val="auto"/>
                <w:vertAlign w:val="superscript"/>
              </w:rPr>
              <w:t>(8)</w:t>
            </w:r>
          </w:p>
        </w:tc>
        <w:tc>
          <w:tcPr>
            <w:tcW w:w="1300" w:type="dxa"/>
            <w:vAlign w:val="bottom"/>
          </w:tcPr>
          <w:p>
            <w:pPr>
              <w:jc w:val="right"/>
              <w:ind w:right="194"/>
              <w:spacing w:after="0"/>
              <w:rPr>
                <w:sz w:val="20"/>
                <w:szCs w:val="20"/>
                <w:color w:val="auto"/>
              </w:rPr>
            </w:pPr>
            <w:r>
              <w:rPr>
                <w:rFonts w:ascii="Arial" w:cs="Arial" w:eastAsia="Arial" w:hAnsi="Arial"/>
                <w:sz w:val="18"/>
                <w:szCs w:val="18"/>
                <w:color w:val="auto"/>
              </w:rPr>
              <w:t>9,750,000</w:t>
            </w:r>
          </w:p>
        </w:tc>
        <w:tc>
          <w:tcPr>
            <w:tcW w:w="160" w:type="dxa"/>
            <w:vAlign w:val="bottom"/>
          </w:tcPr>
          <w:p>
            <w:pPr>
              <w:spacing w:after="0"/>
              <w:rPr>
                <w:sz w:val="24"/>
                <w:szCs w:val="2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4480" w:type="dxa"/>
            <w:vAlign w:val="bottom"/>
            <w:gridSpan w:val="2"/>
            <w:shd w:val="clear" w:color="auto" w:fill="CCEEFF"/>
          </w:tcPr>
          <w:p>
            <w:pPr>
              <w:spacing w:after="0" w:line="324" w:lineRule="exact"/>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14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8,469,191</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-3239770</wp:posOffset>
            </wp:positionV>
            <wp:extent cx="1028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-3239770</wp:posOffset>
            </wp:positionV>
            <wp:extent cx="10287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-3239770</wp:posOffset>
            </wp:positionV>
            <wp:extent cx="10287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Holders of Class A Common Stock and Class V Common Stock are entitled to one vote for each share of Class A Common Stock or Class V Common Stock, as the case may be, held by them. Each Paired Interest is initially exchangeable for shares of Class A Common Stock on a one-for-one basis from time to time at and after 180 days following the Closing.</w:t>
      </w:r>
    </w:p>
    <w:p>
      <w:pPr>
        <w:spacing w:after="0" w:line="20"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 PIPE subscription financing. Mr. Aquila is the Chairman and CEO of AFV Partners LLC, which exercises ultimate voting and investment power with respect to the shares held by AFV 5 and AFV 6. Furthermore, Mr. Aquila will personally hold a portion of the shares of Class A</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sz w:val="20"/>
          <w:szCs w:val="20"/>
          <w:color w:val="auto"/>
        </w:rPr>
      </w:pPr>
    </w:p>
    <w:p>
      <w:pPr>
        <w:jc w:val="both"/>
        <w:ind w:left="640" w:right="299" w:hanging="348"/>
        <w:spacing w:after="0" w:line="251"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77"/>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Scott Gordon, William Healy and Gregory M. Gentile are the three managers of Silver Spike Sponsor, LLC’s board of managers. Any action by Silver Spike Sponsor, LLC with respect to the shares of Class A Common Stock, including voting and dispositive decisions, requires a majority vote of the managers of the board of managers. Under the so-called “rule of three,” because voting and dispositive decisions are made by a majority of Silver Spike Sponsor, LLC’s managers, none of the managers of Silver Spike Sponsor, LLC is deemed to be a beneficial owner of Silver Spike Sponsor, LLC’s securities, even those in which he holds a pecuniary interest. Accordingly, none of the Company’s executive officers is deemed to have or share beneficial ownership of the founders shares held by Silver Spike Sponsor, LLC.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Registration Rights Agreement, the Subscription Agreements and the Warrant Agreement, we agreed to file a registration statement with the SEC for the purposes of registering for resale</w:t>
      </w:r>
    </w:p>
    <w:p>
      <w:pPr>
        <w:spacing w:after="0" w:line="2" w:lineRule="exact"/>
        <w:rPr>
          <w:sz w:val="20"/>
          <w:szCs w:val="20"/>
          <w:color w:val="auto"/>
        </w:rPr>
      </w:pPr>
    </w:p>
    <w:p>
      <w:pPr>
        <w:jc w:val="both"/>
        <w:ind w:left="300" w:right="299" w:hanging="8"/>
        <w:spacing w:after="0" w:line="255" w:lineRule="auto"/>
        <w:tabs>
          <w:tab w:leader="none" w:pos="52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Private Placement Warrants (and the shares of Class A Common Stock that may be issued upon exercise of the Private Placement Warrants) and (ii) the shares of our Class A Common Stock issued to the Selling Securityholders.</w:t>
      </w:r>
    </w:p>
    <w:p>
      <w:pPr>
        <w:spacing w:after="0" w:line="8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63,738,563 shares of our Common Stock issued and outstanding as of June 16, 2021 and do not take into account the issuance of any shares of Class A Common Stock upon (i) the exercise of 19,499,993 Warrants to purchase an aggregate of 19,499,993 shares of Class A Common Stock, (ii) the exchange of 25,896,042 Class P Units for up to 25,896,042 shares of Class A Common Stock or (iii) the exchange of 65,502,347 Paired Interest for up to 65,502,347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64"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 to 12,499,933 shares of Class A Common Stock issuable upon exercise of the Public Warrants are not included in the table below, unless specifically indicated in the footnotes therein.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Warrants</w:t>
            </w:r>
          </w:p>
        </w:tc>
        <w:tc>
          <w:tcPr>
            <w:tcW w:w="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Class A</w:t>
            </w: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Class A of</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Common</w:t>
            </w:r>
          </w:p>
        </w:tc>
        <w:tc>
          <w:tcPr>
            <w:tcW w:w="740" w:type="dxa"/>
            <w:vAlign w:val="bottom"/>
            <w:gridSpan w:val="2"/>
            <w:vMerge w:val="continue"/>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4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208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Prior to</w:t>
            </w:r>
          </w:p>
        </w:tc>
        <w:tc>
          <w:tcPr>
            <w:tcW w:w="40" w:type="dxa"/>
            <w:vAlign w:val="bottom"/>
          </w:tcPr>
          <w:p>
            <w:pPr>
              <w:spacing w:after="0"/>
              <w:rPr>
                <w:sz w:val="7"/>
                <w:szCs w:val="7"/>
                <w:color w:val="auto"/>
              </w:rPr>
            </w:pPr>
          </w:p>
        </w:tc>
        <w:tc>
          <w:tcPr>
            <w:tcW w:w="78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6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3"/>
                <w:szCs w:val="3"/>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0" w:type="dxa"/>
            <w:vAlign w:val="bottom"/>
          </w:tcPr>
          <w:p>
            <w:pPr>
              <w:spacing w:after="0"/>
              <w:rPr>
                <w:sz w:val="16"/>
                <w:szCs w:val="16"/>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0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Christopher Beals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6,166,819</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6,166,819</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16"/>
                <w:szCs w:val="16"/>
                <w:color w:val="auto"/>
              </w:rPr>
              <w:t>Brian Camire</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Justin Dean</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619,772</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619,772</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16"/>
                <w:szCs w:val="16"/>
                <w:color w:val="auto"/>
              </w:rPr>
              <w:t>Juanjo Feijoo</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681,749</w:t>
            </w: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Arden Lee</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1,239,543</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1,239,543</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080" w:type="dxa"/>
            <w:vAlign w:val="bottom"/>
          </w:tcPr>
          <w:p>
            <w:pPr>
              <w:spacing w:after="0"/>
              <w:rPr>
                <w:sz w:val="20"/>
                <w:szCs w:val="20"/>
                <w:color w:val="auto"/>
              </w:rPr>
            </w:pPr>
            <w:r>
              <w:rPr>
                <w:rFonts w:ascii="Arial" w:cs="Arial" w:eastAsia="Arial" w:hAnsi="Arial"/>
                <w:sz w:val="16"/>
                <w:szCs w:val="16"/>
                <w:color w:val="auto"/>
              </w:rPr>
              <w:t>Steven Jung</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1,314,411</w:t>
            </w: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1,314,411</w:t>
            </w:r>
          </w:p>
        </w:tc>
        <w:tc>
          <w:tcPr>
            <w:tcW w:w="4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Doug Francis</w:t>
            </w:r>
            <w:r>
              <w:rPr>
                <w:rFonts w:ascii="Arial" w:cs="Arial" w:eastAsia="Arial" w:hAnsi="Arial"/>
                <w:sz w:val="26"/>
                <w:szCs w:val="26"/>
                <w:color w:val="auto"/>
                <w:vertAlign w:val="superscript"/>
              </w:rPr>
              <w:t>(1)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27,700,849</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4"/>
              </w:rPr>
              <w:t>27,700,849</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080" w:type="dxa"/>
            <w:vAlign w:val="bottom"/>
          </w:tcPr>
          <w:p>
            <w:pPr>
              <w:spacing w:after="0"/>
              <w:rPr>
                <w:sz w:val="20"/>
                <w:szCs w:val="20"/>
                <w:color w:val="auto"/>
              </w:rPr>
            </w:pPr>
            <w:r>
              <w:rPr>
                <w:rFonts w:ascii="Arial" w:cs="Arial" w:eastAsia="Arial" w:hAnsi="Arial"/>
                <w:sz w:val="16"/>
                <w:szCs w:val="16"/>
                <w:color w:val="auto"/>
              </w:rPr>
              <w:t>Justin Hartfield</w:t>
            </w:r>
            <w:r>
              <w:rPr>
                <w:rFonts w:ascii="Arial" w:cs="Arial" w:eastAsia="Arial" w:hAnsi="Arial"/>
                <w:sz w:val="26"/>
                <w:szCs w:val="26"/>
                <w:color w:val="auto"/>
                <w:vertAlign w:val="superscript"/>
              </w:rPr>
              <w:t>(2)</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29,328,310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4"/>
              </w:rPr>
              <w:t>29,328,310</w:t>
            </w: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Entities affiliated with Silver</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80" w:type="dxa"/>
            <w:vAlign w:val="bottom"/>
            <w:shd w:val="clear" w:color="auto" w:fill="CCEEFF"/>
          </w:tcPr>
          <w:p>
            <w:pPr>
              <w:ind w:left="160"/>
              <w:spacing w:after="0" w:line="281" w:lineRule="exact"/>
              <w:rPr>
                <w:sz w:val="20"/>
                <w:szCs w:val="20"/>
                <w:color w:val="auto"/>
              </w:rPr>
            </w:pPr>
            <w:r>
              <w:rPr>
                <w:rFonts w:ascii="Arial" w:cs="Arial" w:eastAsia="Arial" w:hAnsi="Arial"/>
                <w:sz w:val="16"/>
                <w:szCs w:val="16"/>
                <w:color w:val="auto"/>
              </w:rPr>
              <w:t>Spike Sponsor, LLC</w:t>
            </w:r>
            <w:r>
              <w:rPr>
                <w:rFonts w:ascii="Arial" w:cs="Arial" w:eastAsia="Arial" w:hAnsi="Arial"/>
                <w:sz w:val="26"/>
                <w:szCs w:val="26"/>
                <w:color w:val="auto"/>
                <w:vertAlign w:val="superscript"/>
              </w:rPr>
              <w:t>(3)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7,515,752</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7,000,000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7,515,752</w:t>
            </w: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7,000,000</w:t>
            </w:r>
          </w:p>
        </w:tc>
        <w:tc>
          <w:tcPr>
            <w:tcW w:w="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080" w:type="dxa"/>
            <w:vAlign w:val="bottom"/>
          </w:tcPr>
          <w:p>
            <w:pPr>
              <w:spacing w:after="0"/>
              <w:rPr>
                <w:sz w:val="20"/>
                <w:szCs w:val="20"/>
                <w:color w:val="auto"/>
              </w:rPr>
            </w:pPr>
            <w:r>
              <w:rPr>
                <w:rFonts w:ascii="Arial" w:cs="Arial" w:eastAsia="Arial" w:hAnsi="Arial"/>
                <w:sz w:val="16"/>
                <w:szCs w:val="16"/>
                <w:color w:val="auto"/>
                <w:w w:val="94"/>
              </w:rPr>
              <w:t>2012 Grassie Family Delaware</w:t>
            </w: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80" w:type="dxa"/>
            <w:vAlign w:val="bottom"/>
          </w:tcPr>
          <w:p>
            <w:pPr>
              <w:ind w:left="160"/>
              <w:spacing w:after="0" w:line="281" w:lineRule="exact"/>
              <w:rPr>
                <w:sz w:val="20"/>
                <w:szCs w:val="20"/>
                <w:color w:val="auto"/>
              </w:rPr>
            </w:pPr>
            <w:r>
              <w:rPr>
                <w:rFonts w:ascii="Arial" w:cs="Arial" w:eastAsia="Arial" w:hAnsi="Arial"/>
                <w:sz w:val="16"/>
                <w:szCs w:val="16"/>
                <w:color w:val="auto"/>
              </w:rPr>
              <w:t>Dynasty Trust</w:t>
            </w:r>
            <w:r>
              <w:rPr>
                <w:rFonts w:ascii="Arial" w:cs="Arial" w:eastAsia="Arial" w:hAnsi="Arial"/>
                <w:sz w:val="26"/>
                <w:szCs w:val="26"/>
                <w:color w:val="auto"/>
                <w:vertAlign w:val="superscript"/>
              </w:rPr>
              <w:t>(4)</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52,500</w:t>
            </w: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2019 Alternative Public</w:t>
            </w: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080" w:type="dxa"/>
            <w:vAlign w:val="bottom"/>
            <w:shd w:val="clear" w:color="auto" w:fill="CCEEFF"/>
          </w:tcPr>
          <w:p>
            <w:pPr>
              <w:ind w:left="160"/>
              <w:spacing w:after="0" w:line="281" w:lineRule="exact"/>
              <w:rPr>
                <w:sz w:val="20"/>
                <w:szCs w:val="20"/>
                <w:color w:val="auto"/>
              </w:rPr>
            </w:pPr>
            <w:r>
              <w:rPr>
                <w:rFonts w:ascii="Arial" w:cs="Arial" w:eastAsia="Arial" w:hAnsi="Arial"/>
                <w:sz w:val="16"/>
                <w:szCs w:val="16"/>
                <w:color w:val="auto"/>
              </w:rPr>
              <w:t>Investments, LLC</w:t>
            </w:r>
            <w:r>
              <w:rPr>
                <w:rFonts w:ascii="Arial" w:cs="Arial" w:eastAsia="Arial" w:hAnsi="Arial"/>
                <w:sz w:val="26"/>
                <w:szCs w:val="26"/>
                <w:color w:val="auto"/>
                <w:vertAlign w:val="superscript"/>
              </w:rPr>
              <w:t>(5)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231,123</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231,123</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82"/>
        </w:trPr>
        <w:tc>
          <w:tcPr>
            <w:tcW w:w="2080" w:type="dxa"/>
            <w:vAlign w:val="bottom"/>
          </w:tcPr>
          <w:p>
            <w:pPr>
              <w:spacing w:after="0"/>
              <w:rPr>
                <w:sz w:val="20"/>
                <w:szCs w:val="20"/>
                <w:color w:val="auto"/>
              </w:rPr>
            </w:pPr>
            <w:r>
              <w:rPr>
                <w:rFonts w:ascii="Arial" w:cs="Arial" w:eastAsia="Arial" w:hAnsi="Arial"/>
                <w:sz w:val="16"/>
                <w:szCs w:val="16"/>
                <w:color w:val="auto"/>
              </w:rPr>
              <w:t>8704856 Canada Inc.</w:t>
            </w:r>
            <w:r>
              <w:rPr>
                <w:rFonts w:ascii="Arial" w:cs="Arial" w:eastAsia="Arial" w:hAnsi="Arial"/>
                <w:sz w:val="26"/>
                <w:szCs w:val="26"/>
                <w:color w:val="auto"/>
                <w:vertAlign w:val="superscript"/>
              </w:rPr>
              <w:t>(6)</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85,000</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85,000</w:t>
            </w:r>
          </w:p>
        </w:tc>
        <w:tc>
          <w:tcPr>
            <w:tcW w:w="4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-2813685</wp:posOffset>
            </wp:positionV>
            <wp:extent cx="342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-2813685</wp:posOffset>
            </wp:positionV>
            <wp:extent cx="342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-2813685</wp:posOffset>
            </wp:positionV>
            <wp:extent cx="342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-2813685</wp:posOffset>
            </wp:positionV>
            <wp:extent cx="3429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-2813685</wp:posOffset>
            </wp:positionV>
            <wp:extent cx="3429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-2813685</wp:posOffset>
            </wp:positionV>
            <wp:extent cx="342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-2813685</wp:posOffset>
            </wp:positionV>
            <wp:extent cx="3429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-2813685</wp:posOffset>
            </wp:positionV>
            <wp:extent cx="3429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5" w:name="page116"/>
    <w:bookmarkEnd w:id="115"/>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6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15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Beneficially  Common</w:t>
            </w:r>
          </w:p>
        </w:tc>
        <w:tc>
          <w:tcPr>
            <w:tcW w:w="230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Number of  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160" w:type="dxa"/>
            <w:vAlign w:val="bottom"/>
            <w:gridSpan w:val="3"/>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Adam L. Reeder</w:t>
            </w:r>
            <w:r>
              <w:rPr>
                <w:rFonts w:ascii="Arial" w:cs="Arial" w:eastAsia="Arial" w:hAnsi="Arial"/>
                <w:sz w:val="26"/>
                <w:szCs w:val="26"/>
                <w:color w:val="auto"/>
                <w:vertAlign w:val="superscript"/>
              </w:rPr>
              <w:t>(7)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Aguila Ventures LLC</w:t>
            </w:r>
            <w:r>
              <w:rPr>
                <w:rFonts w:ascii="Arial" w:cs="Arial" w:eastAsia="Arial" w:hAnsi="Arial"/>
                <w:sz w:val="26"/>
                <w:szCs w:val="26"/>
                <w:color w:val="auto"/>
                <w:vertAlign w:val="superscript"/>
              </w:rPr>
              <w:t>(8)</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AHPPCB Legacy Trust dated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February 1, 2014</w:t>
            </w:r>
            <w:r>
              <w:rPr>
                <w:rFonts w:ascii="Arial" w:cs="Arial" w:eastAsia="Arial" w:hAnsi="Arial"/>
                <w:sz w:val="26"/>
                <w:szCs w:val="26"/>
                <w:color w:val="auto"/>
                <w:vertAlign w:val="superscript"/>
              </w:rPr>
              <w:t>(9)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Alasdair I.C. Grassie 2012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(10)</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Amer Bisat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Ansari 3 Twelve LLC II</w:t>
            </w:r>
            <w:r>
              <w:rPr>
                <w:rFonts w:ascii="Arial" w:cs="Arial" w:eastAsia="Arial" w:hAnsi="Arial"/>
                <w:sz w:val="26"/>
                <w:szCs w:val="26"/>
                <w:color w:val="auto"/>
                <w:vertAlign w:val="superscript"/>
              </w:rPr>
              <w:t>(11)</w:t>
            </w:r>
          </w:p>
        </w:tc>
        <w:tc>
          <w:tcPr>
            <w:tcW w:w="720" w:type="dxa"/>
            <w:vAlign w:val="bottom"/>
          </w:tcPr>
          <w:p>
            <w:pPr>
              <w:jc w:val="right"/>
              <w:spacing w:after="0"/>
              <w:rPr>
                <w:sz w:val="20"/>
                <w:szCs w:val="20"/>
                <w:color w:val="auto"/>
              </w:rPr>
            </w:pPr>
            <w:r>
              <w:rPr>
                <w:rFonts w:ascii="Arial" w:cs="Arial" w:eastAsia="Arial" w:hAnsi="Arial"/>
                <w:sz w:val="16"/>
                <w:szCs w:val="16"/>
                <w:color w:val="auto"/>
              </w:rPr>
              <w:t>180,000</w:t>
            </w:r>
          </w:p>
        </w:tc>
        <w:tc>
          <w:tcPr>
            <w:tcW w:w="60" w:type="dxa"/>
            <w:vAlign w:val="bottom"/>
          </w:tcPr>
          <w:p>
            <w:pPr>
              <w:spacing w:after="0"/>
              <w:rPr>
                <w:sz w:val="24"/>
                <w:szCs w:val="24"/>
                <w:color w:val="auto"/>
              </w:rPr>
            </w:pPr>
          </w:p>
        </w:tc>
        <w:tc>
          <w:tcPr>
            <w:tcW w:w="720" w:type="dxa"/>
            <w:vAlign w:val="bottom"/>
          </w:tcPr>
          <w:p>
            <w:pPr>
              <w:jc w:val="right"/>
              <w:ind w:right="60"/>
              <w:spacing w:after="0"/>
              <w:rPr>
                <w:sz w:val="20"/>
                <w:szCs w:val="20"/>
                <w:color w:val="auto"/>
              </w:rPr>
            </w:pPr>
            <w:r>
              <w:rPr>
                <w:rFonts w:ascii="Arial" w:cs="Arial" w:eastAsia="Arial" w:hAnsi="Arial"/>
                <w:sz w:val="16"/>
                <w:szCs w:val="16"/>
                <w:color w:val="auto"/>
              </w:rPr>
              <w:t>91,666</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91,666</w:t>
            </w:r>
          </w:p>
        </w:tc>
        <w:tc>
          <w:tcPr>
            <w:tcW w:w="60" w:type="dxa"/>
            <w:vAlign w:val="bottom"/>
          </w:tcPr>
          <w:p>
            <w:pPr>
              <w:spacing w:after="0"/>
              <w:rPr>
                <w:sz w:val="24"/>
                <w:szCs w:val="24"/>
                <w:color w:val="auto"/>
              </w:rPr>
            </w:pP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 Anthony</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Aquila</w:t>
            </w:r>
            <w:r>
              <w:rPr>
                <w:rFonts w:ascii="Arial" w:cs="Arial" w:eastAsia="Arial" w:hAnsi="Arial"/>
                <w:sz w:val="26"/>
                <w:szCs w:val="26"/>
                <w:color w:val="auto"/>
                <w:vertAlign w:val="superscript"/>
              </w:rPr>
              <w:t>(12)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Asia Pacific On-Line</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Limited</w:t>
            </w:r>
            <w:r>
              <w:rPr>
                <w:rFonts w:ascii="Arial" w:cs="Arial" w:eastAsia="Arial" w:hAnsi="Arial"/>
                <w:sz w:val="26"/>
                <w:szCs w:val="26"/>
                <w:color w:val="auto"/>
                <w:vertAlign w:val="superscript"/>
              </w:rPr>
              <w:t>(13)</w:t>
            </w:r>
          </w:p>
        </w:tc>
        <w:tc>
          <w:tcPr>
            <w:tcW w:w="720" w:type="dxa"/>
            <w:vAlign w:val="bottom"/>
          </w:tcPr>
          <w:p>
            <w:pPr>
              <w:jc w:val="right"/>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47"/>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Monashee Investment</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Management, LLC</w:t>
            </w:r>
            <w:r>
              <w:rPr>
                <w:rFonts w:ascii="Arial" w:cs="Arial" w:eastAsia="Arial" w:hAnsi="Arial"/>
                <w:sz w:val="26"/>
                <w:szCs w:val="26"/>
                <w:color w:val="auto"/>
                <w:vertAlign w:val="superscript"/>
              </w:rPr>
              <w:t>(14)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Bernardino Colonna</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Cavenham Private Equity and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Directs</w:t>
            </w:r>
            <w:r>
              <w:rPr>
                <w:rFonts w:ascii="Arial" w:cs="Arial" w:eastAsia="Arial" w:hAnsi="Arial"/>
                <w:sz w:val="26"/>
                <w:szCs w:val="26"/>
                <w:color w:val="auto"/>
                <w:vertAlign w:val="superscript"/>
              </w:rPr>
              <w:t>(15)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w w:val="99"/>
              </w:rPr>
              <w:t>Citadel Multi-Strategy Equities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Master Fund Ltd.</w:t>
            </w:r>
            <w:r>
              <w:rPr>
                <w:rFonts w:ascii="Arial" w:cs="Arial" w:eastAsia="Arial" w:hAnsi="Arial"/>
                <w:sz w:val="26"/>
                <w:szCs w:val="26"/>
                <w:color w:val="auto"/>
                <w:vertAlign w:val="superscript"/>
              </w:rPr>
              <w:t>(16)</w:t>
            </w:r>
          </w:p>
        </w:tc>
        <w:tc>
          <w:tcPr>
            <w:tcW w:w="720" w:type="dxa"/>
            <w:vAlign w:val="bottom"/>
          </w:tcPr>
          <w:p>
            <w:pPr>
              <w:jc w:val="right"/>
              <w:spacing w:after="0"/>
              <w:rPr>
                <w:sz w:val="20"/>
                <w:szCs w:val="20"/>
                <w:color w:val="auto"/>
              </w:rPr>
            </w:pPr>
            <w:r>
              <w:rPr>
                <w:rFonts w:ascii="Arial" w:cs="Arial" w:eastAsia="Arial" w:hAnsi="Arial"/>
                <w:sz w:val="16"/>
                <w:szCs w:val="16"/>
                <w:color w:val="auto"/>
              </w:rPr>
              <w:t>750,000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Behdad Eghbali</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1,225,000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Jose E. Feliciano</w:t>
            </w:r>
          </w:p>
        </w:tc>
        <w:tc>
          <w:tcPr>
            <w:tcW w:w="720" w:type="dxa"/>
            <w:vAlign w:val="bottom"/>
          </w:tcPr>
          <w:p>
            <w:pPr>
              <w:jc w:val="right"/>
              <w:spacing w:after="0"/>
              <w:rPr>
                <w:sz w:val="20"/>
                <w:szCs w:val="20"/>
                <w:color w:val="auto"/>
              </w:rPr>
            </w:pPr>
            <w:r>
              <w:rPr>
                <w:rFonts w:ascii="Arial" w:cs="Arial" w:eastAsia="Arial" w:hAnsi="Arial"/>
                <w:sz w:val="16"/>
                <w:szCs w:val="16"/>
                <w:color w:val="auto"/>
              </w:rPr>
              <w:t>625,000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625,000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Craig Schlanger Trust UAD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540" w:type="dxa"/>
            <w:vAlign w:val="bottom"/>
            <w:shd w:val="clear" w:color="auto" w:fill="CCEEFF"/>
          </w:tcPr>
          <w:p>
            <w:pPr>
              <w:ind w:left="160"/>
              <w:spacing w:after="0" w:line="281" w:lineRule="exact"/>
              <w:rPr>
                <w:sz w:val="20"/>
                <w:szCs w:val="20"/>
                <w:color w:val="auto"/>
              </w:rPr>
            </w:pPr>
            <w:r>
              <w:rPr>
                <w:rFonts w:ascii="Arial" w:cs="Arial" w:eastAsia="Arial" w:hAnsi="Arial"/>
                <w:sz w:val="16"/>
                <w:szCs w:val="16"/>
                <w:color w:val="auto"/>
              </w:rPr>
              <w:t>8/31/1979</w:t>
            </w:r>
            <w:r>
              <w:rPr>
                <w:rFonts w:ascii="Arial" w:cs="Arial" w:eastAsia="Arial" w:hAnsi="Arial"/>
                <w:sz w:val="26"/>
                <w:szCs w:val="26"/>
                <w:color w:val="auto"/>
                <w:vertAlign w:val="superscript"/>
              </w:rPr>
              <w:t>(17)</w:t>
            </w:r>
          </w:p>
        </w:tc>
        <w:tc>
          <w:tcPr>
            <w:tcW w:w="5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CVI Investments, Inc.</w:t>
            </w:r>
            <w:r>
              <w:rPr>
                <w:rFonts w:ascii="Arial" w:cs="Arial" w:eastAsia="Arial" w:hAnsi="Arial"/>
                <w:sz w:val="26"/>
                <w:szCs w:val="26"/>
                <w:color w:val="auto"/>
                <w:vertAlign w:val="superscript"/>
              </w:rPr>
              <w:t>(18)</w:t>
            </w:r>
          </w:p>
        </w:tc>
        <w:tc>
          <w:tcPr>
            <w:tcW w:w="720" w:type="dxa"/>
            <w:vAlign w:val="bottom"/>
          </w:tcPr>
          <w:p>
            <w:pPr>
              <w:jc w:val="right"/>
              <w:spacing w:after="0"/>
              <w:rPr>
                <w:sz w:val="20"/>
                <w:szCs w:val="20"/>
                <w:color w:val="auto"/>
              </w:rPr>
            </w:pPr>
            <w:r>
              <w:rPr>
                <w:rFonts w:ascii="Arial" w:cs="Arial" w:eastAsia="Arial" w:hAnsi="Arial"/>
                <w:sz w:val="16"/>
                <w:szCs w:val="16"/>
                <w:color w:val="auto"/>
              </w:rPr>
              <w:t>600,000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Darren Lazarus</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David M. Baron</w:t>
            </w:r>
            <w:r>
              <w:rPr>
                <w:rFonts w:ascii="Arial" w:cs="Arial" w:eastAsia="Arial" w:hAnsi="Arial"/>
                <w:sz w:val="26"/>
                <w:szCs w:val="26"/>
                <w:color w:val="auto"/>
                <w:vertAlign w:val="superscript"/>
              </w:rPr>
              <w:t>(19)</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David Mayer de Rothschild</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David Morrill</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David Todd Posen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Debra Shemesh-Joester</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Doug Kaplan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Eric Aroesty</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Eric Hirschfield</w:t>
            </w:r>
            <w:r>
              <w:rPr>
                <w:rFonts w:ascii="Arial" w:cs="Arial" w:eastAsia="Arial" w:hAnsi="Arial"/>
                <w:sz w:val="26"/>
                <w:szCs w:val="26"/>
                <w:color w:val="auto"/>
                <w:vertAlign w:val="superscript"/>
              </w:rPr>
              <w:t>(20)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Euan C.A. Grassie 2012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(21)</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Federated Funds</w:t>
            </w:r>
            <w:r>
              <w:rPr>
                <w:rFonts w:ascii="Arial" w:cs="Arial" w:eastAsia="Arial" w:hAnsi="Arial"/>
                <w:sz w:val="26"/>
                <w:szCs w:val="26"/>
                <w:color w:val="auto"/>
                <w:vertAlign w:val="superscript"/>
              </w:rPr>
              <w:t>(22)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Final Word Investments</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(23)</w:t>
            </w:r>
          </w:p>
        </w:tc>
        <w:tc>
          <w:tcPr>
            <w:tcW w:w="720" w:type="dxa"/>
            <w:vAlign w:val="bottom"/>
          </w:tcPr>
          <w:p>
            <w:pPr>
              <w:jc w:val="right"/>
              <w:spacing w:after="0"/>
              <w:rPr>
                <w:sz w:val="20"/>
                <w:szCs w:val="20"/>
                <w:color w:val="auto"/>
              </w:rPr>
            </w:pPr>
            <w:r>
              <w:rPr>
                <w:rFonts w:ascii="Arial" w:cs="Arial" w:eastAsia="Arial" w:hAnsi="Arial"/>
                <w:sz w:val="16"/>
                <w:szCs w:val="16"/>
                <w:color w:val="auto"/>
              </w:rPr>
              <w:t>40,000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Granite Point Master Fund,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32"/>
                <w:szCs w:val="32"/>
                <w:color w:val="auto"/>
                <w:vertAlign w:val="subscript"/>
              </w:rPr>
              <w:t>LP</w:t>
            </w:r>
            <w:r>
              <w:rPr>
                <w:rFonts w:ascii="Arial" w:cs="Arial" w:eastAsia="Arial" w:hAnsi="Arial"/>
                <w:sz w:val="13"/>
                <w:szCs w:val="13"/>
                <w:color w:val="auto"/>
              </w:rPr>
              <w:t>(24)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Gregor C.A. Grassie 2012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(25)</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4"/>
              </w:rPr>
              <w:t>GS+A Global Special Situations</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32"/>
                <w:szCs w:val="32"/>
                <w:color w:val="auto"/>
                <w:vertAlign w:val="subscript"/>
              </w:rPr>
              <w:t>Fund</w:t>
            </w:r>
            <w:r>
              <w:rPr>
                <w:rFonts w:ascii="Arial" w:cs="Arial" w:eastAsia="Arial" w:hAnsi="Arial"/>
                <w:sz w:val="13"/>
                <w:szCs w:val="13"/>
                <w:color w:val="auto"/>
              </w:rPr>
              <w:t>(26)</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Harbert Stoneview Master</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Fund, Ltd.</w:t>
            </w:r>
            <w:r>
              <w:rPr>
                <w:rFonts w:ascii="Arial" w:cs="Arial" w:eastAsia="Arial" w:hAnsi="Arial"/>
                <w:sz w:val="26"/>
                <w:szCs w:val="26"/>
                <w:color w:val="auto"/>
                <w:vertAlign w:val="superscript"/>
              </w:rPr>
              <w:t>(27)</w:t>
            </w:r>
          </w:p>
        </w:tc>
        <w:tc>
          <w:tcPr>
            <w:tcW w:w="720" w:type="dxa"/>
            <w:vAlign w:val="bottom"/>
          </w:tcPr>
          <w:p>
            <w:pPr>
              <w:jc w:val="right"/>
              <w:spacing w:after="0"/>
              <w:rPr>
                <w:sz w:val="20"/>
                <w:szCs w:val="20"/>
                <w:color w:val="auto"/>
              </w:rPr>
            </w:pPr>
            <w:r>
              <w:rPr>
                <w:rFonts w:ascii="Arial" w:cs="Arial" w:eastAsia="Arial" w:hAnsi="Arial"/>
                <w:sz w:val="16"/>
                <w:szCs w:val="16"/>
                <w:color w:val="auto"/>
              </w:rPr>
              <w:t>150,000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Homer Parkhill</w:t>
            </w:r>
            <w:r>
              <w:rPr>
                <w:rFonts w:ascii="Arial" w:cs="Arial" w:eastAsia="Arial" w:hAnsi="Arial"/>
                <w:sz w:val="26"/>
                <w:szCs w:val="26"/>
                <w:color w:val="auto"/>
                <w:vertAlign w:val="superscript"/>
              </w:rPr>
              <w:t>(28)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Hoplite Capital Series LLC –</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Kerdos</w:t>
            </w:r>
            <w:r>
              <w:rPr>
                <w:rFonts w:ascii="Arial" w:cs="Arial" w:eastAsia="Arial" w:hAnsi="Arial"/>
                <w:sz w:val="26"/>
                <w:szCs w:val="26"/>
                <w:color w:val="auto"/>
                <w:vertAlign w:val="superscript"/>
              </w:rPr>
              <w:t>(29)</w:t>
            </w:r>
          </w:p>
        </w:tc>
        <w:tc>
          <w:tcPr>
            <w:tcW w:w="720" w:type="dxa"/>
            <w:vAlign w:val="bottom"/>
          </w:tcPr>
          <w:p>
            <w:pPr>
              <w:jc w:val="right"/>
              <w:spacing w:after="0"/>
              <w:rPr>
                <w:sz w:val="20"/>
                <w:szCs w:val="20"/>
                <w:color w:val="auto"/>
              </w:rPr>
            </w:pPr>
            <w:r>
              <w:rPr>
                <w:rFonts w:ascii="Arial" w:cs="Arial" w:eastAsia="Arial" w:hAnsi="Arial"/>
                <w:sz w:val="16"/>
                <w:szCs w:val="16"/>
                <w:color w:val="auto"/>
              </w:rPr>
              <w:t>275,000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Interward Capital Corp</w:t>
            </w:r>
            <w:r>
              <w:rPr>
                <w:rFonts w:ascii="Arial" w:cs="Arial" w:eastAsia="Arial" w:hAnsi="Arial"/>
                <w:sz w:val="26"/>
                <w:szCs w:val="26"/>
                <w:color w:val="auto"/>
                <w:vertAlign w:val="superscript"/>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James Ben</w:t>
            </w:r>
            <w:r>
              <w:rPr>
                <w:rFonts w:ascii="Arial" w:cs="Arial" w:eastAsia="Arial" w:hAnsi="Arial"/>
                <w:sz w:val="26"/>
                <w:szCs w:val="26"/>
                <w:color w:val="auto"/>
                <w:vertAlign w:val="superscript"/>
              </w:rPr>
              <w:t>(31)</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James Neissa</w:t>
            </w:r>
            <w:r>
              <w:rPr>
                <w:rFonts w:ascii="Arial" w:cs="Arial" w:eastAsia="Arial" w:hAnsi="Arial"/>
                <w:sz w:val="26"/>
                <w:szCs w:val="26"/>
                <w:color w:val="auto"/>
                <w:vertAlign w:val="superscript"/>
              </w:rPr>
              <w:t>(32)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-9368790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-9368790</wp:posOffset>
            </wp:positionV>
            <wp:extent cx="342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-9368790</wp:posOffset>
            </wp:positionV>
            <wp:extent cx="342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-9368790</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-9368790</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-9368790</wp:posOffset>
            </wp:positionV>
            <wp:extent cx="342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-9368790</wp:posOffset>
            </wp:positionV>
            <wp:extent cx="342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-9368790</wp:posOffset>
            </wp:positionV>
            <wp:extent cx="342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91" w:orient="portrait"/>
          <w:cols w:equalWidth="0" w:num="1">
            <w:col w:w="9019"/>
          </w:cols>
          <w:pgMar w:left="1440" w:top="262" w:right="1440" w:bottom="0" w:gutter="0" w:footer="0" w:header="0"/>
        </w:sectPr>
      </w:pPr>
    </w:p>
    <w:bookmarkStart w:id="116" w:name="page117"/>
    <w:bookmarkEnd w:id="116"/>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7" w:name="page118"/>
    <w:bookmarkEnd w:id="117"/>
    <w:tbl>
      <w:tblPr>
        <w:tblLayout w:type="fixed"/>
        <w:tblInd w:w="300" w:type="dxa"/>
        <w:tblCellMar>
          <w:top w:w="0" w:type="dxa"/>
          <w:left w:w="0" w:type="dxa"/>
          <w:bottom w:w="0" w:type="dxa"/>
          <w:right w:w="0" w:type="dxa"/>
        </w:tblCellMar>
      </w:tblPr>
      <w:tr>
        <w:trPr>
          <w:trHeight w:val="161"/>
        </w:trPr>
        <w:tc>
          <w:tcPr>
            <w:tcW w:w="216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w:t>
            </w:r>
          </w:p>
        </w:tc>
        <w:tc>
          <w:tcPr>
            <w:tcW w:w="60" w:type="dxa"/>
            <w:vAlign w:val="bottom"/>
          </w:tcPr>
          <w:p>
            <w:pPr>
              <w:spacing w:after="0"/>
              <w:rPr>
                <w:sz w:val="3"/>
                <w:szCs w:val="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line="20" w:lineRule="exact"/>
              <w:rPr>
                <w:sz w:val="1"/>
                <w:szCs w:val="1"/>
                <w:color w:val="auto"/>
              </w:rPr>
            </w:pPr>
          </w:p>
        </w:tc>
      </w:tr>
      <w:tr>
        <w:trPr>
          <w:trHeight w:val="186"/>
        </w:trPr>
        <w:tc>
          <w:tcPr>
            <w:tcW w:w="2160" w:type="dxa"/>
            <w:vAlign w:val="bottom"/>
            <w:gridSpan w:val="3"/>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Jeffrey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Jonathan Jagid</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Joshua Jagid</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Joshua Samuelson</w:t>
            </w:r>
          </w:p>
        </w:tc>
        <w:tc>
          <w:tcPr>
            <w:tcW w:w="720" w:type="dxa"/>
            <w:vAlign w:val="bottom"/>
          </w:tcPr>
          <w:p>
            <w:pPr>
              <w:jc w:val="right"/>
              <w:spacing w:after="0"/>
              <w:rPr>
                <w:sz w:val="20"/>
                <w:szCs w:val="20"/>
                <w:color w:val="auto"/>
              </w:rPr>
            </w:pPr>
            <w:r>
              <w:rPr>
                <w:rFonts w:ascii="Arial" w:cs="Arial" w:eastAsia="Arial" w:hAnsi="Arial"/>
                <w:sz w:val="16"/>
                <w:szCs w:val="16"/>
                <w:color w:val="auto"/>
              </w:rPr>
              <w:t>91,250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91,250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Kaitlin Carey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Katz 2014 Limited</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Partnership</w:t>
            </w:r>
            <w:r>
              <w:rPr>
                <w:rFonts w:ascii="Arial" w:cs="Arial" w:eastAsia="Arial" w:hAnsi="Arial"/>
                <w:sz w:val="26"/>
                <w:szCs w:val="26"/>
                <w:color w:val="auto"/>
                <w:vertAlign w:val="superscript"/>
              </w:rPr>
              <w:t>(33)</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1"/>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Keith F. Overlander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Lachlan S.H. Grassie 2012</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Delaware Trust</w:t>
            </w:r>
            <w:r>
              <w:rPr>
                <w:rFonts w:ascii="Arial" w:cs="Arial" w:eastAsia="Arial" w:hAnsi="Arial"/>
                <w:sz w:val="26"/>
                <w:szCs w:val="26"/>
                <w:color w:val="auto"/>
                <w:vertAlign w:val="superscript"/>
              </w:rPr>
              <w:t>(34)</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Landis Capital LLC</w:t>
            </w:r>
            <w:r>
              <w:rPr>
                <w:rFonts w:ascii="Arial" w:cs="Arial" w:eastAsia="Arial" w:hAnsi="Arial"/>
                <w:sz w:val="26"/>
                <w:szCs w:val="26"/>
                <w:color w:val="auto"/>
                <w:vertAlign w:val="superscript"/>
              </w:rPr>
              <w:t>(35)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Laurence Russian</w:t>
            </w: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Laurence Schreiber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Entities affiliated with Luxor</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Capital</w:t>
            </w:r>
            <w:r>
              <w:rPr>
                <w:rFonts w:ascii="Arial" w:cs="Arial" w:eastAsia="Arial" w:hAnsi="Arial"/>
                <w:sz w:val="26"/>
                <w:szCs w:val="26"/>
                <w:color w:val="auto"/>
                <w:vertAlign w:val="superscript"/>
              </w:rPr>
              <w:t>(36)</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5,147,524</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369,756</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2,700,000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2,447,524</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3.84%</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369,756</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Entities affiliated with</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Manatuck Hill</w:t>
            </w:r>
            <w:r>
              <w:rPr>
                <w:rFonts w:ascii="Arial" w:cs="Arial" w:eastAsia="Arial" w:hAnsi="Arial"/>
                <w:sz w:val="26"/>
                <w:szCs w:val="26"/>
                <w:color w:val="auto"/>
                <w:vertAlign w:val="superscript"/>
              </w:rPr>
              <w:t>(37)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Marc Sontrop</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Matthew Tomasino</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Measure 8 Full Spectrum,</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LP</w:t>
            </w:r>
            <w:r>
              <w:rPr>
                <w:rFonts w:ascii="Arial" w:cs="Arial" w:eastAsia="Arial" w:hAnsi="Arial"/>
                <w:sz w:val="13"/>
                <w:szCs w:val="13"/>
                <w:color w:val="auto"/>
              </w:rPr>
              <w:t>(38)</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Ninepoint Alternative Health</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Fund</w:t>
            </w:r>
            <w:r>
              <w:rPr>
                <w:rFonts w:ascii="Arial" w:cs="Arial" w:eastAsia="Arial" w:hAnsi="Arial"/>
                <w:sz w:val="26"/>
                <w:szCs w:val="26"/>
                <w:color w:val="auto"/>
                <w:vertAlign w:val="superscript"/>
              </w:rPr>
              <w:t>(39)</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w w:val="96"/>
              </w:rPr>
              <w:t>Paul A. Halpern Trust date July</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1540" w:type="dxa"/>
            <w:vAlign w:val="bottom"/>
          </w:tcPr>
          <w:p>
            <w:pPr>
              <w:ind w:left="160"/>
              <w:spacing w:after="0" w:line="281" w:lineRule="exact"/>
              <w:rPr>
                <w:sz w:val="20"/>
                <w:szCs w:val="20"/>
                <w:color w:val="auto"/>
              </w:rPr>
            </w:pPr>
            <w:r>
              <w:rPr>
                <w:rFonts w:ascii="Arial" w:cs="Arial" w:eastAsia="Arial" w:hAnsi="Arial"/>
                <w:sz w:val="16"/>
                <w:szCs w:val="16"/>
                <w:color w:val="auto"/>
              </w:rPr>
              <w:t>24, 2000</w:t>
            </w:r>
            <w:r>
              <w:rPr>
                <w:rFonts w:ascii="Arial" w:cs="Arial" w:eastAsia="Arial" w:hAnsi="Arial"/>
                <w:sz w:val="26"/>
                <w:szCs w:val="26"/>
                <w:color w:val="auto"/>
                <w:vertAlign w:val="superscript"/>
              </w:rPr>
              <w:t>(40)</w:t>
            </w: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Perch Bay Group, LLC</w:t>
            </w:r>
            <w:r>
              <w:rPr>
                <w:rFonts w:ascii="Arial" w:cs="Arial" w:eastAsia="Arial" w:hAnsi="Arial"/>
                <w:sz w:val="26"/>
                <w:szCs w:val="26"/>
                <w:color w:val="auto"/>
                <w:vertAlign w:val="superscript"/>
              </w:rPr>
              <w:t>(41)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Peter J. Moses</w:t>
            </w:r>
            <w:r>
              <w:rPr>
                <w:rFonts w:ascii="Arial" w:cs="Arial" w:eastAsia="Arial" w:hAnsi="Arial"/>
                <w:sz w:val="26"/>
                <w:szCs w:val="26"/>
                <w:color w:val="auto"/>
                <w:vertAlign w:val="superscript"/>
              </w:rPr>
              <w:t>(42)</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8"/>
              </w:rPr>
              <w:t>Entities affiliated with the Polar</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Funds</w:t>
            </w:r>
            <w:r>
              <w:rPr>
                <w:rFonts w:ascii="Arial" w:cs="Arial" w:eastAsia="Arial" w:hAnsi="Arial"/>
                <w:sz w:val="26"/>
                <w:szCs w:val="26"/>
                <w:color w:val="auto"/>
                <w:vertAlign w:val="superscript"/>
              </w:rPr>
              <w:t>(43)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1,500,000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Ponya Asset Management</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(44)</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Ray E. Newton III Revocable</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1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Trust UAD 10/11/12 as</w:t>
            </w: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amended 7/23/19</w:t>
            </w:r>
            <w:r>
              <w:rPr>
                <w:rFonts w:ascii="Arial" w:cs="Arial" w:eastAsia="Arial" w:hAnsi="Arial"/>
                <w:sz w:val="26"/>
                <w:szCs w:val="26"/>
                <w:color w:val="auto"/>
                <w:vertAlign w:val="superscript"/>
              </w:rPr>
              <w:t>(45)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7,550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Richard Goldman</w:t>
            </w: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15,000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Prager</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w w:val="92"/>
              </w:rPr>
              <w:t>Robinson Family Trust 2016</w:t>
            </w:r>
            <w:r>
              <w:rPr>
                <w:rFonts w:ascii="Arial" w:cs="Arial" w:eastAsia="Arial" w:hAnsi="Arial"/>
                <w:sz w:val="26"/>
                <w:szCs w:val="26"/>
                <w:color w:val="auto"/>
                <w:w w:val="92"/>
                <w:vertAlign w:val="superscript"/>
              </w:rPr>
              <w:t>(46)</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7"/>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Rock J. Eiden &amp; Sandra K.</w:t>
            </w: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1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6"/>
                <w:szCs w:val="16"/>
                <w:color w:val="auto"/>
              </w:rPr>
              <w:t>Eiden</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Rothschild &amp; Co US Inc.</w:t>
            </w:r>
            <w:r>
              <w:rPr>
                <w:rFonts w:ascii="Arial" w:cs="Arial" w:eastAsia="Arial" w:hAnsi="Arial"/>
                <w:sz w:val="26"/>
                <w:szCs w:val="26"/>
                <w:color w:val="auto"/>
                <w:vertAlign w:val="superscript"/>
              </w:rPr>
              <w:t>(47)</w:t>
            </w:r>
          </w:p>
        </w:tc>
        <w:tc>
          <w:tcPr>
            <w:tcW w:w="720" w:type="dxa"/>
            <w:vAlign w:val="bottom"/>
          </w:tcPr>
          <w:p>
            <w:pPr>
              <w:jc w:val="right"/>
              <w:spacing w:after="0"/>
              <w:rPr>
                <w:sz w:val="20"/>
                <w:szCs w:val="20"/>
                <w:color w:val="auto"/>
              </w:rPr>
            </w:pPr>
            <w:r>
              <w:rPr>
                <w:rFonts w:ascii="Arial" w:cs="Arial" w:eastAsia="Arial" w:hAnsi="Arial"/>
                <w:sz w:val="16"/>
                <w:szCs w:val="16"/>
                <w:color w:val="auto"/>
              </w:rPr>
              <w:t>190,000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9"/>
              </w:rPr>
              <w:t>Roystone Capital Master Fund</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16"/>
                <w:szCs w:val="16"/>
                <w:color w:val="auto"/>
              </w:rPr>
              <w:t>Ltd.</w:t>
            </w:r>
            <w:r>
              <w:rPr>
                <w:rFonts w:ascii="Arial" w:cs="Arial" w:eastAsia="Arial" w:hAnsi="Arial"/>
                <w:sz w:val="26"/>
                <w:szCs w:val="26"/>
                <w:color w:val="auto"/>
                <w:vertAlign w:val="superscript"/>
              </w:rPr>
              <w:t>(48)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699,437</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297,000</w:t>
            </w:r>
          </w:p>
        </w:tc>
        <w:tc>
          <w:tcPr>
            <w:tcW w:w="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49,437</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297,000</w:t>
            </w:r>
          </w:p>
        </w:tc>
        <w:tc>
          <w:tcPr>
            <w:tcW w:w="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Samantha Lewis</w:t>
            </w:r>
          </w:p>
        </w:tc>
        <w:tc>
          <w:tcPr>
            <w:tcW w:w="720" w:type="dxa"/>
            <w:vAlign w:val="bottom"/>
          </w:tcPr>
          <w:p>
            <w:pPr>
              <w:jc w:val="right"/>
              <w:spacing w:after="0"/>
              <w:rPr>
                <w:sz w:val="20"/>
                <w:szCs w:val="20"/>
                <w:color w:val="auto"/>
              </w:rPr>
            </w:pPr>
            <w:r>
              <w:rPr>
                <w:rFonts w:ascii="Arial" w:cs="Arial" w:eastAsia="Arial" w:hAnsi="Arial"/>
                <w:sz w:val="16"/>
                <w:szCs w:val="16"/>
                <w:color w:val="auto"/>
              </w:rPr>
              <w:t>2,000</w:t>
            </w:r>
          </w:p>
        </w:tc>
        <w:tc>
          <w:tcPr>
            <w:tcW w:w="60" w:type="dxa"/>
            <w:vAlign w:val="bottom"/>
          </w:tcPr>
          <w:p>
            <w:pPr>
              <w:spacing w:after="0"/>
              <w:rPr>
                <w:sz w:val="21"/>
                <w:szCs w:val="21"/>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Scott J. Taylor</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87,500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Entities affiliated with Pura</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Vida Investments, LLC</w:t>
            </w:r>
            <w:r>
              <w:rPr>
                <w:rFonts w:ascii="Arial" w:cs="Arial" w:eastAsia="Arial" w:hAnsi="Arial"/>
                <w:sz w:val="26"/>
                <w:szCs w:val="26"/>
                <w:color w:val="auto"/>
                <w:vertAlign w:val="superscript"/>
              </w:rPr>
              <w:t>(49)</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3,200,000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3,200,000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4"/>
                <w:szCs w:val="24"/>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Seawolf Capital LLC</w:t>
            </w:r>
            <w:r>
              <w:rPr>
                <w:rFonts w:ascii="Arial" w:cs="Arial" w:eastAsia="Arial" w:hAnsi="Arial"/>
                <w:sz w:val="26"/>
                <w:szCs w:val="26"/>
                <w:color w:val="auto"/>
                <w:vertAlign w:val="superscript"/>
              </w:rPr>
              <w:t>(50)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43,750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Entities affiliated with Senvest</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Management LLC</w:t>
            </w:r>
            <w:r>
              <w:rPr>
                <w:rFonts w:ascii="Arial" w:cs="Arial" w:eastAsia="Arial" w:hAnsi="Arial"/>
                <w:sz w:val="26"/>
                <w:szCs w:val="26"/>
                <w:color w:val="auto"/>
                <w:vertAlign w:val="superscript"/>
              </w:rPr>
              <w:t>(51)</w:t>
            </w:r>
          </w:p>
        </w:tc>
        <w:tc>
          <w:tcPr>
            <w:tcW w:w="720" w:type="dxa"/>
            <w:vAlign w:val="bottom"/>
          </w:tcPr>
          <w:p>
            <w:pPr>
              <w:jc w:val="right"/>
              <w:spacing w:after="0"/>
              <w:rPr>
                <w:sz w:val="20"/>
                <w:szCs w:val="20"/>
                <w:color w:val="auto"/>
              </w:rPr>
            </w:pPr>
            <w:r>
              <w:rPr>
                <w:rFonts w:ascii="Arial" w:cs="Arial" w:eastAsia="Arial" w:hAnsi="Arial"/>
                <w:sz w:val="16"/>
                <w:szCs w:val="16"/>
                <w:color w:val="auto"/>
                <w:w w:val="92"/>
              </w:rPr>
              <w:t>5,584,975</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3,468,682</w:t>
            </w:r>
          </w:p>
        </w:tc>
        <w:tc>
          <w:tcPr>
            <w:tcW w:w="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2"/>
              </w:rPr>
              <w:t>4,000,000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8"/>
              </w:rPr>
              <w:t>1,584,975</w:t>
            </w:r>
          </w:p>
        </w:tc>
        <w:tc>
          <w:tcPr>
            <w:tcW w:w="60" w:type="dxa"/>
            <w:vAlign w:val="bottom"/>
          </w:tcPr>
          <w:p>
            <w:pPr>
              <w:spacing w:after="0"/>
              <w:rPr>
                <w:sz w:val="24"/>
                <w:szCs w:val="24"/>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2.49%</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3,468,682</w:t>
            </w: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SOJE Fund LP</w:t>
            </w:r>
            <w:r>
              <w:rPr>
                <w:rFonts w:ascii="Arial" w:cs="Arial" w:eastAsia="Arial" w:hAnsi="Arial"/>
                <w:sz w:val="26"/>
                <w:szCs w:val="26"/>
                <w:color w:val="auto"/>
                <w:vertAlign w:val="superscript"/>
              </w:rPr>
              <w:t>(52)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65,625</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65,625</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SRC WM LP</w:t>
            </w:r>
            <w:r>
              <w:rPr>
                <w:rFonts w:ascii="Arial" w:cs="Arial" w:eastAsia="Arial" w:hAnsi="Arial"/>
                <w:sz w:val="26"/>
                <w:szCs w:val="26"/>
                <w:color w:val="auto"/>
                <w:vertAlign w:val="superscript"/>
              </w:rPr>
              <w:t>(53)</w:t>
            </w:r>
          </w:p>
        </w:tc>
        <w:tc>
          <w:tcPr>
            <w:tcW w:w="720" w:type="dxa"/>
            <w:vAlign w:val="bottom"/>
          </w:tcPr>
          <w:p>
            <w:pPr>
              <w:jc w:val="right"/>
              <w:spacing w:after="0"/>
              <w:rPr>
                <w:sz w:val="20"/>
                <w:szCs w:val="20"/>
                <w:color w:val="auto"/>
              </w:rPr>
            </w:pPr>
            <w:r>
              <w:rPr>
                <w:rFonts w:ascii="Arial" w:cs="Arial" w:eastAsia="Arial" w:hAnsi="Arial"/>
                <w:sz w:val="16"/>
                <w:szCs w:val="16"/>
                <w:color w:val="auto"/>
              </w:rPr>
              <w:t>500,000</w:t>
            </w:r>
          </w:p>
        </w:tc>
        <w:tc>
          <w:tcPr>
            <w:tcW w:w="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Stephen J. Antinelli</w:t>
            </w:r>
            <w:r>
              <w:rPr>
                <w:rFonts w:ascii="Arial" w:cs="Arial" w:eastAsia="Arial" w:hAnsi="Arial"/>
                <w:sz w:val="26"/>
                <w:szCs w:val="26"/>
                <w:color w:val="auto"/>
                <w:vertAlign w:val="superscript"/>
              </w:rPr>
              <w:t>(54)</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-9240520</wp:posOffset>
            </wp:positionV>
            <wp:extent cx="342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-9240520</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-9240520</wp:posOffset>
            </wp:positionV>
            <wp:extent cx="342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-9240520</wp:posOffset>
            </wp:positionV>
            <wp:extent cx="342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-9240520</wp:posOffset>
            </wp:positionV>
            <wp:extent cx="342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-9240520</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-9240520</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-9240520</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bookmarkStart w:id="118" w:name="page119"/>
    <w:bookmarkEnd w:id="118"/>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9" w:name="page120"/>
    <w:bookmarkEnd w:id="119"/>
    <w:tbl>
      <w:tblPr>
        <w:tblLayout w:type="fixed"/>
        <w:tblInd w:w="300" w:type="dxa"/>
        <w:tblCellMar>
          <w:top w:w="0" w:type="dxa"/>
          <w:left w:w="0" w:type="dxa"/>
          <w:bottom w:w="0" w:type="dxa"/>
          <w:right w:w="0" w:type="dxa"/>
        </w:tblCellMar>
      </w:tblPr>
      <w:tr>
        <w:trPr>
          <w:trHeight w:val="161"/>
        </w:trPr>
        <w:tc>
          <w:tcPr>
            <w:tcW w:w="2160" w:type="dxa"/>
            <w:vAlign w:val="bottom"/>
            <w:gridSpan w:val="3"/>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Shares of Class A</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80" w:type="dxa"/>
            <w:vAlign w:val="bottom"/>
            <w:gridSpan w:val="2"/>
            <w:vMerge w:val="continue"/>
          </w:tcPr>
          <w:p>
            <w:pPr>
              <w:spacing w:after="0"/>
              <w:rPr>
                <w:sz w:val="12"/>
                <w:szCs w:val="12"/>
                <w:color w:val="auto"/>
              </w:rPr>
            </w:pP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Class A of</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6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3"/>
                <w:szCs w:val="3"/>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160" w:type="dxa"/>
            <w:vAlign w:val="bottom"/>
            <w:gridSpan w:val="3"/>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Stuart Spodek</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32"/>
        </w:trPr>
        <w:tc>
          <w:tcPr>
            <w:tcW w:w="2160" w:type="dxa"/>
            <w:vAlign w:val="bottom"/>
            <w:gridSpan w:val="3"/>
          </w:tcPr>
          <w:p>
            <w:pPr>
              <w:spacing w:after="0"/>
              <w:rPr>
                <w:sz w:val="20"/>
                <w:szCs w:val="20"/>
                <w:color w:val="auto"/>
              </w:rPr>
            </w:pPr>
            <w:r>
              <w:rPr>
                <w:rFonts w:ascii="Arial" w:cs="Arial" w:eastAsia="Arial" w:hAnsi="Arial"/>
                <w:sz w:val="16"/>
                <w:szCs w:val="16"/>
                <w:color w:val="auto"/>
              </w:rPr>
              <w:t>Sunshine Charitable</w:t>
            </w: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tcPr>
          <w:p>
            <w:pPr>
              <w:ind w:left="160"/>
              <w:spacing w:after="0" w:line="281" w:lineRule="exact"/>
              <w:rPr>
                <w:sz w:val="20"/>
                <w:szCs w:val="20"/>
                <w:color w:val="auto"/>
              </w:rPr>
            </w:pPr>
            <w:r>
              <w:rPr>
                <w:rFonts w:ascii="Arial" w:cs="Arial" w:eastAsia="Arial" w:hAnsi="Arial"/>
                <w:sz w:val="16"/>
                <w:szCs w:val="16"/>
                <w:color w:val="auto"/>
              </w:rPr>
              <w:t>Foundation</w:t>
            </w:r>
            <w:r>
              <w:rPr>
                <w:rFonts w:ascii="Arial" w:cs="Arial" w:eastAsia="Arial" w:hAnsi="Arial"/>
                <w:sz w:val="26"/>
                <w:szCs w:val="26"/>
                <w:color w:val="auto"/>
                <w:vertAlign w:val="superscript"/>
              </w:rPr>
              <w:t>(55)</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60,000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Susan Nappan Cocke</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Tauro Investments, LLC</w:t>
            </w:r>
            <w:r>
              <w:rPr>
                <w:rFonts w:ascii="Arial" w:cs="Arial" w:eastAsia="Arial" w:hAnsi="Arial"/>
                <w:sz w:val="26"/>
                <w:szCs w:val="26"/>
                <w:color w:val="auto"/>
                <w:vertAlign w:val="superscript"/>
              </w:rPr>
              <w:t>(56)</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TCCS I, LP</w:t>
            </w:r>
            <w:r>
              <w:rPr>
                <w:rFonts w:ascii="Arial" w:cs="Arial" w:eastAsia="Arial" w:hAnsi="Arial"/>
                <w:sz w:val="26"/>
                <w:szCs w:val="26"/>
                <w:color w:val="auto"/>
                <w:vertAlign w:val="superscript"/>
              </w:rPr>
              <w:t>(57)</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Teak Fund, LP</w:t>
            </w:r>
            <w:r>
              <w:rPr>
                <w:rFonts w:ascii="Arial" w:cs="Arial" w:eastAsia="Arial" w:hAnsi="Arial"/>
                <w:sz w:val="26"/>
                <w:szCs w:val="26"/>
                <w:color w:val="auto"/>
                <w:vertAlign w:val="superscript"/>
              </w:rPr>
              <w:t>(58)</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70,000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70,000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Teton Fund, LP</w:t>
            </w:r>
            <w:r>
              <w:rPr>
                <w:rFonts w:ascii="Arial" w:cs="Arial" w:eastAsia="Arial" w:hAnsi="Arial"/>
                <w:sz w:val="26"/>
                <w:szCs w:val="26"/>
                <w:color w:val="auto"/>
                <w:vertAlign w:val="superscript"/>
              </w:rPr>
              <w:t>(59)</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tcPr>
          <w:p>
            <w:pPr>
              <w:spacing w:after="0"/>
              <w:rPr>
                <w:sz w:val="20"/>
                <w:szCs w:val="20"/>
                <w:color w:val="auto"/>
              </w:rPr>
            </w:pPr>
            <w:r>
              <w:rPr>
                <w:rFonts w:ascii="Arial" w:cs="Arial" w:eastAsia="Arial" w:hAnsi="Arial"/>
                <w:sz w:val="16"/>
                <w:szCs w:val="16"/>
                <w:color w:val="auto"/>
              </w:rPr>
              <w:t>The Vorfeld Family Trust</w:t>
            </w:r>
            <w:r>
              <w:rPr>
                <w:rFonts w:ascii="Arial" w:cs="Arial" w:eastAsia="Arial" w:hAnsi="Arial"/>
                <w:sz w:val="26"/>
                <w:szCs w:val="26"/>
                <w:color w:val="auto"/>
                <w:vertAlign w:val="superscript"/>
              </w:rPr>
              <w:t>(60)</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91"/>
        </w:trPr>
        <w:tc>
          <w:tcPr>
            <w:tcW w:w="2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Thomas Marino</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1"/>
        </w:trPr>
        <w:tc>
          <w:tcPr>
            <w:tcW w:w="2160" w:type="dxa"/>
            <w:vAlign w:val="bottom"/>
            <w:gridSpan w:val="3"/>
          </w:tcPr>
          <w:p>
            <w:pPr>
              <w:spacing w:after="0"/>
              <w:rPr>
                <w:sz w:val="20"/>
                <w:szCs w:val="20"/>
                <w:color w:val="auto"/>
              </w:rPr>
            </w:pPr>
            <w:r>
              <w:rPr>
                <w:rFonts w:ascii="Arial" w:cs="Arial" w:eastAsia="Arial" w:hAnsi="Arial"/>
                <w:sz w:val="16"/>
                <w:szCs w:val="16"/>
                <w:color w:val="auto"/>
              </w:rPr>
              <w:t>Troy Gregory</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81,000</w:t>
            </w:r>
          </w:p>
        </w:tc>
        <w:tc>
          <w:tcPr>
            <w:tcW w:w="60" w:type="dxa"/>
            <w:vAlign w:val="bottom"/>
          </w:tcPr>
          <w:p>
            <w:pPr>
              <w:spacing w:after="0"/>
              <w:rPr>
                <w:sz w:val="21"/>
                <w:szCs w:val="2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81,000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TLP Investment Partners</w:t>
            </w: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160" w:type="dxa"/>
            <w:vAlign w:val="bottom"/>
            <w:gridSpan w:val="3"/>
            <w:shd w:val="clear" w:color="auto" w:fill="CCEEFF"/>
          </w:tcPr>
          <w:p>
            <w:pPr>
              <w:ind w:left="160"/>
              <w:spacing w:after="0" w:line="281" w:lineRule="exact"/>
              <w:rPr>
                <w:sz w:val="20"/>
                <w:szCs w:val="20"/>
                <w:color w:val="auto"/>
              </w:rPr>
            </w:pPr>
            <w:r>
              <w:rPr>
                <w:rFonts w:ascii="Arial" w:cs="Arial" w:eastAsia="Arial" w:hAnsi="Arial"/>
                <w:sz w:val="32"/>
                <w:szCs w:val="32"/>
                <w:color w:val="auto"/>
                <w:vertAlign w:val="subscript"/>
              </w:rPr>
              <w:t>LLC</w:t>
            </w:r>
            <w:r>
              <w:rPr>
                <w:rFonts w:ascii="Arial" w:cs="Arial" w:eastAsia="Arial" w:hAnsi="Arial"/>
                <w:sz w:val="13"/>
                <w:szCs w:val="13"/>
                <w:color w:val="auto"/>
              </w:rPr>
              <w:t>(61)</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1"/>
        </w:trPr>
        <w:tc>
          <w:tcPr>
            <w:tcW w:w="2160" w:type="dxa"/>
            <w:vAlign w:val="bottom"/>
            <w:gridSpan w:val="3"/>
          </w:tcPr>
          <w:p>
            <w:pPr>
              <w:spacing w:after="0"/>
              <w:rPr>
                <w:sz w:val="20"/>
                <w:szCs w:val="20"/>
                <w:color w:val="auto"/>
              </w:rPr>
            </w:pPr>
            <w:r>
              <w:rPr>
                <w:rFonts w:ascii="Arial" w:cs="Arial" w:eastAsia="Arial" w:hAnsi="Arial"/>
                <w:sz w:val="16"/>
                <w:szCs w:val="16"/>
                <w:color w:val="auto"/>
              </w:rPr>
              <w:t>TUP Investments, L.P.</w:t>
            </w:r>
            <w:r>
              <w:rPr>
                <w:rFonts w:ascii="Arial" w:cs="Arial" w:eastAsia="Arial" w:hAnsi="Arial"/>
                <w:sz w:val="26"/>
                <w:szCs w:val="26"/>
                <w:color w:val="auto"/>
                <w:vertAlign w:val="superscript"/>
              </w:rPr>
              <w:t>(62)</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800,000</w:t>
            </w:r>
          </w:p>
        </w:tc>
        <w:tc>
          <w:tcPr>
            <w:tcW w:w="60" w:type="dxa"/>
            <w:vAlign w:val="bottom"/>
          </w:tcPr>
          <w:p>
            <w:pPr>
              <w:spacing w:after="0"/>
              <w:rPr>
                <w:sz w:val="24"/>
                <w:szCs w:val="2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800,000</w:t>
            </w:r>
          </w:p>
        </w:tc>
        <w:tc>
          <w:tcPr>
            <w:tcW w:w="4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10"/>
        </w:trPr>
        <w:tc>
          <w:tcPr>
            <w:tcW w:w="21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Vobren Limited</w:t>
            </w:r>
            <w:r>
              <w:rPr>
                <w:rFonts w:ascii="Arial" w:cs="Arial" w:eastAsia="Arial" w:hAnsi="Arial"/>
                <w:sz w:val="26"/>
                <w:szCs w:val="26"/>
                <w:color w:val="auto"/>
                <w:vertAlign w:val="superscript"/>
              </w:rPr>
              <w:t>(63)</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100,000</w:t>
            </w:r>
          </w:p>
        </w:tc>
        <w:tc>
          <w:tcPr>
            <w:tcW w:w="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100,000</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50"/>
        </w:trPr>
        <w:tc>
          <w:tcPr>
            <w:tcW w:w="2160" w:type="dxa"/>
            <w:vAlign w:val="bottom"/>
            <w:gridSpan w:val="3"/>
          </w:tcPr>
          <w:p>
            <w:pPr>
              <w:spacing w:after="0"/>
              <w:rPr>
                <w:sz w:val="20"/>
                <w:szCs w:val="20"/>
                <w:color w:val="auto"/>
              </w:rPr>
            </w:pPr>
            <w:r>
              <w:rPr>
                <w:rFonts w:ascii="Arial" w:cs="Arial" w:eastAsia="Arial" w:hAnsi="Arial"/>
                <w:sz w:val="16"/>
                <w:szCs w:val="16"/>
                <w:color w:val="auto"/>
              </w:rPr>
              <w:t>William James Pade III</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150,000</w:t>
            </w:r>
          </w:p>
        </w:tc>
        <w:tc>
          <w:tcPr>
            <w:tcW w:w="60" w:type="dxa"/>
            <w:vAlign w:val="bottom"/>
          </w:tcPr>
          <w:p>
            <w:pPr>
              <w:spacing w:after="0"/>
              <w:rPr>
                <w:sz w:val="21"/>
                <w:szCs w:val="21"/>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150,000</w:t>
            </w:r>
          </w:p>
        </w:tc>
        <w:tc>
          <w:tcPr>
            <w:tcW w:w="4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8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-2995930</wp:posOffset>
            </wp:positionV>
            <wp:extent cx="342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-2995930</wp:posOffset>
            </wp:positionV>
            <wp:extent cx="3429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-2995930</wp:posOffset>
            </wp:positionV>
            <wp:extent cx="3429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-2995930</wp:posOffset>
            </wp:positionV>
            <wp:extent cx="342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-2995930</wp:posOffset>
            </wp:positionV>
            <wp:extent cx="3429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2517140</wp:posOffset>
            </wp:positionH>
            <wp:positionV relativeFrom="paragraph">
              <wp:posOffset>-2995930</wp:posOffset>
            </wp:positionV>
            <wp:extent cx="3429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-2995930</wp:posOffset>
            </wp:positionV>
            <wp:extent cx="3429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-2995930</wp:posOffset>
            </wp:positionV>
            <wp:extent cx="3429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226695</wp:posOffset>
            </wp:positionV>
            <wp:extent cx="8229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6" w:lineRule="exact"/>
        <w:rPr>
          <w:sz w:val="20"/>
          <w:szCs w:val="20"/>
          <w:color w:val="auto"/>
        </w:rPr>
      </w:pPr>
    </w:p>
    <w:p>
      <w:pPr>
        <w:jc w:val="both"/>
        <w:ind w:left="640" w:right="299" w:hanging="348"/>
        <w:spacing w:after="0" w:line="228" w:lineRule="auto"/>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22" w:lineRule="exact"/>
        <w:rPr>
          <w:rFonts w:ascii="Arial" w:cs="Arial" w:eastAsia="Arial" w:hAnsi="Arial"/>
          <w:sz w:val="14"/>
          <w:szCs w:val="14"/>
          <w:color w:val="auto"/>
        </w:rPr>
      </w:pPr>
    </w:p>
    <w:p>
      <w:pPr>
        <w:jc w:val="both"/>
        <w:ind w:left="640" w:right="319" w:hanging="348"/>
        <w:spacing w:after="0" w:line="251" w:lineRule="auto"/>
        <w:tabs>
          <w:tab w:leader="none" w:pos="6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4" w:lineRule="exact"/>
        <w:rPr>
          <w:rFonts w:ascii="Arial" w:cs="Arial" w:eastAsia="Arial" w:hAnsi="Arial"/>
          <w:sz w:val="13"/>
          <w:szCs w:val="13"/>
          <w:color w:val="auto"/>
        </w:rPr>
      </w:pPr>
    </w:p>
    <w:p>
      <w:pPr>
        <w:jc w:val="both"/>
        <w:ind w:left="640" w:right="299" w:hanging="348"/>
        <w:spacing w:after="0" w:line="245" w:lineRule="auto"/>
        <w:tabs>
          <w:tab w:leader="none" w:pos="6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21" w:lineRule="exact"/>
        <w:rPr>
          <w:rFonts w:ascii="Arial" w:cs="Arial" w:eastAsia="Arial" w:hAnsi="Arial"/>
          <w:sz w:val="13"/>
          <w:szCs w:val="13"/>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Vince Maglio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Robert Josephson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Jaroslav Enrique Alonso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Sanjay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Mohsinuddin Ansari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8" w:lineRule="auto"/>
        <w:tabs>
          <w:tab w:leader="none" w:pos="64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w:t>
      </w:r>
    </w:p>
    <w:p>
      <w:pPr>
        <w:sectPr>
          <w:pgSz w:w="11900" w:h="16838" w:orient="portrait"/>
          <w:cols w:equalWidth="0" w:num="1">
            <w:col w:w="9019"/>
          </w:cols>
          <w:pgMar w:left="1440" w:top="262"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156845</wp:posOffset>
            </wp:positionV>
            <wp:extent cx="699516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23" w:lineRule="exact"/>
        <w:rPr>
          <w:sz w:val="20"/>
          <w:szCs w:val="20"/>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Kelly Yip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22"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Craig Schlanger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80"/>
        </w:numPr>
        <w:rPr>
          <w:rFonts w:ascii="Arial" w:cs="Arial" w:eastAsia="Arial" w:hAnsi="Arial"/>
          <w:sz w:val="13"/>
          <w:szCs w:val="13"/>
          <w:color w:val="auto"/>
        </w:rPr>
      </w:pPr>
      <w:r>
        <w:rPr>
          <w:rFonts w:ascii="Arial" w:cs="Arial" w:eastAsia="Arial" w:hAnsi="Arial"/>
          <w:sz w:val="13"/>
          <w:szCs w:val="13"/>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Budd S. Goldman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 Scott Bushley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Robert Fournier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319"/>
        <w:spacing w:after="0" w:line="264" w:lineRule="auto"/>
        <w:rPr>
          <w:sz w:val="20"/>
          <w:szCs w:val="20"/>
          <w:color w:val="auto"/>
        </w:rPr>
      </w:pPr>
      <w:r>
        <w:rPr>
          <w:rFonts w:ascii="Arial" w:cs="Arial" w:eastAsia="Arial" w:hAnsi="Arial"/>
          <w:sz w:val="13"/>
          <w:szCs w:val="13"/>
          <w:color w:val="auto"/>
        </w:rPr>
        <w:t>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6" w:lineRule="exact"/>
        <w:rPr>
          <w:sz w:val="20"/>
          <w:szCs w:val="20"/>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John T. Lkyouretzos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Marc Sontrop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29"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3"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Raanan Katz is the Partner of Katz 2014 Limited Partnership and may be deemed to be the beneficial owner of the Registrable Securities held by Katz 2014 Limited Partnership.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Kenneth Landis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22" w:lineRule="exact"/>
        <w:rPr>
          <w:rFonts w:ascii="Arial" w:cs="Arial" w:eastAsia="Arial" w:hAnsi="Arial"/>
          <w:sz w:val="13"/>
          <w:szCs w:val="13"/>
          <w:color w:val="auto"/>
        </w:rPr>
      </w:pPr>
    </w:p>
    <w:p>
      <w:pPr>
        <w:jc w:val="both"/>
        <w:ind w:left="640" w:right="319" w:hanging="348"/>
        <w:spacing w:after="0" w:line="238"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Justin Ort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Jayvee &amp; Co is the registered holder. The beneficial holder is Ninepoint Alternative Health Fund. Douglas Waterson has investment control through an investment advisory agreement.</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Paul A. Halpern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Curtis F. Brockelman, Jr.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John J Adair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Ray E. Newton III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Patrick Robinson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Rich Barrera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81"/>
        </w:numPr>
        <w:rPr>
          <w:rFonts w:ascii="Arial" w:cs="Arial" w:eastAsia="Arial" w:hAnsi="Arial"/>
          <w:sz w:val="13"/>
          <w:szCs w:val="13"/>
          <w:color w:val="auto"/>
        </w:rPr>
      </w:pPr>
      <w:r>
        <w:rPr>
          <w:rFonts w:ascii="Arial" w:cs="Arial" w:eastAsia="Arial" w:hAnsi="Arial"/>
          <w:sz w:val="13"/>
          <w:szCs w:val="13"/>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w:t>
      </w:r>
    </w:p>
    <w:p>
      <w:pPr>
        <w:spacing w:after="0" w:line="23" w:lineRule="exact"/>
        <w:rPr>
          <w:sz w:val="20"/>
          <w:szCs w:val="20"/>
          <w:color w:val="auto"/>
        </w:rPr>
      </w:pPr>
    </w:p>
    <w:p>
      <w:pPr>
        <w:jc w:val="both"/>
        <w:ind w:left="660" w:right="299"/>
        <w:spacing w:after="0" w:line="233" w:lineRule="auto"/>
        <w:rPr>
          <w:sz w:val="20"/>
          <w:szCs w:val="20"/>
          <w:color w:val="auto"/>
        </w:rPr>
      </w:pPr>
      <w:r>
        <w:rPr>
          <w:rFonts w:ascii="Arial" w:cs="Arial" w:eastAsia="Arial" w:hAnsi="Arial"/>
          <w:sz w:val="14"/>
          <w:szCs w:val="14"/>
          <w:color w:val="auto"/>
        </w:rPr>
        <w:t>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23" w:lineRule="exact"/>
        <w:rPr>
          <w:sz w:val="20"/>
          <w:szCs w:val="20"/>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Vincent Daniel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John J. Pinto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Peter Lee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82"/>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Scot Fischer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of Rodney Hodges and Fabrice Dupont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Pericles Spyrou, Sigthor Sigmarsson, Jan Rottiers and Melina Panagi are deemed to have power to vote or dispose of the Registrable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Certificate of Incorporation authorizes the issuance of 2,075,000,000 shares of capital stock, consisting of</w:t>
      </w:r>
    </w:p>
    <w:p>
      <w:pPr>
        <w:spacing w:after="0" w:line="46" w:lineRule="exact"/>
        <w:rPr>
          <w:sz w:val="20"/>
          <w:szCs w:val="20"/>
          <w:color w:val="auto"/>
        </w:rPr>
      </w:pPr>
    </w:p>
    <w:p>
      <w:pPr>
        <w:jc w:val="both"/>
        <w:ind w:left="300" w:right="299" w:hanging="8"/>
        <w:spacing w:after="0" w:line="271" w:lineRule="auto"/>
        <w:tabs>
          <w:tab w:leader="none" w:pos="557" w:val="left"/>
        </w:tabs>
        <w:numPr>
          <w:ilvl w:val="0"/>
          <w:numId w:val="83"/>
        </w:numPr>
        <w:rPr>
          <w:rFonts w:ascii="Arial" w:cs="Arial" w:eastAsia="Arial" w:hAnsi="Arial"/>
          <w:sz w:val="17"/>
          <w:szCs w:val="17"/>
          <w:color w:val="auto"/>
        </w:rPr>
      </w:pPr>
      <w:r>
        <w:rPr>
          <w:rFonts w:ascii="Arial" w:cs="Arial" w:eastAsia="Arial" w:hAnsi="Arial"/>
          <w:sz w:val="17"/>
          <w:szCs w:val="17"/>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June 16, 2021, there were (1) 63,738,563 shares of Class A Common Stock, (2) 65,502,347 shares of Class V Common Stock and no shares of preferred stock outstanding.</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ectPr>
          <w:pgSz w:w="11900" w:h="16838" w:orient="portrait"/>
          <w:cols w:equalWidth="0" w:num="1">
            <w:col w:w="9019"/>
          </w:cols>
          <w:pgMar w:left="1440" w:top="265"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3" w:lineRule="auto"/>
        <w:rPr>
          <w:sz w:val="20"/>
          <w:szCs w:val="20"/>
          <w:color w:val="auto"/>
        </w:rPr>
      </w:pPr>
      <w:r>
        <w:rPr>
          <w:rFonts w:ascii="Arial" w:cs="Arial" w:eastAsia="Arial" w:hAnsi="Arial"/>
          <w:sz w:val="16"/>
          <w:szCs w:val="16"/>
          <w:color w:val="auto"/>
        </w:rPr>
        <w:t>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agreed that as soon as practicable, but in no event later than 15 business days, after the Closing, we will use our reasonable best efforts to file with the SEC and have an effective registration statement for covering the issuance, under the Securities Act, of the shares of Class A Common Stock issuable upon exercise of the Public Warrants, and we will use our reasonable best efforts to cause the same to become effective within 60 business days after the Closing and to maintain the effectiveness of such registration statement, and a current prospectus relating thereto,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Once the Public Warrants become exercisable, 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5" w:lineRule="auto"/>
        <w:rPr>
          <w:sz w:val="20"/>
          <w:szCs w:val="20"/>
          <w:color w:val="auto"/>
        </w:rPr>
      </w:pPr>
      <w:r>
        <w:rPr>
          <w:rFonts w:ascii="Arial" w:cs="Arial" w:eastAsia="Arial" w:hAnsi="Arial"/>
          <w:sz w:val="16"/>
          <w:szCs w:val="16"/>
          <w:color w:val="auto"/>
        </w:rPr>
        <w:t>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Whenever the number of shares of Class A Common Stock purchasable upon exercise of the Public Warrants is adjusted, as described above, the Public Warrant exercise price will be adjusted by multiplying the Public Warrant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 After the consummation of the business combination and subject to certain exceptions, Unit holders are contractually restricted from selling or transferring any of their respective shares of common stock until 180 days after completion of the Business Combination. See the section entitled “Certain Relationships and Related Party Transactions” for lock-up restrictions on our securities under the Exchange Agreement.</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28"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 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Section 203 of the Delaware General Corporation Law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0" w:name="page131"/>
    <w:bookmarkEnd w:id="13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ectPr>
          <w:pgSz w:w="11900" w:h="16838" w:orient="portrait"/>
          <w:cols w:equalWidth="0" w:num="1">
            <w:col w:w="9019"/>
          </w:cols>
          <w:pgMar w:left="1440" w:top="265"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5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5" w:lineRule="auto"/>
        <w:rPr>
          <w:sz w:val="20"/>
          <w:szCs w:val="20"/>
          <w:color w:val="auto"/>
        </w:rPr>
      </w:pPr>
      <w:r>
        <w:rPr>
          <w:rFonts w:ascii="Arial" w:cs="Arial" w:eastAsia="Arial" w:hAnsi="Arial"/>
          <w:sz w:val="17"/>
          <w:szCs w:val="17"/>
          <w:color w:val="auto"/>
        </w:rPr>
        <w:t>described under “Non-U.S. Holders—Gain on Sale, Taxable Exchange or Other Taxable Disposition of Class A 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6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68" w:lineRule="auto"/>
        <w:tabs>
          <w:tab w:leader="none" w:pos="10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2" w:lineRule="auto"/>
        <w:rPr>
          <w:sz w:val="20"/>
          <w:szCs w:val="20"/>
          <w:color w:val="auto"/>
        </w:rPr>
      </w:pPr>
      <w:r>
        <w:rPr>
          <w:rFonts w:ascii="Arial" w:cs="Arial" w:eastAsia="Arial" w:hAnsi="Arial"/>
          <w:sz w:val="17"/>
          <w:szCs w:val="17"/>
          <w:color w:val="auto"/>
        </w:rPr>
        <w:t>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6" w:val="left"/>
        </w:tabs>
        <w:numPr>
          <w:ilvl w:val="0"/>
          <w:numId w:val="90"/>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6" w:name="page137"/>
    <w:bookmarkEnd w:id="13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4" w:lineRule="exact"/>
        <w:rPr>
          <w:sz w:val="20"/>
          <w:szCs w:val="20"/>
          <w:color w:val="auto"/>
        </w:rPr>
      </w:pPr>
    </w:p>
    <w:p>
      <w:pPr>
        <w:jc w:val="both"/>
        <w:ind w:left="300" w:right="299" w:hanging="8"/>
        <w:spacing w:after="0" w:line="273"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8" w:lineRule="exact"/>
        <w:rPr>
          <w:sz w:val="20"/>
          <w:szCs w:val="20"/>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financial statements of Silver Spike as of December 31, 2020 and 2019, the related consolidated statements of operations, changes in shareholders’ equity and cash flows for year ended December 31, 2020 and for the period from June 7, 2019 (inception) through December 31, 2019, have been audited by Marcum LLP (“Marcum”), an independent registered public accounting firm, as stated in their report thereon (which contains an explanatory paragraph relating to substantial doubt about the ability of Silver Spike to continue as a going concern), and have been included in this proxy statement/prospectus in reliance upon such reports and upon the authority of such firm as experts in accounting and auditing.</w:t>
      </w:r>
    </w:p>
    <w:p>
      <w:pPr>
        <w:spacing w:after="0" w:line="8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consolidated financial statements of WMH LLC as of December 31, 2020 and 2019 and for each of the years in periods ended December 31,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WMH operates, have been included in this proxy statement/prospectus in reliance upon such reports and upon the authority of such firm as experts in accounting and auditing.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REGISTRANT’S CERTIFYING ACCOUNTANT</w:t>
      </w:r>
    </w:p>
    <w:p>
      <w:pPr>
        <w:spacing w:after="0" w:line="121"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June 16, 2021, our board of directors approved the engagement of Baker Tilly as our independent registered public accounting firm to audit our consolidated financial statements for the year ending December 31, 2021. Baker Tilly served as the independent registered public accounting firm of Legacy WMH prior to the Business Combination. Accordingly, Marcum, Silver Spike’s independent registered public accounting firm prior to the Business Combination, was informed on the Closing Date that it would be dismissed and replaced by Baker Tilly as our independent registered public accounting firm.</w:t>
      </w:r>
    </w:p>
    <w:p>
      <w:pPr>
        <w:spacing w:after="0" w:line="7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Marcum’s report on the Company’s balance sheets as of December 31, 2020 and 2019, the related statements of operations, stockholders’ equity and cash flows for the year ended December 31, 2020 and for the period from June 7, 2019 (inception) to December 31, 2019, and the related notes to the financial statements (collectively, the “financial statements”) did not contain any adverse opinion or disclaimer of opinion, nor were they qualified or modified as to uncertainty, audit scope or accounting principles, except for the substantial doubt about our ability to continue as a going concern.</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During the period from June 7, 2019 (inception) to December 31, 2020 and the subsequent interim period through June 21, 2021, there were no: (i) disagreements with Marcum on any matter of accounting principles or practices, financial statement disclosures or audited scope or procedures, which disagreements if not resolved to Marcum’s satisfaction would have caused Marcum to make reference to the subject matter of the disagreement in connection with its report or (ii) reportable events as defined in Item 304(a)(1)(v) of Regulation S-K under the Exchange Act.</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During the period from June 7, 2019 (inception) to December 31, 2020, and the interim period through March 31, 2021, the Company did not consult Baker Tilly with respect to either (i) the application of accounting principles to a specified transaction, either completed or proposed; or the type of audit opinion that might be rendered on the Company’s financial statements, and no written report or oral advice was provided to the Company by Baker Tilly that Baker Tilly concluded was an important factor considered by the Company in reaching a decision as to the accounting, auditing or financial reporting issue; or (ii) any matter that was either the subject of a disagreement, as that term is described in Item 304(a)(1)(iv) of Regulation S-K under the Exchange Act and the related instructions to Item 304 of Regulation S-K under the Exchange Act, or a reportable event, as that term is defined in Item 304(a)(1)(v) of Regulation S-K under the Exchange Act.</w:t>
      </w:r>
    </w:p>
    <w:p>
      <w:pPr>
        <w:spacing w:after="0" w:line="73"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We have provided Marcum with a copy of the disclosures made by us and have requested that Marcum furnish us with a letter addressed to the SEC stating whether it agrees with the statements made by us as set forth above and, if not, stating the respects in which it does not agree. A letter from Marcum is attached hereto as Exhibit 16.1.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6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806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WM HOLDING COMPANY, LLC</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Audited Financial Statements of WM Holding Company, LLC</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Report of Independent Registered Public Accounting Firm</w:t>
              </w:r>
            </w:hyperlink>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rFonts w:ascii="Arial" w:cs="Arial" w:eastAsia="Arial" w:hAnsi="Arial"/>
                <w:sz w:val="18"/>
                <w:szCs w:val="18"/>
                <w:color w:val="0000EE"/>
                <w:w w:val="88"/>
              </w:rPr>
            </w:pPr>
            <w:hyperlink w:anchor="page142">
              <w:r>
                <w:rPr>
                  <w:rFonts w:ascii="Arial" w:cs="Arial" w:eastAsia="Arial" w:hAnsi="Arial"/>
                  <w:sz w:val="18"/>
                  <w:szCs w:val="18"/>
                  <w:color w:val="0000EE"/>
                  <w:w w:val="88"/>
                </w:rPr>
                <w:t>F-2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Consolidated Balance Sheets</w:t>
              </w:r>
            </w:hyperlink>
          </w:p>
        </w:tc>
        <w:tc>
          <w:tcPr>
            <w:tcW w:w="8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F-3</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Consolidated Statements of Income</w:t>
              </w:r>
            </w:hyperlink>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rFonts w:ascii="Arial" w:cs="Arial" w:eastAsia="Arial" w:hAnsi="Arial"/>
                <w:sz w:val="18"/>
                <w:szCs w:val="18"/>
                <w:color w:val="0000EE"/>
                <w:w w:val="88"/>
              </w:rPr>
            </w:pPr>
            <w:hyperlink w:anchor="page144">
              <w:r>
                <w:rPr>
                  <w:rFonts w:ascii="Arial" w:cs="Arial" w:eastAsia="Arial" w:hAnsi="Arial"/>
                  <w:sz w:val="18"/>
                  <w:szCs w:val="18"/>
                  <w:color w:val="0000EE"/>
                  <w:w w:val="88"/>
                </w:rPr>
                <w:t>F-4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Members’ Equity</w:t>
              </w:r>
            </w:hyperlink>
          </w:p>
        </w:tc>
        <w:tc>
          <w:tcPr>
            <w:tcW w:w="8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F-5</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Cash Flows</w:t>
              </w:r>
            </w:hyperlink>
          </w:p>
        </w:tc>
        <w:tc>
          <w:tcPr>
            <w:tcW w:w="80" w:type="dxa"/>
            <w:vAlign w:val="bottom"/>
            <w:shd w:val="clear" w:color="auto" w:fill="CCEEFF"/>
          </w:tcPr>
          <w:p>
            <w:pPr>
              <w:spacing w:after="0"/>
              <w:rPr>
                <w:sz w:val="19"/>
                <w:szCs w:val="19"/>
                <w:color w:val="auto"/>
              </w:rPr>
            </w:pPr>
          </w:p>
        </w:tc>
        <w:tc>
          <w:tcPr>
            <w:tcW w:w="280" w:type="dxa"/>
            <w:vAlign w:val="bottom"/>
            <w:tcBorders>
              <w:right w:val="single" w:sz="8" w:color="CCEEFF"/>
            </w:tcBorders>
            <w:shd w:val="clear" w:color="auto" w:fill="CCEEFF"/>
          </w:tcPr>
          <w:p>
            <w:pPr>
              <w:spacing w:after="0"/>
              <w:rPr>
                <w:rFonts w:ascii="Arial" w:cs="Arial" w:eastAsia="Arial" w:hAnsi="Arial"/>
                <w:sz w:val="18"/>
                <w:szCs w:val="18"/>
                <w:color w:val="0000EE"/>
                <w:w w:val="88"/>
              </w:rPr>
            </w:pPr>
            <w:hyperlink w:anchor="page146">
              <w:r>
                <w:rPr>
                  <w:rFonts w:ascii="Arial" w:cs="Arial" w:eastAsia="Arial" w:hAnsi="Arial"/>
                  <w:sz w:val="18"/>
                  <w:szCs w:val="18"/>
                  <w:color w:val="0000EE"/>
                  <w:w w:val="88"/>
                </w:rPr>
                <w:t>F-6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Notes to Audited Consolidated Financial Statements</w:t>
              </w:r>
            </w:hyperlink>
          </w:p>
        </w:tc>
        <w:tc>
          <w:tcPr>
            <w:tcW w:w="80" w:type="dxa"/>
            <w:vAlign w:val="bottom"/>
          </w:tcPr>
          <w:p>
            <w:pPr>
              <w:spacing w:after="0"/>
              <w:rPr>
                <w:sz w:val="19"/>
                <w:szCs w:val="19"/>
                <w:color w:val="auto"/>
              </w:rPr>
            </w:pPr>
          </w:p>
        </w:tc>
        <w:tc>
          <w:tcPr>
            <w:tcW w:w="1580" w:type="dxa"/>
            <w:vAlign w:val="bottom"/>
            <w:gridSpan w:val="2"/>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F-7</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Unaudited Condensed Consolidated Financial Statements of WM Holding Company, LLC</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58">
              <w:r>
                <w:rPr>
                  <w:rFonts w:ascii="Arial" w:cs="Arial" w:eastAsia="Arial" w:hAnsi="Arial"/>
                  <w:sz w:val="18"/>
                  <w:szCs w:val="18"/>
                  <w:color w:val="0000EE"/>
                </w:rPr>
                <w:t>Interim Condensed Consolidated Balance Sheets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58">
              <w:r>
                <w:rPr>
                  <w:rFonts w:ascii="Arial" w:cs="Arial" w:eastAsia="Arial" w:hAnsi="Arial"/>
                  <w:sz w:val="18"/>
                  <w:szCs w:val="18"/>
                  <w:color w:val="0000EE"/>
                  <w:w w:val="91"/>
                </w:rPr>
                <w:t>F-18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59">
              <w:r>
                <w:rPr>
                  <w:rFonts w:ascii="Arial" w:cs="Arial" w:eastAsia="Arial" w:hAnsi="Arial"/>
                  <w:sz w:val="18"/>
                  <w:szCs w:val="18"/>
                  <w:color w:val="0000EE"/>
                </w:rPr>
                <w:t>Interim Condensed Consolidated Statements of Income</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59">
              <w:r>
                <w:rPr>
                  <w:rFonts w:ascii="Arial" w:cs="Arial" w:eastAsia="Arial" w:hAnsi="Arial"/>
                  <w:sz w:val="18"/>
                  <w:szCs w:val="18"/>
                  <w:color w:val="0000EE"/>
                  <w:w w:val="91"/>
                </w:rPr>
                <w:t>F-19</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60">
              <w:r>
                <w:rPr>
                  <w:rFonts w:ascii="Arial" w:cs="Arial" w:eastAsia="Arial" w:hAnsi="Arial"/>
                  <w:sz w:val="18"/>
                  <w:szCs w:val="18"/>
                  <w:color w:val="0000EE"/>
                </w:rPr>
                <w:t>Interim Condensed Consolidated Statements of Members’ Equity</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60">
              <w:r>
                <w:rPr>
                  <w:rFonts w:ascii="Arial" w:cs="Arial" w:eastAsia="Arial" w:hAnsi="Arial"/>
                  <w:sz w:val="18"/>
                  <w:szCs w:val="18"/>
                  <w:color w:val="0000EE"/>
                  <w:w w:val="91"/>
                </w:rPr>
                <w:t>F-20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Interim Condensed Consolidated Statements of Cash Flows</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61">
              <w:r>
                <w:rPr>
                  <w:rFonts w:ascii="Arial" w:cs="Arial" w:eastAsia="Arial" w:hAnsi="Arial"/>
                  <w:sz w:val="18"/>
                  <w:szCs w:val="18"/>
                  <w:color w:val="0000EE"/>
                  <w:w w:val="91"/>
                </w:rPr>
                <w:t>F-21</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62">
              <w:r>
                <w:rPr>
                  <w:rFonts w:ascii="Arial" w:cs="Arial" w:eastAsia="Arial" w:hAnsi="Arial"/>
                  <w:sz w:val="18"/>
                  <w:szCs w:val="18"/>
                  <w:color w:val="0000EE"/>
                </w:rPr>
                <w:t>Notes to Interim Condensed Consolidated Financial Statements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62">
              <w:r>
                <w:rPr>
                  <w:rFonts w:ascii="Arial" w:cs="Arial" w:eastAsia="Arial" w:hAnsi="Arial"/>
                  <w:sz w:val="18"/>
                  <w:szCs w:val="18"/>
                  <w:color w:val="0000EE"/>
                  <w:w w:val="91"/>
                </w:rPr>
                <w:t>F-22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68"/>
        </w:trPr>
        <w:tc>
          <w:tcPr>
            <w:tcW w:w="13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58"/>
        </w:trPr>
        <w:tc>
          <w:tcPr>
            <w:tcW w:w="1300" w:type="dxa"/>
            <w:vAlign w:val="bottom"/>
          </w:tcPr>
          <w:p>
            <w:pPr>
              <w:spacing w:after="0"/>
              <w:rPr>
                <w:sz w:val="24"/>
                <w:szCs w:val="24"/>
                <w:color w:val="auto"/>
              </w:rPr>
            </w:pPr>
          </w:p>
        </w:tc>
        <w:tc>
          <w:tcPr>
            <w:tcW w:w="8060" w:type="dxa"/>
            <w:vAlign w:val="bottom"/>
            <w:tcBorders>
              <w:bottom w:val="single" w:sz="8" w:color="CCEEFF"/>
            </w:tcBorders>
            <w:gridSpan w:val="18"/>
            <w:shd w:val="clear" w:color="auto" w:fill="CCEEFF"/>
          </w:tcPr>
          <w:p>
            <w:pPr>
              <w:spacing w:after="0"/>
              <w:rPr>
                <w:sz w:val="20"/>
                <w:szCs w:val="20"/>
                <w:color w:val="auto"/>
              </w:rPr>
            </w:pPr>
            <w:r>
              <w:rPr>
                <w:rFonts w:ascii="Arial" w:cs="Arial" w:eastAsia="Arial" w:hAnsi="Arial"/>
                <w:sz w:val="18"/>
                <w:szCs w:val="18"/>
                <w:b w:val="1"/>
                <w:bCs w:val="1"/>
                <w:color w:val="auto"/>
              </w:rPr>
              <w:t>SILVER SPIKE ACQUISITION CORP</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Audited Financial Statements of Silver Spike Acquisition Corp</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70">
              <w:r>
                <w:rPr>
                  <w:rFonts w:ascii="Arial" w:cs="Arial" w:eastAsia="Arial" w:hAnsi="Arial"/>
                  <w:sz w:val="18"/>
                  <w:szCs w:val="18"/>
                  <w:color w:val="0000EE"/>
                </w:rPr>
                <w:t>Report of Independent Registered Public Accounting Firm</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70">
              <w:r>
                <w:rPr>
                  <w:rFonts w:ascii="Arial" w:cs="Arial" w:eastAsia="Arial" w:hAnsi="Arial"/>
                  <w:sz w:val="18"/>
                  <w:szCs w:val="18"/>
                  <w:color w:val="0000EE"/>
                  <w:w w:val="91"/>
                </w:rPr>
                <w:t>F-30</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71">
              <w:r>
                <w:rPr>
                  <w:rFonts w:ascii="Arial" w:cs="Arial" w:eastAsia="Arial" w:hAnsi="Arial"/>
                  <w:sz w:val="18"/>
                  <w:szCs w:val="18"/>
                  <w:color w:val="0000EE"/>
                </w:rPr>
                <w:t>Consolidated Balance Sheets (Restated)</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71">
              <w:r>
                <w:rPr>
                  <w:rFonts w:ascii="Arial" w:cs="Arial" w:eastAsia="Arial" w:hAnsi="Arial"/>
                  <w:sz w:val="18"/>
                  <w:szCs w:val="18"/>
                  <w:color w:val="0000EE"/>
                  <w:w w:val="91"/>
                </w:rPr>
                <w:t>F-31</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Consolidated Statements of Operations (Restated)</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72">
              <w:r>
                <w:rPr>
                  <w:rFonts w:ascii="Arial" w:cs="Arial" w:eastAsia="Arial" w:hAnsi="Arial"/>
                  <w:sz w:val="18"/>
                  <w:szCs w:val="18"/>
                  <w:color w:val="0000EE"/>
                  <w:w w:val="91"/>
                </w:rPr>
                <w:t>F-32</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73">
              <w:r>
                <w:rPr>
                  <w:rFonts w:ascii="Arial" w:cs="Arial" w:eastAsia="Arial" w:hAnsi="Arial"/>
                  <w:sz w:val="18"/>
                  <w:szCs w:val="18"/>
                  <w:color w:val="0000EE"/>
                </w:rPr>
                <w:t>Consolidated Statements of Changes in Shareholders’ Equity (Restated)</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73">
              <w:r>
                <w:rPr>
                  <w:rFonts w:ascii="Arial" w:cs="Arial" w:eastAsia="Arial" w:hAnsi="Arial"/>
                  <w:sz w:val="18"/>
                  <w:szCs w:val="18"/>
                  <w:color w:val="0000EE"/>
                  <w:w w:val="91"/>
                </w:rPr>
                <w:t>F-33</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Consolidated Statements of Cash Flows (Restated)</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74">
              <w:r>
                <w:rPr>
                  <w:rFonts w:ascii="Arial" w:cs="Arial" w:eastAsia="Arial" w:hAnsi="Arial"/>
                  <w:sz w:val="18"/>
                  <w:szCs w:val="18"/>
                  <w:color w:val="0000EE"/>
                  <w:w w:val="91"/>
                </w:rPr>
                <w:t>F-34</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75">
              <w:r>
                <w:rPr>
                  <w:rFonts w:ascii="Arial" w:cs="Arial" w:eastAsia="Arial" w:hAnsi="Arial"/>
                  <w:sz w:val="18"/>
                  <w:szCs w:val="18"/>
                  <w:color w:val="0000EE"/>
                </w:rPr>
                <w:t>Notes to Consolidated Financial Statements (Restated)</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75">
              <w:r>
                <w:rPr>
                  <w:rFonts w:ascii="Arial" w:cs="Arial" w:eastAsia="Arial" w:hAnsi="Arial"/>
                  <w:sz w:val="18"/>
                  <w:szCs w:val="18"/>
                  <w:color w:val="0000EE"/>
                  <w:w w:val="91"/>
                </w:rPr>
                <w:t>F-35</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324"/>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8060" w:type="dxa"/>
            <w:vAlign w:val="bottom"/>
            <w:gridSpan w:val="18"/>
          </w:tcPr>
          <w:p>
            <w:pPr>
              <w:spacing w:after="0"/>
              <w:rPr>
                <w:sz w:val="20"/>
                <w:szCs w:val="20"/>
                <w:color w:val="auto"/>
              </w:rPr>
            </w:pPr>
            <w:r>
              <w:rPr>
                <w:rFonts w:ascii="Arial" w:cs="Arial" w:eastAsia="Arial" w:hAnsi="Arial"/>
                <w:sz w:val="18"/>
                <w:szCs w:val="18"/>
                <w:b w:val="1"/>
                <w:bCs w:val="1"/>
                <w:color w:val="auto"/>
              </w:rPr>
              <w:t>Unaudited Condensed Consolidated Financial Statements of Silver Spike Acquisition Corp</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2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94">
              <w:r>
                <w:rPr>
                  <w:rFonts w:ascii="Arial" w:cs="Arial" w:eastAsia="Arial" w:hAnsi="Arial"/>
                  <w:sz w:val="18"/>
                  <w:szCs w:val="18"/>
                  <w:color w:val="0000EE"/>
                </w:rPr>
                <w:t>Interim Condensed Consolidated Balance Sheets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94">
              <w:r>
                <w:rPr>
                  <w:rFonts w:ascii="Arial" w:cs="Arial" w:eastAsia="Arial" w:hAnsi="Arial"/>
                  <w:sz w:val="18"/>
                  <w:szCs w:val="18"/>
                  <w:color w:val="0000EE"/>
                  <w:w w:val="91"/>
                </w:rPr>
                <w:t>F-52</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95">
              <w:r>
                <w:rPr>
                  <w:rFonts w:ascii="Arial" w:cs="Arial" w:eastAsia="Arial" w:hAnsi="Arial"/>
                  <w:sz w:val="18"/>
                  <w:szCs w:val="18"/>
                  <w:color w:val="0000EE"/>
                </w:rPr>
                <w:t>Interim Condensed Consolidated Statements of Operations</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95">
              <w:r>
                <w:rPr>
                  <w:rFonts w:ascii="Arial" w:cs="Arial" w:eastAsia="Arial" w:hAnsi="Arial"/>
                  <w:sz w:val="18"/>
                  <w:szCs w:val="18"/>
                  <w:color w:val="0000EE"/>
                  <w:w w:val="91"/>
                </w:rPr>
                <w:t>F-53</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96">
              <w:r>
                <w:rPr>
                  <w:rFonts w:ascii="Arial" w:cs="Arial" w:eastAsia="Arial" w:hAnsi="Arial"/>
                  <w:sz w:val="18"/>
                  <w:szCs w:val="18"/>
                  <w:color w:val="0000EE"/>
                </w:rPr>
                <w:t>Interim Condensed Consolidated Statements of Shareholders’ Equity</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96">
              <w:r>
                <w:rPr>
                  <w:rFonts w:ascii="Arial" w:cs="Arial" w:eastAsia="Arial" w:hAnsi="Arial"/>
                  <w:sz w:val="18"/>
                  <w:szCs w:val="18"/>
                  <w:color w:val="0000EE"/>
                  <w:w w:val="91"/>
                </w:rPr>
                <w:t>F-54</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8060" w:type="dxa"/>
            <w:vAlign w:val="bottom"/>
            <w:gridSpan w:val="18"/>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Interim Condensed Consolidated Statements of Cash Flows</w:t>
              </w:r>
            </w:hyperlink>
          </w:p>
        </w:tc>
        <w:tc>
          <w:tcPr>
            <w:tcW w:w="1660" w:type="dxa"/>
            <w:vAlign w:val="bottom"/>
            <w:gridSpan w:val="3"/>
          </w:tcPr>
          <w:p>
            <w:pPr>
              <w:jc w:val="center"/>
              <w:ind w:right="1320"/>
              <w:spacing w:after="0"/>
              <w:rPr>
                <w:rFonts w:ascii="Arial" w:cs="Arial" w:eastAsia="Arial" w:hAnsi="Arial"/>
                <w:sz w:val="18"/>
                <w:szCs w:val="18"/>
                <w:color w:val="0000EE"/>
                <w:w w:val="91"/>
              </w:rPr>
            </w:pPr>
            <w:hyperlink w:anchor="page197">
              <w:r>
                <w:rPr>
                  <w:rFonts w:ascii="Arial" w:cs="Arial" w:eastAsia="Arial" w:hAnsi="Arial"/>
                  <w:sz w:val="18"/>
                  <w:szCs w:val="18"/>
                  <w:color w:val="0000EE"/>
                  <w:w w:val="91"/>
                </w:rPr>
                <w:t>F-55</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8060" w:type="dxa"/>
            <w:vAlign w:val="bottom"/>
            <w:gridSpan w:val="18"/>
            <w:shd w:val="clear" w:color="auto" w:fill="CCEEFF"/>
          </w:tcPr>
          <w:p>
            <w:pPr>
              <w:spacing w:after="0"/>
              <w:rPr>
                <w:rFonts w:ascii="Arial" w:cs="Arial" w:eastAsia="Arial" w:hAnsi="Arial"/>
                <w:sz w:val="18"/>
                <w:szCs w:val="18"/>
                <w:color w:val="0000EE"/>
              </w:rPr>
            </w:pPr>
            <w:hyperlink w:anchor="page198">
              <w:r>
                <w:rPr>
                  <w:rFonts w:ascii="Arial" w:cs="Arial" w:eastAsia="Arial" w:hAnsi="Arial"/>
                  <w:sz w:val="18"/>
                  <w:szCs w:val="18"/>
                  <w:color w:val="0000EE"/>
                </w:rPr>
                <w:t>Notes to Interim Condensed Consolidated Financial Statements</w:t>
              </w:r>
            </w:hyperlink>
          </w:p>
        </w:tc>
        <w:tc>
          <w:tcPr>
            <w:tcW w:w="360" w:type="dxa"/>
            <w:vAlign w:val="bottom"/>
            <w:tcBorders>
              <w:right w:val="single" w:sz="8" w:color="CCEEFF"/>
            </w:tcBorders>
            <w:gridSpan w:val="2"/>
            <w:shd w:val="clear" w:color="auto" w:fill="CCEEFF"/>
          </w:tcPr>
          <w:p>
            <w:pPr>
              <w:jc w:val="center"/>
              <w:spacing w:after="0"/>
              <w:rPr>
                <w:rFonts w:ascii="Arial" w:cs="Arial" w:eastAsia="Arial" w:hAnsi="Arial"/>
                <w:sz w:val="18"/>
                <w:szCs w:val="18"/>
                <w:color w:val="0000EE"/>
                <w:w w:val="91"/>
              </w:rPr>
            </w:pPr>
            <w:hyperlink w:anchor="page198">
              <w:r>
                <w:rPr>
                  <w:rFonts w:ascii="Arial" w:cs="Arial" w:eastAsia="Arial" w:hAnsi="Arial"/>
                  <w:sz w:val="18"/>
                  <w:szCs w:val="18"/>
                  <w:color w:val="0000EE"/>
                  <w:w w:val="91"/>
                </w:rPr>
                <w:t>F-56</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2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756"/>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80" w:type="dxa"/>
            <w:vAlign w:val="bottom"/>
            <w:gridSpan w:val="8"/>
          </w:tcPr>
          <w:p>
            <w:pPr>
              <w:ind w:left="100"/>
              <w:spacing w:after="0"/>
              <w:rPr>
                <w:sz w:val="20"/>
                <w:szCs w:val="20"/>
                <w:color w:val="auto"/>
              </w:rPr>
            </w:pPr>
            <w:r>
              <w:rPr>
                <w:rFonts w:ascii="Arial" w:cs="Arial" w:eastAsia="Arial" w:hAnsi="Arial"/>
                <w:sz w:val="18"/>
                <w:szCs w:val="18"/>
                <w:color w:val="auto"/>
              </w:rPr>
              <w:t>F-1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5852160</wp:posOffset>
            </wp:positionH>
            <wp:positionV relativeFrom="paragraph">
              <wp:posOffset>-6874510</wp:posOffset>
            </wp:positionV>
            <wp:extent cx="939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Members</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WM Holding Company, LLC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36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audited the accompanying consolidated balance sheets of WM Holding Company, LLC and its subsidiaries (collectively the “Company”) as of December 31, 2020 and 2019, the related consolidated statements of operations, members’ equity, and cash flows for each of the years ended December 31, 2020, 2019 and 2018, and the related notes to the consolidated financial statements (collectively, the “financial statements”). In our opinion, the consolidated financial statements present fairly, in all material respects, the financial position of the Company as of December 31, 2020 and 2019, and the results of its operations and its cash flows for each of the years ended December 31, 2020, 2019, and 2018, in conformity with accounting principles generally accepted in the United States of America.</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1,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 Baker Tilly US, LLP</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March 9, 2021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10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2020</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1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$ 4,967,954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$19,918,914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3,929,321</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9,428,166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1,783,783</w:t>
            </w:r>
          </w:p>
        </w:tc>
        <w:tc>
          <w:tcPr>
            <w:tcW w:w="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4,819,968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10,681,058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34,167,048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9,155,525</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7,387,420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Goodwill</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3,961,122</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3,961,122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5,402,956</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4,504,408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 Assets</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4,553,009</w:t>
            </w:r>
          </w:p>
        </w:tc>
        <w:tc>
          <w:tcPr>
            <w:tcW w:w="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3,874,155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33,753,670</w:t>
            </w:r>
          </w:p>
        </w:tc>
        <w:tc>
          <w:tcPr>
            <w:tcW w:w="60" w:type="dxa"/>
            <w:vAlign w:val="bottom"/>
            <w:shd w:val="clear" w:color="auto" w:fill="CCEEFF"/>
          </w:tcPr>
          <w:p>
            <w:pPr>
              <w:spacing w:after="0"/>
              <w:rPr>
                <w:sz w:val="24"/>
                <w:szCs w:val="24"/>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53,894,153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MEMBERS’ EQUITY</w:t>
            </w:r>
          </w:p>
        </w:tc>
        <w:tc>
          <w:tcPr>
            <w:tcW w:w="1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14,886,301</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12,651,130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4,328,635</w:t>
            </w:r>
          </w:p>
        </w:tc>
        <w:tc>
          <w:tcPr>
            <w:tcW w:w="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5,264,373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1,435,691</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5,128,755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payable to members, current portion</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205,324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20,650,627</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23,249,582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Notes payable to members, non-current portion</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205,324</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0" w:type="dxa"/>
            <w:vAlign w:val="bottom"/>
            <w:gridSpan w:val="2"/>
          </w:tcPr>
          <w:p>
            <w:pPr>
              <w:jc w:val="right"/>
              <w:ind w:right="1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98,964</w:t>
            </w:r>
          </w:p>
        </w:tc>
        <w:tc>
          <w:tcPr>
            <w:tcW w:w="60" w:type="dxa"/>
            <w:vAlign w:val="bottom"/>
            <w:shd w:val="clear" w:color="auto" w:fill="CCEEFF"/>
          </w:tcPr>
          <w:p>
            <w:pPr>
              <w:spacing w:after="0"/>
              <w:rPr>
                <w:sz w:val="22"/>
                <w:szCs w:val="22"/>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1,373,836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20,954,915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24,623,418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Members’ equity</w:t>
            </w: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Class A-1 Units - no par value; 821,769 units authorized, issued and outstanding</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at December 31, 2020 and 2019</w:t>
            </w:r>
          </w:p>
        </w:tc>
        <w:tc>
          <w:tcPr>
            <w:tcW w:w="10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3,306,922</w:t>
            </w:r>
          </w:p>
        </w:tc>
        <w:tc>
          <w:tcPr>
            <w:tcW w:w="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2,543,998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w w:val="99"/>
              </w:rPr>
              <w:t>Class A-2 Units - no par value; 34,264 units authorized, 24,058 issued and</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outstanding at December 31, 2020 and 2019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17,108,743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16,864,901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Class A-3 Units/Class B Units - no par value; 274,822 units authorized, 53,333</w:t>
            </w: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A-3 units and 221,483 Class B units issued and outstanding at</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December 31, 2020, 274,667 units authorized, 53,333 Class A-3 units and</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210,744 Class B units issued and outstanding at December 31, 2019</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120" w:type="dxa"/>
            <w:vAlign w:val="bottom"/>
          </w:tcPr>
          <w:p>
            <w:pPr>
              <w:ind w:left="180"/>
              <w:spacing w:after="0"/>
              <w:rPr>
                <w:sz w:val="20"/>
                <w:szCs w:val="20"/>
                <w:color w:val="auto"/>
              </w:rPr>
            </w:pPr>
            <w:r>
              <w:rPr>
                <w:rFonts w:ascii="Arial" w:cs="Arial" w:eastAsia="Arial" w:hAnsi="Arial"/>
                <w:sz w:val="18"/>
                <w:szCs w:val="18"/>
                <w:color w:val="auto"/>
              </w:rPr>
              <w:t>Retained earnings/accumulated deficit</w:t>
            </w: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(7,616,910)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9,861,836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members’ equity</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12,798,755</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1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29,270,735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Total liabilities and members’ equity</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33,753,670</w:t>
            </w:r>
          </w:p>
        </w:tc>
        <w:tc>
          <w:tcPr>
            <w:tcW w:w="60" w:type="dxa"/>
            <w:vAlign w:val="bottom"/>
          </w:tcPr>
          <w:p>
            <w:pPr>
              <w:spacing w:after="0"/>
              <w:rPr>
                <w:sz w:val="23"/>
                <w:szCs w:val="23"/>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53,894,153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6120" w:type="dxa"/>
            <w:vAlign w:val="bottom"/>
            <w:vMerge w:val="restart"/>
          </w:tcPr>
          <w:p>
            <w:pPr>
              <w:ind w:left="4080"/>
              <w:spacing w:after="0"/>
              <w:rPr>
                <w:sz w:val="20"/>
                <w:szCs w:val="20"/>
                <w:color w:val="auto"/>
              </w:rPr>
            </w:pPr>
            <w:r>
              <w:rPr>
                <w:rFonts w:ascii="Arial" w:cs="Arial" w:eastAsia="Arial" w:hAnsi="Arial"/>
                <w:sz w:val="18"/>
                <w:szCs w:val="18"/>
                <w:color w:val="auto"/>
              </w:rPr>
              <w:t>F-3</w:t>
            </w: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5423535</wp:posOffset>
            </wp:positionH>
            <wp:positionV relativeFrom="paragraph">
              <wp:posOffset>-7414260</wp:posOffset>
            </wp:positionV>
            <wp:extent cx="17145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-7414260</wp:posOffset>
            </wp:positionV>
            <wp:extent cx="857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3" w:name="page144"/>
    <w:bookmarkEnd w:id="143"/>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8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3"/>
        </w:trPr>
        <w:tc>
          <w:tcPr>
            <w:tcW w:w="130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10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101,402,007</w:t>
            </w:r>
          </w:p>
        </w:tc>
        <w:tc>
          <w:tcPr>
            <w:tcW w:w="2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144,231,479</w:t>
            </w:r>
          </w:p>
        </w:tc>
        <w:tc>
          <w:tcPr>
            <w:tcW w:w="22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6,304,059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7,073,728</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7,629,965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17,798,973</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39,745,946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30,716,015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20,033,481</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29,496,687</w:t>
            </w: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27,142,129</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38,934,680</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56,465,609</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51,127,116</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2,148,628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5,162,595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3,977,805</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85,219,821</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137,944,565</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120,593,030</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16,182,186</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6,286,914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41,197,732</w:t>
            </w:r>
          </w:p>
        </w:tc>
        <w:tc>
          <w:tcPr>
            <w:tcW w:w="8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OTHER EXPENSE</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(621,462)</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(124,220)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(2,116)</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2"/>
                <w:szCs w:val="22"/>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w w:val="95"/>
              </w:rPr>
              <w:t>(1,206,475)</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w w:val="97"/>
              </w:rPr>
              <w:t>(5,217,334)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(2,365,623)</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w:t>
            </w:r>
          </w:p>
        </w:tc>
        <w:tc>
          <w:tcPr>
            <w:tcW w:w="14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(1,827,937)</w:t>
            </w:r>
          </w:p>
        </w:tc>
        <w:tc>
          <w:tcPr>
            <w:tcW w:w="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(5,341,554)</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(2,367,739)</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4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14,354,249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945,360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DISCONTINUED OPERATIONS</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(1,674,738)</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12,679,511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945,360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from income taxes</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1,321,045</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w w:val="93"/>
              </w:rPr>
              <w:t>12,679,511</w:t>
            </w:r>
          </w:p>
        </w:tc>
        <w:tc>
          <w:tcPr>
            <w:tcW w:w="2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(375,685)</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(LOSS) PER UNIT</w:t>
            </w: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w w:val="96"/>
              </w:rPr>
              <w:t>Basic and diluted earnings (loss) per Class A-1, A-2 and A-3</w:t>
            </w: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7"/>
        </w:trPr>
        <w:tc>
          <w:tcPr>
            <w:tcW w:w="130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units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16.95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6"/>
        </w:trPr>
        <w:tc>
          <w:tcPr>
            <w:tcW w:w="1300" w:type="dxa"/>
            <w:vAlign w:val="bottom"/>
          </w:tcPr>
          <w:p>
            <w:pPr>
              <w:spacing w:after="0"/>
              <w:rPr>
                <w:sz w:val="24"/>
                <w:szCs w:val="24"/>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Basic and diluted loss per Class A-1, A-2 and A-3 units from</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305"/>
        </w:trPr>
        <w:tc>
          <w:tcPr>
            <w:tcW w:w="1300" w:type="dxa"/>
            <w:vAlign w:val="bottom"/>
          </w:tcPr>
          <w:p>
            <w:pPr>
              <w:spacing w:after="0"/>
              <w:rPr>
                <w:sz w:val="24"/>
                <w:szCs w:val="24"/>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96"/>
        </w:trPr>
        <w:tc>
          <w:tcPr>
            <w:tcW w:w="1300" w:type="dxa"/>
            <w:vAlign w:val="bottom"/>
          </w:tcPr>
          <w:p>
            <w:pPr>
              <w:spacing w:after="0"/>
              <w:rPr>
                <w:sz w:val="24"/>
                <w:szCs w:val="24"/>
                <w:color w:val="auto"/>
              </w:rPr>
            </w:pPr>
          </w:p>
        </w:tc>
        <w:tc>
          <w:tcPr>
            <w:tcW w:w="482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w w:val="96"/>
              </w:rPr>
              <w:t>Basic and diluted earnings (loss) per Class A-1, A-2 and A-3</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217"/>
        </w:trPr>
        <w:tc>
          <w:tcPr>
            <w:tcW w:w="1300" w:type="dxa"/>
            <w:vAlign w:val="bottom"/>
          </w:tcPr>
          <w:p>
            <w:pPr>
              <w:spacing w:after="0"/>
              <w:rPr>
                <w:sz w:val="18"/>
                <w:szCs w:val="18"/>
                <w:color w:val="auto"/>
              </w:rPr>
            </w:pPr>
          </w:p>
        </w:tc>
        <w:tc>
          <w:tcPr>
            <w:tcW w:w="4820" w:type="dxa"/>
            <w:vAlign w:val="bottom"/>
          </w:tcPr>
          <w:p>
            <w:pPr>
              <w:ind w:left="360"/>
              <w:spacing w:after="0"/>
              <w:rPr>
                <w:sz w:val="20"/>
                <w:szCs w:val="20"/>
                <w:color w:val="auto"/>
              </w:rPr>
            </w:pPr>
            <w:r>
              <w:rPr>
                <w:rFonts w:ascii="Arial" w:cs="Arial" w:eastAsia="Arial" w:hAnsi="Arial"/>
                <w:sz w:val="18"/>
                <w:szCs w:val="18"/>
                <w:color w:val="auto"/>
              </w:rPr>
              <w:t>units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(0.42)</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43.18</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6"/>
        </w:trPr>
        <w:tc>
          <w:tcPr>
            <w:tcW w:w="1300" w:type="dxa"/>
            <w:vAlign w:val="bottom"/>
          </w:tcPr>
          <w:p>
            <w:pPr>
              <w:spacing w:after="0"/>
              <w:rPr>
                <w:sz w:val="24"/>
                <w:szCs w:val="24"/>
                <w:color w:val="auto"/>
              </w:rPr>
            </w:pPr>
          </w:p>
        </w:tc>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weighted-average number of units</w:t>
            </w: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847,024</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899,160</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899,160</w:t>
            </w:r>
          </w:p>
        </w:tc>
        <w:tc>
          <w:tcPr>
            <w:tcW w:w="1300" w:type="dxa"/>
            <w:vAlign w:val="bottom"/>
          </w:tcPr>
          <w:p>
            <w:pPr>
              <w:spacing w:after="0"/>
              <w:rPr>
                <w:sz w:val="22"/>
                <w:szCs w:val="22"/>
                <w:color w:val="auto"/>
              </w:rPr>
            </w:pPr>
          </w:p>
        </w:tc>
      </w:tr>
      <w:tr>
        <w:trPr>
          <w:trHeight w:val="432"/>
        </w:trPr>
        <w:tc>
          <w:tcPr>
            <w:tcW w:w="1300" w:type="dxa"/>
            <w:vAlign w:val="bottom"/>
          </w:tcPr>
          <w:p>
            <w:pPr>
              <w:spacing w:after="0"/>
              <w:rPr>
                <w:sz w:val="24"/>
                <w:szCs w:val="24"/>
                <w:color w:val="auto"/>
              </w:rPr>
            </w:pPr>
          </w:p>
        </w:tc>
        <w:tc>
          <w:tcPr>
            <w:tcW w:w="4820" w:type="dxa"/>
            <w:vAlign w:val="bottom"/>
            <w:tcBorders>
              <w:top w:val="single" w:sz="8" w:color="CCEEFF"/>
            </w:tcBorders>
          </w:tcPr>
          <w:p>
            <w:pPr>
              <w:ind w:left="4080"/>
              <w:spacing w:after="0"/>
              <w:rPr>
                <w:sz w:val="20"/>
                <w:szCs w:val="20"/>
                <w:color w:val="auto"/>
              </w:rPr>
            </w:pPr>
            <w:r>
              <w:rPr>
                <w:rFonts w:ascii="Arial" w:cs="Arial" w:eastAsia="Arial" w:hAnsi="Arial"/>
                <w:sz w:val="18"/>
                <w:szCs w:val="18"/>
                <w:color w:val="auto"/>
              </w:rPr>
              <w:t>F-4</w:t>
            </w: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8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-6025515</wp:posOffset>
            </wp:positionV>
            <wp:extent cx="137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-6025515</wp:posOffset>
            </wp:positionV>
            <wp:extent cx="137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3820795</wp:posOffset>
            </wp:positionH>
            <wp:positionV relativeFrom="paragraph">
              <wp:posOffset>-6025515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4" w:name="page145"/>
    <w:bookmarkEnd w:id="144"/>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12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Class A-1 Units</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Class A-2 Units</w:t>
            </w: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Class A-3/B</w:t>
            </w:r>
          </w:p>
        </w:tc>
        <w:tc>
          <w:tcPr>
            <w:tcW w:w="10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2340" w:type="dxa"/>
            <w:vAlign w:val="bottom"/>
            <w:gridSpan w:val="3"/>
          </w:tcPr>
          <w:p>
            <w:pPr>
              <w:jc w:val="center"/>
              <w:ind w:right="1340"/>
              <w:spacing w:after="0"/>
              <w:rPr>
                <w:sz w:val="20"/>
                <w:szCs w:val="20"/>
                <w:color w:val="auto"/>
              </w:rPr>
            </w:pPr>
            <w:r>
              <w:rPr>
                <w:rFonts w:ascii="Arial" w:cs="Arial" w:eastAsia="Arial" w:hAnsi="Arial"/>
                <w:sz w:val="14"/>
                <w:szCs w:val="14"/>
                <w:b w:val="1"/>
                <w:bCs w:val="1"/>
                <w:color w:val="auto"/>
                <w:w w:val="93"/>
              </w:rPr>
              <w:t>Total Member's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120" w:type="dxa"/>
            <w:vAlign w:val="bottom"/>
            <w:gridSpan w:val="5"/>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6"/>
                <w:szCs w:val="16"/>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earnings</w:t>
            </w:r>
          </w:p>
        </w:tc>
        <w:tc>
          <w:tcPr>
            <w:tcW w:w="2340" w:type="dxa"/>
            <w:vAlign w:val="bottom"/>
            <w:gridSpan w:val="3"/>
          </w:tcPr>
          <w:p>
            <w:pPr>
              <w:jc w:val="center"/>
              <w:ind w:right="1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2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4,546,847</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8,891,183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13,438,030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Sale of Class A Units</w:t>
            </w:r>
          </w:p>
        </w:tc>
        <w:tc>
          <w:tcPr>
            <w:tcW w:w="80" w:type="dxa"/>
            <w:vAlign w:val="bottom"/>
          </w:tcPr>
          <w:p>
            <w:pPr>
              <w:spacing w:after="0"/>
              <w:rPr>
                <w:sz w:val="23"/>
                <w:szCs w:val="23"/>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17,553,601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17,553,601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(524,894)</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(66,840)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(10,832,926)</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(11,424,660)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Pr>
          <w:p>
            <w:pPr>
              <w:spacing w:after="0"/>
              <w:rPr>
                <w:sz w:val="23"/>
                <w:szCs w:val="23"/>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(1,694,407)</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(1,694,407)</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distribution on divestiture of</w:t>
            </w:r>
          </w:p>
        </w:tc>
        <w:tc>
          <w:tcPr>
            <w:tcW w:w="80" w:type="dxa"/>
            <w:vAlign w:val="bottom"/>
            <w:tcBorders>
              <w:right w:val="single" w:sz="8" w:color="CCEEFF"/>
            </w:tcBorders>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tcBorders>
              <w:right w:val="single" w:sz="8" w:color="CCEEFF"/>
            </w:tcBorders>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controlled entities</w:t>
            </w:r>
          </w:p>
        </w:tc>
        <w:tc>
          <w:tcPr>
            <w:tcW w:w="80" w:type="dxa"/>
            <w:vAlign w:val="bottom"/>
            <w:tcBorders>
              <w:bottom w:val="single" w:sz="8" w:color="CCEEFF"/>
              <w:right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(428,417)</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(428,417)</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12,679,511</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12,679,511</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4,021,953</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17,486,761</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8,614,944</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30,123,658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(715,031)</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(378,018)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(14,289,441)</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(15,382,490)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1040" w:type="dxa"/>
            <w:vAlign w:val="bottom"/>
            <w:tcBorders>
              <w:bottom w:val="single" w:sz="8" w:color="CCEEFF"/>
              <w:right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(1,566,728)</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(1,566,728)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(375,685)</w:t>
            </w:r>
          </w:p>
        </w:tc>
        <w:tc>
          <w:tcPr>
            <w:tcW w:w="120" w:type="dxa"/>
            <w:vAlign w:val="bottom"/>
          </w:tcPr>
          <w:p>
            <w:pPr>
              <w:spacing w:after="0"/>
              <w:rPr>
                <w:sz w:val="22"/>
                <w:szCs w:val="22"/>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(375,685)</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960" w:type="dxa"/>
            <w:vAlign w:val="bottom"/>
            <w:tcBorders>
              <w:bottom w:val="single" w:sz="8" w:color="CCEEFF"/>
              <w:right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3,306,922</w:t>
            </w: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17,108,743</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(7,616,910)</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12,798,755</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(762,924)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(243,842)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(20,944,766)</w:t>
            </w:r>
          </w:p>
        </w:tc>
        <w:tc>
          <w:tcPr>
            <w:tcW w:w="120" w:type="dxa"/>
            <w:vAlign w:val="bottom"/>
          </w:tcPr>
          <w:p>
            <w:pPr>
              <w:spacing w:after="0"/>
              <w:rPr>
                <w:sz w:val="23"/>
                <w:szCs w:val="23"/>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(21,951,532)</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right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right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(406,481)</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(406,481)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2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38,829,993</w:t>
            </w:r>
          </w:p>
        </w:tc>
        <w:tc>
          <w:tcPr>
            <w:tcW w:w="12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38,829,993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300" w:type="dxa"/>
            <w:vAlign w:val="bottom"/>
          </w:tcPr>
          <w:p>
            <w:pPr>
              <w:spacing w:after="0"/>
              <w:rPr>
                <w:sz w:val="24"/>
                <w:szCs w:val="2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8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2,543,998</w:t>
            </w:r>
          </w:p>
        </w:tc>
        <w:tc>
          <w:tcPr>
            <w:tcW w:w="1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16,864,901</w:t>
            </w:r>
          </w:p>
        </w:tc>
        <w:tc>
          <w:tcPr>
            <w:tcW w:w="1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9,861,836</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$ 29,270,735</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32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right w:val="single" w:sz="8" w:color="CCEEFF"/>
            </w:tcBorders>
            <w:shd w:val="clear" w:color="auto" w:fill="CCEEFF"/>
          </w:tcPr>
          <w:p>
            <w:pPr>
              <w:spacing w:after="0"/>
              <w:rPr>
                <w:sz w:val="2"/>
                <w:szCs w:val="2"/>
                <w:color w:val="auto"/>
              </w:rPr>
            </w:pPr>
          </w:p>
        </w:tc>
        <w:tc>
          <w:tcPr>
            <w:tcW w:w="78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13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4"/>
          </w:tcPr>
          <w:p>
            <w:pPr>
              <w:ind w:left="760"/>
              <w:spacing w:after="0"/>
              <w:rPr>
                <w:sz w:val="20"/>
                <w:szCs w:val="20"/>
                <w:color w:val="auto"/>
              </w:rPr>
            </w:pPr>
            <w:r>
              <w:rPr>
                <w:rFonts w:ascii="Arial" w:cs="Arial" w:eastAsia="Arial" w:hAnsi="Arial"/>
                <w:sz w:val="18"/>
                <w:szCs w:val="18"/>
                <w:color w:val="auto"/>
                <w:w w:val="88"/>
              </w:rPr>
              <w:t>F-5</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5440680</wp:posOffset>
            </wp:positionH>
            <wp:positionV relativeFrom="paragraph">
              <wp:posOffset>-3693795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-3693795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-3693795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3495040</wp:posOffset>
            </wp:positionH>
            <wp:positionV relativeFrom="paragraph">
              <wp:posOffset>-3693795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-3693795</wp:posOffset>
            </wp:positionV>
            <wp:extent cx="342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5" w:name="page146"/>
    <w:bookmarkEnd w:id="145"/>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years ended December 31, 2020, 2019 and 2018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48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12,679,511</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(375,685)</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38,829,993</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64"/>
        </w:trPr>
        <w:tc>
          <w:tcPr>
            <w:tcW w:w="1300" w:type="dxa"/>
            <w:vAlign w:val="bottom"/>
          </w:tcPr>
          <w:p>
            <w:pPr>
              <w:spacing w:after="0"/>
              <w:rPr>
                <w:sz w:val="22"/>
                <w:szCs w:val="22"/>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by operating activities:</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2,148,628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5,162,595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3,977,805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Accretion of debt discounts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59,079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(432,095)</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(2,572,107)</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(5,498,845)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871,245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(610,758)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(3,036,185)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65,948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(3,344,195)</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678,854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1,651,975</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7,373,723</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(960,299)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6,269</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496,065</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3,693,064</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721,378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165,488</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935,738</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 and liabilities held for sale</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(82,507)</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17,689,431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6,295,126</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38,620,125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7"/>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(2,124,408)</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(5,129,470)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(1,311,152)</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(2,124,408)</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(5,129,470)</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(1,311,152)</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(repayments) from secured line of credit</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1,748,038</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(5,019,814)</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Sale of Class A Units</w:t>
            </w:r>
          </w:p>
        </w:tc>
        <w:tc>
          <w:tcPr>
            <w:tcW w:w="1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17,553,601</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2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 to members</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5"/>
              </w:rPr>
              <w:t>(11,424,660)</w:t>
            </w:r>
          </w:p>
        </w:tc>
        <w:tc>
          <w:tcPr>
            <w:tcW w:w="24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97"/>
              </w:rPr>
              <w:t>(15,382,490)</w:t>
            </w:r>
          </w:p>
        </w:tc>
        <w:tc>
          <w:tcPr>
            <w:tcW w:w="24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(21,951,532)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10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(1,694,407)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5"/>
              </w:rPr>
              <w:t>(1,566,728)</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(406,481)</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8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on notes payable to members</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(2,243,611)</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Principal payments on notes payable</w:t>
            </w:r>
          </w:p>
        </w:tc>
        <w:tc>
          <w:tcPr>
            <w:tcW w:w="100" w:type="dxa"/>
            <w:vAlign w:val="bottom"/>
          </w:tcPr>
          <w:p>
            <w:pPr>
              <w:spacing w:after="0"/>
              <w:rPr>
                <w:sz w:val="22"/>
                <w:szCs w:val="22"/>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(695,000)</w:t>
            </w: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2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61"/>
        </w:trPr>
        <w:tc>
          <w:tcPr>
            <w:tcW w:w="1300" w:type="dxa"/>
            <w:vAlign w:val="bottom"/>
          </w:tcPr>
          <w:p>
            <w:pPr>
              <w:spacing w:after="0"/>
              <w:rPr>
                <w:sz w:val="5"/>
                <w:szCs w:val="5"/>
                <w:color w:val="auto"/>
              </w:rPr>
            </w:pPr>
          </w:p>
        </w:tc>
        <w:tc>
          <w:tcPr>
            <w:tcW w:w="48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3,243,961</w:t>
            </w:r>
          </w:p>
        </w:tc>
        <w:tc>
          <w:tcPr>
            <w:tcW w:w="240" w:type="dxa"/>
            <w:vAlign w:val="bottom"/>
            <w:shd w:val="clear" w:color="auto" w:fill="CCEEFF"/>
          </w:tcPr>
          <w:p>
            <w:pPr>
              <w:spacing w:after="0"/>
              <w:rPr>
                <w:sz w:val="23"/>
                <w:szCs w:val="23"/>
                <w:color w:val="auto"/>
              </w:rPr>
            </w:pP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(21,969,032)</w:t>
            </w:r>
          </w:p>
        </w:tc>
        <w:tc>
          <w:tcPr>
            <w:tcW w:w="24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(22,358,013)</w:t>
            </w: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Net increase (decrease) in cash</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18,808,984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w w:val="97"/>
              </w:rPr>
              <w:t>(20,803,376)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14,950,960</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7"/>
        </w:trPr>
        <w:tc>
          <w:tcPr>
            <w:tcW w:w="1300" w:type="dxa"/>
            <w:vAlign w:val="bottom"/>
          </w:tcPr>
          <w:p>
            <w:pPr>
              <w:spacing w:after="0"/>
              <w:rPr>
                <w:sz w:val="22"/>
                <w:szCs w:val="22"/>
                <w:color w:val="auto"/>
              </w:rPr>
            </w:pPr>
          </w:p>
        </w:tc>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 beginning of year</w:t>
            </w:r>
          </w:p>
        </w:tc>
        <w:tc>
          <w:tcPr>
            <w:tcW w:w="1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6,962,346</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25,771,330</w:t>
            </w: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4,967,954</w:t>
            </w:r>
          </w:p>
        </w:tc>
        <w:tc>
          <w:tcPr>
            <w:tcW w:w="8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48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CASH – end of year</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25,771,330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4,967,954</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19,918,914</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92"/>
        </w:trPr>
        <w:tc>
          <w:tcPr>
            <w:tcW w:w="1300" w:type="dxa"/>
            <w:vAlign w:val="bottom"/>
          </w:tcPr>
          <w:p>
            <w:pPr>
              <w:spacing w:after="0"/>
              <w:rPr>
                <w:sz w:val="24"/>
                <w:szCs w:val="2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68"/>
        </w:trPr>
        <w:tc>
          <w:tcPr>
            <w:tcW w:w="1300" w:type="dxa"/>
            <w:vAlign w:val="bottom"/>
          </w:tcPr>
          <w:p>
            <w:pPr>
              <w:spacing w:after="0"/>
              <w:rPr>
                <w:sz w:val="23"/>
                <w:szCs w:val="23"/>
                <w:color w:val="auto"/>
              </w:rPr>
            </w:pPr>
          </w:p>
        </w:tc>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INFORMATION</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256"/>
        </w:trPr>
        <w:tc>
          <w:tcPr>
            <w:tcW w:w="1300" w:type="dxa"/>
            <w:vAlign w:val="bottom"/>
          </w:tcPr>
          <w:p>
            <w:pPr>
              <w:spacing w:after="0"/>
              <w:rPr>
                <w:sz w:val="22"/>
                <w:szCs w:val="22"/>
                <w:color w:val="auto"/>
              </w:rPr>
            </w:pPr>
          </w:p>
        </w:tc>
        <w:tc>
          <w:tcPr>
            <w:tcW w:w="486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579,793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157,407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2,115</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4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4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117,848</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1,335,998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Deemed distribution on divestiture of controlled entities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428,417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4"/>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22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r>
      <w:tr>
        <w:trPr>
          <w:trHeight w:val="479"/>
        </w:trPr>
        <w:tc>
          <w:tcPr>
            <w:tcW w:w="1300" w:type="dxa"/>
            <w:vAlign w:val="bottom"/>
          </w:tcPr>
          <w:p>
            <w:pPr>
              <w:spacing w:after="0"/>
              <w:rPr>
                <w:sz w:val="24"/>
                <w:szCs w:val="24"/>
                <w:color w:val="auto"/>
              </w:rPr>
            </w:pPr>
          </w:p>
        </w:tc>
        <w:tc>
          <w:tcPr>
            <w:tcW w:w="4860" w:type="dxa"/>
            <w:vAlign w:val="bottom"/>
          </w:tcPr>
          <w:p>
            <w:pPr>
              <w:ind w:left="4080"/>
              <w:spacing w:after="0"/>
              <w:rPr>
                <w:sz w:val="20"/>
                <w:szCs w:val="20"/>
                <w:color w:val="auto"/>
              </w:rPr>
            </w:pPr>
            <w:r>
              <w:rPr>
                <w:rFonts w:ascii="Arial" w:cs="Arial" w:eastAsia="Arial" w:hAnsi="Arial"/>
                <w:sz w:val="18"/>
                <w:szCs w:val="18"/>
                <w:color w:val="auto"/>
              </w:rPr>
              <w:t>F-6</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4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5363845</wp:posOffset>
            </wp:positionH>
            <wp:positionV relativeFrom="paragraph">
              <wp:posOffset>-7499985</wp:posOffset>
            </wp:positionV>
            <wp:extent cx="15430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4558030</wp:posOffset>
            </wp:positionH>
            <wp:positionV relativeFrom="paragraph">
              <wp:posOffset>-7499985</wp:posOffset>
            </wp:positionV>
            <wp:extent cx="15430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3829050</wp:posOffset>
            </wp:positionH>
            <wp:positionV relativeFrom="paragraph">
              <wp:posOffset>-7499985</wp:posOffset>
            </wp:positionV>
            <wp:extent cx="7747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4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303" w:lineRule="exact"/>
        <w:rPr>
          <w:sz w:val="20"/>
          <w:szCs w:val="20"/>
          <w:color w:val="auto"/>
        </w:rPr>
      </w:pPr>
    </w:p>
    <w:p>
      <w:pPr>
        <w:ind w:left="640" w:hanging="348"/>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35"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Weedmaps Germany GmbH, WM Teal, LLC, WM Museum, LLC, Weedmaps Artist Management, LLC, Ghost Gaming Holdings, LLC, WMBP Investment, LLC, and WMG Pharma GmbH. All significant intercompany balance and transactions have been eliminated upon consolidation.</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4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Effective April 30, 2018, the Company sold 100% of the equity interests in WMG Pharma GmbH to an entity owned by its founders for $13,490 and on May 31, 2018, the Company divested its equity interests in Ghost Gaming Holdings, LLC, Weedmaps Artist Management, LLC, and WMBP Investment, LLC (collectively, “Divested Entities”) to certain of its members. The fair value based on a valuation report for the Divested Entities was $1,495,000. No gain or loss was recorded due to the related party nature of the divestiture; instead the divestiture was recorded as a deemed distribution in member’s equity. The activities of the Divested Entities were included in the consolidated financial statements through the date of the divestiture.</w:t>
      </w:r>
    </w:p>
    <w:p>
      <w:pPr>
        <w:spacing w:after="0" w:line="69"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As a result of the Company’s decision to divest its interest in Divested Entities, the Company has reclassified and presented all related historical financial information as it relates to the Divested Entities as “discontinued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operations” in the accompanying consolidated statements of operations as of and for the year ended December 31, 2018. In addition, all related activities have been excluded from footnote disclosures unless specifically referenced. These reclassifications have no effect on previously reported net income.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years ended December 31, 2020, 2019 and 2018.</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valuation of goodwill and other intangible assets, revenue recognition, stock-based compensation, and the recognition and disclosure of contingent liabilities.</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Company considers all highly liquid investments with an original maturity of three months or less to be cash equivalents. At December 31, 2020, 2019 and 2018, the Company did not have any cash equivalents.</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monthly and past due balances are reviewed individually for collectability. Account balances are written off against the allowance when it is determined that it is probable that the receivable will not be recovered. As of December 31, 2020, and 2019, the Company recorded an allowance for bad debt of $857,382 and $913,715, respectively.</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Property and equipment are stated at historical cost less accumulated depreciation. Depreciation is computed using the straight-line method over the estimated useful lives of the assets, which range from three to ten years. Leasehold improvements are amortized over the lesser of the related lease term or their estimated useful life. Expenditures for major renewals and betterments are capitalized, while minor replacements, maintenance and repairs, which do not extend the asset lives, are charged to operations as incurred. Costs related to website and internal-use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software are primarily related to the Company’s website. The Company capitalizes its costs to develop software when preliminary development efforts are successfully completed, management has authorized and committed project funding and it is probable that the project will be completed, and the software will be used as intended. Such costs are amortized on a straight-line basis over the estimated useful life of the related asset.</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Costs incurred prior to meeting these criteria, together with costs incurred for training and maintenance, are expensed as incurred. Costs incurred for enhancements that are expected to result in additional material functionality are capitalized and amortized over the estimated useful life of the upgrades. Upon sale or disposition, the cost and related accumulated depreciation and amortization are removed from the accounts, and any gain or loss is included in the Company’s results from operations.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w:t>
      </w:r>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Goodwill is the excess of the cost of an acquired entity over the net of the amounts assigned to assets acquired and liabilities assumed.</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For impairment purposes, the Company assesses qualitative factors to determine if it is necessary to perform the two-step quantitative goodwill impairment test. The Company assesses qualitative factors to determine if its sole reporting unit’s fair value is more likely than not to exceed its carrying value, including goodwill. In the event the Company determines that it is more likely than not that its reporting unit’s fair value is less than its carrying amount, quantitative testing is performed comparing recorded values to estimated fair values. Quantitative testing compares the fair value of the reporting unit to its book value, including goodwill. If the book value exceeds the fair value, then the Company would calculate the potential impairment loss by comparing the implied fair value of goodwill with the book value. If the implied fair value of goodwill is less than the book value, then an impairment charge would be recorded. For the years ended December 31, 2020 and 2019, there were no impairment of goodwill. The Company has elected not to amortize goodwill.</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4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Company’s intangible assets consist of trade and domain names, and software technology which are amortized using the straight-line method over 5 to 15 years.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reviews its long-lived assets for impairment whenever events or changes in circumstances indicate that the carrying amount of an asset may not be recoverable.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estimated fair value. For the years ended December 31, 2020 and 2019, there were no such impairments.</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 2019 and 2018</w:t>
      </w:r>
    </w:p>
    <w:p>
      <w:pPr>
        <w:spacing w:after="0" w:line="207" w:lineRule="exact"/>
        <w:rPr>
          <w:sz w:val="20"/>
          <w:szCs w:val="20"/>
          <w:color w:val="auto"/>
        </w:rPr>
      </w:pPr>
    </w:p>
    <w:p>
      <w:pPr>
        <w:ind w:left="1640" w:hanging="348"/>
        <w:spacing w:after="0"/>
        <w:tabs>
          <w:tab w:leader="none" w:pos="16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1300" w:right="1300"/>
        <w:spacing w:after="0" w:line="296" w:lineRule="auto"/>
        <w:rPr>
          <w:sz w:val="20"/>
          <w:szCs w:val="20"/>
          <w:color w:val="auto"/>
        </w:rPr>
      </w:pPr>
      <w:r>
        <w:rPr>
          <w:rFonts w:ascii="Arial" w:cs="Arial" w:eastAsia="Arial" w:hAnsi="Arial"/>
          <w:sz w:val="16"/>
          <w:szCs w:val="16"/>
          <w:color w:val="auto"/>
        </w:rPr>
        <w:t>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67" w:lineRule="exact"/>
        <w:rPr>
          <w:sz w:val="20"/>
          <w:szCs w:val="20"/>
          <w:color w:val="auto"/>
        </w:rPr>
      </w:pPr>
    </w:p>
    <w:p>
      <w:pPr>
        <w:jc w:val="both"/>
        <w:ind w:left="1300" w:right="1300" w:firstLine="360"/>
        <w:spacing w:after="0" w:line="272"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The prior year deferred revenue balance of $4.3 million was fully recognized in fiscal year 2020, and the current year deferred revenue balance of $5.3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summarizes the Company’s disaggregated net revenue information for the years ended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December 31, 2020, 2019 and 2018:</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206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040" w:type="dxa"/>
            <w:vAlign w:val="bottom"/>
          </w:tcPr>
          <w:p>
            <w:pPr>
              <w:jc w:val="right"/>
              <w:ind w:right="295"/>
              <w:spacing w:after="0"/>
              <w:rPr>
                <w:sz w:val="20"/>
                <w:szCs w:val="20"/>
                <w:color w:val="auto"/>
              </w:rPr>
            </w:pPr>
            <w:r>
              <w:rPr>
                <w:rFonts w:ascii="Arial" w:cs="Arial" w:eastAsia="Arial" w:hAnsi="Arial"/>
                <w:sz w:val="14"/>
                <w:szCs w:val="14"/>
                <w:b w:val="1"/>
                <w:bCs w:val="1"/>
                <w:color w:val="auto"/>
              </w:rPr>
              <w:t>2020</w:t>
            </w:r>
          </w:p>
        </w:tc>
      </w:tr>
      <w:tr>
        <w:trPr>
          <w:trHeight w:val="53"/>
        </w:trPr>
        <w:tc>
          <w:tcPr>
            <w:tcW w:w="404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331"/>
        </w:trPr>
        <w:tc>
          <w:tcPr>
            <w:tcW w:w="404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$101,402,007</w:t>
            </w:r>
          </w:p>
        </w:tc>
        <w:tc>
          <w:tcPr>
            <w:tcW w:w="11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$143,489,929</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$155,362,875</w:t>
            </w:r>
          </w:p>
        </w:tc>
      </w:tr>
      <w:tr>
        <w:trPr>
          <w:trHeight w:val="270"/>
        </w:trPr>
        <w:tc>
          <w:tcPr>
            <w:tcW w:w="4040" w:type="dxa"/>
            <w:vAlign w:val="bottom"/>
          </w:tcPr>
          <w:p>
            <w:pPr>
              <w:spacing w:after="0" w:line="270"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10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741,550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6,427,887</w:t>
            </w:r>
          </w:p>
        </w:tc>
      </w:tr>
      <w:tr>
        <w:trPr>
          <w:trHeight w:val="48"/>
        </w:trPr>
        <w:tc>
          <w:tcPr>
            <w:tcW w:w="40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r>
      <w:tr>
        <w:trPr>
          <w:trHeight w:val="291"/>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101,402,007</w:t>
            </w:r>
          </w:p>
        </w:tc>
        <w:tc>
          <w:tcPr>
            <w:tcW w:w="140" w:type="dxa"/>
            <w:vAlign w:val="bottom"/>
            <w:shd w:val="clear" w:color="auto" w:fill="CCEEFF"/>
          </w:tcPr>
          <w:p>
            <w:pPr>
              <w:spacing w:after="0"/>
              <w:rPr>
                <w:sz w:val="24"/>
                <w:szCs w:val="24"/>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144,231,479</w:t>
            </w:r>
          </w:p>
        </w:tc>
        <w:tc>
          <w:tcPr>
            <w:tcW w:w="120" w:type="dxa"/>
            <w:vAlign w:val="bottom"/>
            <w:shd w:val="clear" w:color="auto" w:fill="CCEEFF"/>
          </w:tcPr>
          <w:p>
            <w:pPr>
              <w:spacing w:after="0"/>
              <w:rPr>
                <w:sz w:val="24"/>
                <w:szCs w:val="24"/>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27"/>
        </w:trPr>
        <w:tc>
          <w:tcPr>
            <w:tcW w:w="40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-650875</wp:posOffset>
            </wp:positionV>
            <wp:extent cx="857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-650875</wp:posOffset>
            </wp:positionV>
            <wp:extent cx="8572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-650875</wp:posOffset>
            </wp:positionV>
            <wp:extent cx="431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 w:lineRule="exact"/>
        <w:rPr>
          <w:sz w:val="20"/>
          <w:szCs w:val="20"/>
          <w:color w:val="auto"/>
        </w:rPr>
      </w:pPr>
    </w:p>
    <w:p>
      <w:pPr>
        <w:ind w:left="1640" w:hanging="348"/>
        <w:spacing w:after="0"/>
        <w:tabs>
          <w:tab w:leader="none" w:pos="16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1640" w:hanging="348"/>
        <w:spacing w:after="0"/>
        <w:tabs>
          <w:tab w:leader="none" w:pos="16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00"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following table summarizes the Company’s U.S. and foreign revenues for the years ended December 31, 2020, 2019 and 2018:</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4440" w:type="dxa"/>
            <w:vAlign w:val="bottom"/>
          </w:tcPr>
          <w:p>
            <w:pPr>
              <w:spacing w:after="0"/>
              <w:rPr>
                <w:sz w:val="16"/>
                <w:szCs w:val="16"/>
                <w:color w:val="auto"/>
              </w:rPr>
            </w:pPr>
          </w:p>
        </w:tc>
        <w:tc>
          <w:tcPr>
            <w:tcW w:w="16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2018</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255"/>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53"/>
        </w:trPr>
        <w:tc>
          <w:tcPr>
            <w:tcW w:w="444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r>
      <w:tr>
        <w:trPr>
          <w:trHeight w:val="31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$100,670,847</w:t>
            </w:r>
          </w:p>
        </w:tc>
        <w:tc>
          <w:tcPr>
            <w:tcW w:w="11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$132,076,823</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$130,373,022</w:t>
            </w:r>
          </w:p>
        </w:tc>
      </w:tr>
      <w:tr>
        <w:trPr>
          <w:trHeight w:val="256"/>
        </w:trPr>
        <w:tc>
          <w:tcPr>
            <w:tcW w:w="4440" w:type="dxa"/>
            <w:vAlign w:val="bottom"/>
          </w:tcPr>
          <w:p>
            <w:pPr>
              <w:spacing w:after="0"/>
              <w:rPr>
                <w:sz w:val="20"/>
                <w:szCs w:val="20"/>
                <w:color w:val="auto"/>
              </w:rPr>
            </w:pPr>
            <w:r>
              <w:rPr>
                <w:rFonts w:ascii="Arial" w:cs="Arial" w:eastAsia="Arial" w:hAnsi="Arial"/>
                <w:sz w:val="18"/>
                <w:szCs w:val="18"/>
                <w:color w:val="auto"/>
              </w:rPr>
              <w:t>Foreign revenues</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731,160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12,154,656</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31,417,740</w:t>
            </w:r>
          </w:p>
        </w:tc>
        <w:tc>
          <w:tcPr>
            <w:tcW w:w="40" w:type="dxa"/>
            <w:vAlign w:val="bottom"/>
          </w:tcPr>
          <w:p>
            <w:pPr>
              <w:spacing w:after="0"/>
              <w:rPr>
                <w:sz w:val="22"/>
                <w:szCs w:val="22"/>
                <w:color w:val="auto"/>
              </w:rPr>
            </w:pPr>
          </w:p>
        </w:tc>
      </w:tr>
      <w:tr>
        <w:trPr>
          <w:trHeight w:val="61"/>
        </w:trPr>
        <w:tc>
          <w:tcPr>
            <w:tcW w:w="4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r>
      <w:tr>
        <w:trPr>
          <w:trHeight w:val="318"/>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101,402,007</w:t>
            </w:r>
          </w:p>
        </w:tc>
        <w:tc>
          <w:tcPr>
            <w:tcW w:w="11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144,231,479</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161,790,762</w:t>
            </w:r>
          </w:p>
        </w:tc>
      </w:tr>
      <w:tr>
        <w:trPr>
          <w:trHeight w:val="351"/>
        </w:trPr>
        <w:tc>
          <w:tcPr>
            <w:tcW w:w="444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rPr>
              <w:t>All foreign revenues were generated in Canada.</w:t>
            </w:r>
          </w:p>
        </w:tc>
        <w:tc>
          <w:tcPr>
            <w:tcW w:w="66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-873760</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-873760</wp:posOffset>
            </wp:positionV>
            <wp:extent cx="857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4026535</wp:posOffset>
            </wp:positionH>
            <wp:positionV relativeFrom="paragraph">
              <wp:posOffset>-873760</wp:posOffset>
            </wp:positionV>
            <wp:extent cx="431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year ended December 31, 2019, the Company recorded a provision for income taxes of approximately $1.3 million, related to estimated taxable income from operations of WM Canada Holdings, Inc., in the accompanying statement of operations. No provision for income taxes was recorded for the year ended December 31, 2020 and 2018.</w:t>
      </w:r>
    </w:p>
    <w:p>
      <w:pPr>
        <w:spacing w:after="0" w:line="87"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components of income (loss) before income taxes for the years ended December 31, 2020, 2019 and 2018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2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6"/>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$12,010,276</w:t>
            </w:r>
          </w:p>
        </w:tc>
        <w:tc>
          <w:tcPr>
            <w:tcW w:w="1120" w:type="dxa"/>
            <w:vAlign w:val="bottom"/>
            <w:tcBorders>
              <w:bottom w:val="single" w:sz="8" w:color="CCEEFF"/>
            </w:tcBorders>
            <w:gridSpan w:val="4"/>
            <w:shd w:val="clear" w:color="auto" w:fill="CCEEFF"/>
          </w:tcPr>
          <w:p>
            <w:pPr>
              <w:ind w:left="180"/>
              <w:spacing w:after="0"/>
              <w:rPr>
                <w:sz w:val="20"/>
                <w:szCs w:val="20"/>
                <w:color w:val="auto"/>
              </w:rPr>
            </w:pPr>
            <w:r>
              <w:rPr>
                <w:rFonts w:ascii="Arial" w:cs="Arial" w:eastAsia="Arial" w:hAnsi="Arial"/>
                <w:sz w:val="18"/>
                <w:szCs w:val="18"/>
                <w:color w:val="auto"/>
                <w:w w:val="90"/>
              </w:rPr>
              <w:t>$(4,152,308)</w:t>
            </w:r>
          </w:p>
        </w:tc>
        <w:tc>
          <w:tcPr>
            <w:tcW w:w="1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$38,877,652</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2260" w:type="dxa"/>
            <w:vAlign w:val="bottom"/>
            <w:gridSpan w:val="3"/>
          </w:tcPr>
          <w:p>
            <w:pPr>
              <w:jc w:val="right"/>
              <w:ind w:right="20"/>
              <w:spacing w:after="0"/>
              <w:rPr>
                <w:sz w:val="20"/>
                <w:szCs w:val="20"/>
                <w:color w:val="auto"/>
              </w:rPr>
            </w:pPr>
            <w:r>
              <w:rPr>
                <w:rFonts w:ascii="Arial" w:cs="Arial" w:eastAsia="Arial" w:hAnsi="Arial"/>
                <w:sz w:val="18"/>
                <w:szCs w:val="18"/>
                <w:color w:val="auto"/>
              </w:rPr>
              <w:t>669,235</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5,097,668</w:t>
            </w:r>
          </w:p>
        </w:tc>
        <w:tc>
          <w:tcPr>
            <w:tcW w:w="180" w:type="dxa"/>
            <w:vAlign w:val="bottom"/>
          </w:tcPr>
          <w:p>
            <w:pPr>
              <w:spacing w:after="0"/>
              <w:rPr>
                <w:sz w:val="22"/>
                <w:szCs w:val="2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(47,659)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318"/>
        </w:trPr>
        <w:tc>
          <w:tcPr>
            <w:tcW w:w="1300" w:type="dxa"/>
            <w:vAlign w:val="bottom"/>
          </w:tcPr>
          <w:p>
            <w:pPr>
              <w:spacing w:after="0"/>
              <w:rPr>
                <w:sz w:val="24"/>
                <w:szCs w:val="24"/>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before provision for income taxes</w:t>
            </w:r>
          </w:p>
        </w:tc>
        <w:tc>
          <w:tcPr>
            <w:tcW w:w="13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12,679,511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945,360</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38,829,993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80" w:type="dxa"/>
            <w:vAlign w:val="bottom"/>
            <w:tcBorders>
              <w:top w:val="single" w:sz="8" w:color="CCEEFF"/>
            </w:tcBorders>
          </w:tcPr>
          <w:p>
            <w:pPr>
              <w:spacing w:after="0"/>
              <w:rPr>
                <w:sz w:val="24"/>
                <w:szCs w:val="24"/>
                <w:color w:val="auto"/>
              </w:rPr>
            </w:pPr>
          </w:p>
        </w:tc>
        <w:tc>
          <w:tcPr>
            <w:tcW w:w="1340" w:type="dxa"/>
            <w:vAlign w:val="bottom"/>
            <w:tcBorders>
              <w:top w:val="single" w:sz="8" w:color="CCEEFF"/>
            </w:tcBorders>
          </w:tcPr>
          <w:p>
            <w:pPr>
              <w:ind w:left="160"/>
              <w:spacing w:after="0"/>
              <w:rPr>
                <w:sz w:val="20"/>
                <w:szCs w:val="20"/>
                <w:color w:val="auto"/>
              </w:rPr>
            </w:pPr>
            <w:r>
              <w:rPr>
                <w:rFonts w:ascii="Arial" w:cs="Arial" w:eastAsia="Arial" w:hAnsi="Arial"/>
                <w:sz w:val="18"/>
                <w:szCs w:val="18"/>
                <w:color w:val="auto"/>
              </w:rPr>
              <w:t>F-10</w:t>
            </w:r>
          </w:p>
        </w:tc>
        <w:tc>
          <w:tcPr>
            <w:tcW w:w="9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-1053465</wp:posOffset>
            </wp:positionV>
            <wp:extent cx="1200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4720590</wp:posOffset>
            </wp:positionH>
            <wp:positionV relativeFrom="paragraph">
              <wp:posOffset>-1053465</wp:posOffset>
            </wp:positionV>
            <wp:extent cx="1200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-1053465</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electing Limited Liability Company status, the Company does not believe it has any uncertain income tax positions that are more likely that not to materially affect its consolidated financial statements. The Company’s federal and state income tax returns remain open to agency examination for the standard statutory length of time after filing.</w:t>
      </w:r>
    </w:p>
    <w:p>
      <w:pPr>
        <w:spacing w:after="0" w:line="2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December 31, 2020 and 2019, the Company did not have any assets or liabilities measured at fair value on a recurring or nonrecurring basis.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expenses the cost of all advertising in the period incurred. Advertising expense totaled $10.6 million, $20.6 million, and $6.6 million, for the years ended December 31, 2020, 2019 and 2018, respectively, and are included in sales and marketing expense in the accompanying consolidated statements of operations.</w:t>
      </w:r>
    </w:p>
    <w:p>
      <w:pPr>
        <w:spacing w:after="0" w:line="25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company records interest expense, financing fees, political contributions, legal settlements, gain (loss) on currency exchange, and other tax related expenses in other expenses in the accompanying statement of operations. Total political contributions for the year ended December 31, 2020, 2019 and 2018 was $773,370, $915,250, and $795,275, respectively. The Company expenses the cost of all political contributions in the period incurred. Financing fees totaled $807,474, $3,540,636, and $286,228 for the years ended December 31, 2020, 2019 and 2018, respectively. The large increase in financing fees in 2019 related to legal and other consulting fees the Company incurred while working on multiple financing projects. The Company also incurred $610,539 in sales tax paid by one of the Company’s Canadian subsidiaries in 2019 due to certain sales taxes not collected from customers in the foreign jurisdiction and ultimately paid by the Company. No such cost was incurred in 2020 and 2018. The Company also recorded a gain (loss) from currency exchange of ($729,505), ($34,705) and $7,455 for fiscal years ended December 31, 2020, 2019 and 2018 related to revenue generated in Canada.</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Earnings per unit amounts are computed independently for earnings per unit from continuing operations, loss per unit from discontinued operations and net earnings per unit. As a result, the sum of per unit amounts from continuing operations and discontinued operations may not equal the total per unit amounts for net earnings.</w:t>
      </w:r>
    </w:p>
    <w:p>
      <w:pPr>
        <w:spacing w:after="0" w:line="4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All Class A Units, including Class A-1, Class A-2, and Class A-3 Units, have been included in the calculations for earnings per unit as of December 31, 2020, 2019 and 2018 primarily due to their voting and distribution rights. Since Class B Units had no voting, distribution, or dividend rights and were subject to exercise limitations, such units have been excluded from the calculations for earnings per unit as of December 31, 2020, 2019 and 2018. No other dilutive instruments were outstanding as of December 31, 2020, 2019, and 2018. See Note 8 for further discussion.</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new guidance is effective for private companies for annual periods beginning after December 15, 2020, with early adoption permitted. A modified retrospective transition approach is required for lessees for capital and operating leases existing at, or entered into after, the beginning of the earliest comparative period presented in the consolidated financial statements, with certain practical expedients available. The Company has multiple long-term operating leases and is currently in the process of evaluating the impact of the new accounting guidance on its consolidated balance sheets, consolidated statement of income and cash flows.</w:t>
      </w:r>
    </w:p>
    <w:p>
      <w:pPr>
        <w:spacing w:after="0" w:line="7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 January 1, 2019.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ASU simplifies the measurement of goodwill impairment by eliminating the requirement that an entity compute the implied fair value of goodwill based on the fair values of its assets and liabilities to measure impairment. Instead, goodwill impairment will be measured as the difference between the fair value of the reporting unit and the carrying value of the reporting unit. The ASU also clarifies the treatment of the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(continued)</w:t>
      </w:r>
    </w:p>
    <w:p>
      <w:pPr>
        <w:spacing w:after="0" w:line="148"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income tax effect of tax deductible goodwill when measuring goodwill impairment loss. The guidance is effective for reporting periods beginning after December 15, 2021. The Company is currently evaluating the impact of the adoption of this guidance on its consolidated financial statements.</w:t>
      </w:r>
    </w:p>
    <w:p>
      <w:pPr>
        <w:spacing w:after="0" w:line="180" w:lineRule="exact"/>
        <w:rPr>
          <w:sz w:val="20"/>
          <w:szCs w:val="20"/>
          <w:color w:val="auto"/>
        </w:rPr>
      </w:pPr>
    </w:p>
    <w:p>
      <w:pPr>
        <w:ind w:left="640" w:hanging="348"/>
        <w:spacing w:after="0"/>
        <w:tabs>
          <w:tab w:leader="none" w:pos="64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3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53"/>
        </w:trPr>
        <w:tc>
          <w:tcPr>
            <w:tcW w:w="6200" w:type="dxa"/>
            <w:vAlign w:val="bottom"/>
            <w:tcBorders>
              <w:bottom w:val="single" w:sz="8" w:color="CCEEFF"/>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$ 6,585,289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7,117,299</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Capitalized software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5,122,650</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5,122,650</w:t>
            </w:r>
          </w:p>
        </w:tc>
      </w:tr>
      <w:tr>
        <w:trPr>
          <w:trHeight w:val="54"/>
        </w:trPr>
        <w:tc>
          <w:tcPr>
            <w:tcW w:w="6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1,213,132</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1,285,880</w:t>
            </w: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1,892,172</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2,598,566</w:t>
            </w:r>
          </w:p>
        </w:tc>
      </w:tr>
      <w:tr>
        <w:trPr>
          <w:trHeight w:val="48"/>
        </w:trPr>
        <w:tc>
          <w:tcPr>
            <w:tcW w:w="6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14,813,243</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16,124,395</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(5,657,718)</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(8,736,975)</w:t>
            </w:r>
          </w:p>
        </w:tc>
      </w:tr>
      <w:tr>
        <w:trPr>
          <w:trHeight w:val="48"/>
        </w:trPr>
        <w:tc>
          <w:tcPr>
            <w:tcW w:w="620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2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$ 9,155,525</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7,387,420</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-1490980</wp:posOffset>
            </wp:positionV>
            <wp:extent cx="1714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-1490980</wp:posOffset>
            </wp:positionV>
            <wp:extent cx="857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2020, 2019 and 2018 amounted to $3,079,257, $1,776,983, and $1,266,508, respectively.</w:t>
      </w:r>
    </w:p>
    <w:p>
      <w:pPr>
        <w:spacing w:after="0" w:line="62"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At December 31, 2020 and 2019, the Company held $78,921, and $174,361 of property and equipment, net at its foreign locations, respectively.</w:t>
      </w:r>
    </w:p>
    <w:p>
      <w:pPr>
        <w:spacing w:after="0" w:line="166" w:lineRule="exact"/>
        <w:rPr>
          <w:sz w:val="20"/>
          <w:szCs w:val="20"/>
          <w:color w:val="auto"/>
        </w:rPr>
      </w:pPr>
    </w:p>
    <w:p>
      <w:pPr>
        <w:ind w:left="640" w:hanging="348"/>
        <w:spacing w:after="0"/>
        <w:tabs>
          <w:tab w:leader="none" w:pos="6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 as of December 31, 2020 and 2019:</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2019</w:t>
            </w:r>
          </w:p>
        </w:tc>
        <w:tc>
          <w:tcPr>
            <w:tcW w:w="4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3"/>
        </w:trPr>
        <w:tc>
          <w:tcPr>
            <w:tcW w:w="62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880" w:type="dxa"/>
            <w:vAlign w:val="bottom"/>
            <w:tcBorders>
              <w:bottom w:val="single" w:sz="8" w:color="CCEEFF"/>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$ 7,255,381</w:t>
            </w: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4"/>
              </w:rPr>
              <w:t>$ 7,255,381</w:t>
            </w:r>
          </w:p>
        </w:tc>
      </w:tr>
      <w:tr>
        <w:trPr>
          <w:trHeight w:val="256"/>
        </w:trPr>
        <w:tc>
          <w:tcPr>
            <w:tcW w:w="6260" w:type="dxa"/>
            <w:vAlign w:val="bottom"/>
          </w:tcPr>
          <w:p>
            <w:pPr>
              <w:spacing w:after="0"/>
              <w:rPr>
                <w:sz w:val="20"/>
                <w:szCs w:val="20"/>
                <w:color w:val="auto"/>
              </w:rPr>
            </w:pPr>
            <w:r>
              <w:rPr>
                <w:rFonts w:ascii="Arial" w:cs="Arial" w:eastAsia="Arial" w:hAnsi="Arial"/>
                <w:sz w:val="18"/>
                <w:szCs w:val="18"/>
                <w:color w:val="auto"/>
              </w:rPr>
              <w:t>Software technology</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9"/>
              </w:rPr>
              <w:t>3,468,534</w:t>
            </w:r>
          </w:p>
        </w:tc>
        <w:tc>
          <w:tcPr>
            <w:tcW w:w="480" w:type="dxa"/>
            <w:vAlign w:val="bottom"/>
          </w:tcPr>
          <w:p>
            <w:pPr>
              <w:spacing w:after="0"/>
              <w:rPr>
                <w:sz w:val="22"/>
                <w:szCs w:val="22"/>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3,468,534</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61"/>
        </w:trPr>
        <w:tc>
          <w:tcPr>
            <w:tcW w:w="6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318"/>
        </w:trPr>
        <w:tc>
          <w:tcPr>
            <w:tcW w:w="6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10,723,915</w:t>
            </w:r>
          </w:p>
        </w:tc>
        <w:tc>
          <w:tcPr>
            <w:tcW w:w="480" w:type="dxa"/>
            <w:vAlign w:val="bottom"/>
            <w:tcBorders>
              <w:bottom w:val="single" w:sz="8" w:color="CCEEFF"/>
              <w:right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4"/>
              </w:rPr>
              <w:t>10,723,915</w:t>
            </w:r>
          </w:p>
        </w:tc>
        <w:tc>
          <w:tcPr>
            <w:tcW w:w="20" w:type="dxa"/>
            <w:vAlign w:val="bottom"/>
            <w:tcBorders>
              <w:bottom w:val="single" w:sz="8" w:color="CCEEFF"/>
            </w:tcBorders>
            <w:shd w:val="clear" w:color="auto" w:fill="CCEEFF"/>
          </w:tcPr>
          <w:p>
            <w:pPr>
              <w:spacing w:after="0"/>
              <w:rPr>
                <w:sz w:val="24"/>
                <w:szCs w:val="24"/>
                <w:color w:val="auto"/>
              </w:rPr>
            </w:pPr>
          </w:p>
        </w:tc>
      </w:tr>
      <w:tr>
        <w:trPr>
          <w:trHeight w:val="257"/>
        </w:trPr>
        <w:tc>
          <w:tcPr>
            <w:tcW w:w="62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1"/>
              </w:rPr>
              <w:t>(5,320,959)</w:t>
            </w:r>
          </w:p>
        </w:tc>
        <w:tc>
          <w:tcPr>
            <w:tcW w:w="480" w:type="dxa"/>
            <w:vAlign w:val="bottom"/>
          </w:tcPr>
          <w:p>
            <w:pPr>
              <w:spacing w:after="0"/>
              <w:rPr>
                <w:sz w:val="22"/>
                <w:szCs w:val="22"/>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(6,219,507)</w:t>
            </w:r>
          </w:p>
        </w:tc>
      </w:tr>
      <w:tr>
        <w:trPr>
          <w:trHeight w:val="61"/>
        </w:trPr>
        <w:tc>
          <w:tcPr>
            <w:tcW w:w="626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880" w:type="dxa"/>
            <w:vAlign w:val="bottom"/>
            <w:tcBorders>
              <w:right w:val="single" w:sz="8" w:color="CCEEFF"/>
            </w:tcBorders>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$ 5,402,956</w:t>
            </w:r>
          </w:p>
        </w:tc>
        <w:tc>
          <w:tcPr>
            <w:tcW w:w="480" w:type="dxa"/>
            <w:vAlign w:val="bottom"/>
            <w:tcBorders>
              <w:right w:val="single" w:sz="8" w:color="CCEEFF"/>
            </w:tcBorders>
            <w:shd w:val="clear" w:color="auto" w:fill="CCEEFF"/>
          </w:tcPr>
          <w:p>
            <w:pPr>
              <w:spacing w:after="0"/>
              <w:rPr>
                <w:sz w:val="24"/>
                <w:szCs w:val="24"/>
                <w:color w:val="auto"/>
              </w:rPr>
            </w:pPr>
          </w:p>
        </w:tc>
        <w:tc>
          <w:tcPr>
            <w:tcW w:w="8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4"/>
              </w:rPr>
              <w:t>$ 4,504,408</w:t>
            </w:r>
          </w:p>
        </w:tc>
      </w:tr>
      <w:tr>
        <w:trPr>
          <w:trHeight w:val="27"/>
        </w:trPr>
        <w:tc>
          <w:tcPr>
            <w:tcW w:w="62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c>
          <w:tcPr>
            <w:tcW w:w="800" w:type="dxa"/>
            <w:vAlign w:val="bottom"/>
            <w:tcBorders>
              <w:top w:val="single" w:sz="8" w:color="auto"/>
              <w:right w:val="single" w:sz="8" w:color="auto"/>
            </w:tcBorders>
            <w:shd w:val="clear" w:color="auto" w:fill="000000"/>
          </w:tcPr>
          <w:p>
            <w:pPr>
              <w:spacing w:after="0"/>
              <w:rPr>
                <w:sz w:val="2"/>
                <w:szCs w:val="2"/>
                <w:color w:val="auto"/>
              </w:rPr>
            </w:pPr>
          </w:p>
        </w:tc>
        <w:tc>
          <w:tcPr>
            <w:tcW w:w="480" w:type="dxa"/>
            <w:vAlign w:val="bottom"/>
            <w:tcBorders>
              <w:top w:val="single" w:sz="8" w:color="CCEEFF"/>
              <w:right w:val="single" w:sz="8" w:color="auto"/>
            </w:tcBorders>
            <w:shd w:val="clear" w:color="auto" w:fill="CCEEFF"/>
          </w:tcPr>
          <w:p>
            <w:pPr>
              <w:spacing w:after="0"/>
              <w:rPr>
                <w:sz w:val="2"/>
                <w:szCs w:val="2"/>
                <w:color w:val="auto"/>
              </w:rPr>
            </w:pPr>
          </w:p>
        </w:tc>
        <w:tc>
          <w:tcPr>
            <w:tcW w:w="7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-1079500</wp:posOffset>
            </wp:positionV>
            <wp:extent cx="26543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-1079500</wp:posOffset>
            </wp:positionV>
            <wp:extent cx="13716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Amortization expense for the years ended December 31, 2020, 2019 and 2018 amounted to $898,548, $3,385,613, and $882,120, respectively. Included in amortization in 2019, is accelerated amortization of $2,479,029 related to intangible assets that the Company initially determined had a useful life of three years. All these intangible assets related to a marketing project that the Company determined will not continue past the end of the fiscal year 2019 and therefore all amortization related to these assets were accelerated and all cost and accumulated amortization written off.</w:t>
      </w:r>
    </w:p>
    <w:p>
      <w:pPr>
        <w:spacing w:after="0" w:line="188" w:lineRule="exact"/>
        <w:rPr>
          <w:sz w:val="20"/>
          <w:szCs w:val="20"/>
          <w:color w:val="auto"/>
        </w:rPr>
      </w:pPr>
    </w:p>
    <w:p>
      <w:pPr>
        <w:ind w:left="640" w:hanging="348"/>
        <w:spacing w:after="0"/>
        <w:tabs>
          <w:tab w:leader="none" w:pos="64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result of the Company’s decision to divest its interest in Divested Entities, the results of operations relating to the Divested Entities have been reclassified to discontinued operations in the consolidated statements of operations for all periods presented.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Revenue and net loss related to discontinued operations for the years ended December 31, 2020, 2019 and 2018 are as follows: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gridSpan w:val="3"/>
          </w:tcPr>
          <w:p>
            <w:pPr>
              <w:spacing w:after="0"/>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r>
      <w:tr>
        <w:trPr>
          <w:trHeight w:val="53"/>
        </w:trPr>
        <w:tc>
          <w:tcPr>
            <w:tcW w:w="59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04"/>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85,907</w:t>
            </w:r>
          </w:p>
        </w:tc>
        <w:tc>
          <w:tcPr>
            <w:tcW w:w="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r>
      <w:tr>
        <w:trPr>
          <w:trHeight w:val="48"/>
        </w:trPr>
        <w:tc>
          <w:tcPr>
            <w:tcW w:w="59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97"/>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3"/>
          </w:tcPr>
          <w:p>
            <w:pP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(1,674,738)</w:t>
            </w:r>
          </w:p>
        </w:tc>
        <w:tc>
          <w:tcPr>
            <w:tcW w:w="380" w:type="dxa"/>
            <w:vAlign w:val="bottom"/>
          </w:tcPr>
          <w:p>
            <w:pPr>
              <w:spacing w:after="0"/>
              <w:rPr>
                <w:sz w:val="24"/>
                <w:szCs w:val="24"/>
                <w:color w:val="auto"/>
              </w:rPr>
            </w:pPr>
          </w:p>
        </w:tc>
        <w:tc>
          <w:tcPr>
            <w:tcW w:w="680" w:type="dxa"/>
            <w:vAlign w:val="bottom"/>
            <w:gridSpan w:val="4"/>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-471170</wp:posOffset>
            </wp:positionV>
            <wp:extent cx="24003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4574540</wp:posOffset>
            </wp:positionH>
            <wp:positionV relativeFrom="paragraph">
              <wp:posOffset>-471170</wp:posOffset>
            </wp:positionV>
            <wp:extent cx="24003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-471170</wp:posOffset>
            </wp:positionV>
            <wp:extent cx="12001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flow from discontinued operations for the year ended December 31, 2020, 2019 and 2018 are as follows: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14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83"/>
              </w:rPr>
              <w:t>2019</w:t>
            </w:r>
          </w:p>
        </w:tc>
        <w:tc>
          <w:tcPr>
            <w:tcW w:w="46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76"/>
              </w:rPr>
              <w:t>2020</w:t>
            </w:r>
          </w:p>
        </w:tc>
      </w:tr>
      <w:tr>
        <w:trPr>
          <w:trHeight w:val="53"/>
        </w:trPr>
        <w:tc>
          <w:tcPr>
            <w:tcW w:w="4820" w:type="dxa"/>
            <w:vAlign w:val="bottom"/>
            <w:tcBorders>
              <w:bottom w:val="single" w:sz="8" w:color="CCEEFF"/>
            </w:tcBorders>
          </w:tcPr>
          <w:p>
            <w:pPr>
              <w:spacing w:after="0"/>
              <w:rPr>
                <w:sz w:val="4"/>
                <w:szCs w:val="4"/>
                <w:color w:val="auto"/>
              </w:rPr>
            </w:pPr>
          </w:p>
        </w:tc>
        <w:tc>
          <w:tcPr>
            <w:tcW w:w="12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r>
      <w:tr>
        <w:trPr>
          <w:trHeight w:val="30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(1,670,873)</w:t>
            </w:r>
          </w:p>
        </w:tc>
        <w:tc>
          <w:tcPr>
            <w:tcW w:w="4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w:t>
            </w:r>
          </w:p>
        </w:tc>
      </w:tr>
      <w:tr>
        <w:trPr>
          <w:trHeight w:val="34"/>
        </w:trPr>
        <w:tc>
          <w:tcPr>
            <w:tcW w:w="48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CCEEFF"/>
            </w:tcBorders>
            <w:shd w:val="clear" w:color="auto" w:fill="CCEEFF"/>
          </w:tcPr>
          <w:p>
            <w:pPr>
              <w:spacing w:after="0"/>
              <w:rPr>
                <w:sz w:val="2"/>
                <w:szCs w:val="2"/>
                <w:color w:val="auto"/>
              </w:rPr>
            </w:pPr>
          </w:p>
        </w:tc>
      </w:tr>
      <w:tr>
        <w:trPr>
          <w:trHeight w:val="283"/>
        </w:trPr>
        <w:tc>
          <w:tcPr>
            <w:tcW w:w="482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355,536</w:t>
            </w:r>
          </w:p>
        </w:tc>
        <w:tc>
          <w:tcPr>
            <w:tcW w:w="4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tcPr>
          <w:p>
            <w:pPr>
              <w:ind w:left="60"/>
              <w:spacing w:after="0"/>
              <w:rPr>
                <w:sz w:val="20"/>
                <w:szCs w:val="20"/>
                <w:color w:val="auto"/>
              </w:rPr>
            </w:pPr>
            <w:r>
              <w:rPr>
                <w:rFonts w:ascii="Arial" w:cs="Arial" w:eastAsia="Arial" w:hAnsi="Arial"/>
                <w:sz w:val="18"/>
                <w:szCs w:val="18"/>
                <w:color w:val="auto"/>
                <w:w w:val="99"/>
              </w:rPr>
              <w:t>—</w:t>
            </w:r>
          </w:p>
        </w:tc>
      </w:tr>
      <w:tr>
        <w:trPr>
          <w:trHeight w:val="20"/>
        </w:trPr>
        <w:tc>
          <w:tcPr>
            <w:tcW w:w="4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r>
        <w:trPr>
          <w:trHeight w:val="34"/>
        </w:trPr>
        <w:tc>
          <w:tcPr>
            <w:tcW w:w="4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304"/>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00" w:type="dxa"/>
            <w:vAlign w:val="bottom"/>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$ 1,268,121</w:t>
            </w:r>
          </w:p>
        </w:tc>
        <w:tc>
          <w:tcPr>
            <w:tcW w:w="440" w:type="dxa"/>
            <w:vAlign w:val="bottom"/>
            <w:tcBorders>
              <w:right w:val="single" w:sz="8" w:color="CCEEFF"/>
            </w:tcBorders>
            <w:shd w:val="clear" w:color="auto" w:fill="CCEEFF"/>
          </w:tcPr>
          <w:p>
            <w:pPr>
              <w:spacing w:after="0"/>
              <w:rPr>
                <w:sz w:val="24"/>
                <w:szCs w:val="24"/>
                <w:color w:val="auto"/>
              </w:rPr>
            </w:pP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85"/>
              </w:rPr>
              <w:t>$—</w:t>
            </w:r>
          </w:p>
        </w:tc>
      </w:tr>
      <w:tr>
        <w:trPr>
          <w:trHeight w:val="27"/>
        </w:trPr>
        <w:tc>
          <w:tcPr>
            <w:tcW w:w="48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000000"/>
          </w:tcPr>
          <w:p>
            <w:pPr>
              <w:spacing w:after="0"/>
              <w:rPr>
                <w:sz w:val="2"/>
                <w:szCs w:val="2"/>
                <w:color w:val="auto"/>
              </w:rPr>
            </w:pPr>
          </w:p>
        </w:tc>
        <w:tc>
          <w:tcPr>
            <w:tcW w:w="460" w:type="dxa"/>
            <w:vAlign w:val="bottom"/>
            <w:tcBorders>
              <w:top w:val="single" w:sz="8" w:color="CCEEFF"/>
              <w:right w:val="single" w:sz="8" w:color="CCEEFF"/>
            </w:tcBorders>
            <w:shd w:val="clear" w:color="auto" w:fill="CCEEFF"/>
          </w:tcPr>
          <w:p>
            <w:pPr>
              <w:spacing w:after="0"/>
              <w:rPr>
                <w:sz w:val="2"/>
                <w:szCs w:val="2"/>
                <w:color w:val="auto"/>
              </w:rPr>
            </w:pPr>
          </w:p>
        </w:tc>
        <w:tc>
          <w:tcPr>
            <w:tcW w:w="280" w:type="dxa"/>
            <w:vAlign w:val="bottom"/>
            <w:tcBorders>
              <w:top w:val="single" w:sz="8" w:color="auto"/>
              <w:right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-702310</wp:posOffset>
            </wp:positionV>
            <wp:extent cx="7372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-702310</wp:posOffset>
            </wp:positionV>
            <wp:extent cx="1371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78" w:lineRule="exact"/>
        <w:rPr>
          <w:sz w:val="20"/>
          <w:szCs w:val="20"/>
          <w:color w:val="auto"/>
        </w:rPr>
      </w:pPr>
    </w:p>
    <w:p>
      <w:pPr>
        <w:ind w:left="640" w:hanging="348"/>
        <w:spacing w:after="0"/>
        <w:tabs>
          <w:tab w:leader="none" w:pos="6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members</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Company assumed four notes payable to the two majority members in connection with the purchase of Weedmaps in 2012. Of the four notes assumed with the purchase, three notes were paid off in full in prior periods. As of December 31, 2020 and 2019, the principal balance of the remaining note totaled $205,324, which bears no interest, and is due in June 2021.</w:t>
      </w:r>
    </w:p>
    <w:p>
      <w:pPr>
        <w:spacing w:after="0" w:line="291" w:lineRule="exact"/>
        <w:rPr>
          <w:sz w:val="20"/>
          <w:szCs w:val="20"/>
          <w:color w:val="auto"/>
        </w:rPr>
      </w:pPr>
    </w:p>
    <w:p>
      <w:pPr>
        <w:ind w:left="640" w:hanging="348"/>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has authorized the following number of Units which have been designated as follows:</w:t>
      </w:r>
    </w:p>
    <w:p>
      <w:pPr>
        <w:spacing w:after="0" w:line="117" w:lineRule="exact"/>
        <w:rPr>
          <w:rFonts w:ascii="Arial" w:cs="Arial" w:eastAsia="Arial" w:hAnsi="Arial"/>
          <w:sz w:val="18"/>
          <w:szCs w:val="18"/>
          <w:b w:val="1"/>
          <w:bCs w:val="1"/>
          <w:color w:val="auto"/>
        </w:rPr>
      </w:pPr>
    </w:p>
    <w:p>
      <w:pPr>
        <w:ind w:left="1000" w:hanging="348"/>
        <w:spacing w:after="0"/>
        <w:tabs>
          <w:tab w:leader="none" w:pos="100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Class A-1 Units - 821,769 authorized, issued and outstanding at December 31, 2020, 2019 and 2018;</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Class A-2 Units - 34,264 authorized; 24,058 Class A-2 Units issued and outstanding as of December 31, 2020, 2019, and 2018;</w:t>
      </w:r>
    </w:p>
    <w:p>
      <w:pPr>
        <w:spacing w:after="0" w:line="62" w:lineRule="exact"/>
        <w:rPr>
          <w:rFonts w:ascii="Arial" w:cs="Arial" w:eastAsia="Arial" w:hAnsi="Arial"/>
          <w:sz w:val="18"/>
          <w:szCs w:val="18"/>
          <w:color w:val="auto"/>
        </w:rPr>
      </w:pPr>
    </w:p>
    <w:p>
      <w:pPr>
        <w:jc w:val="both"/>
        <w:ind w:left="1000" w:right="299" w:hanging="348"/>
        <w:spacing w:after="0" w:line="255" w:lineRule="auto"/>
        <w:tabs>
          <w:tab w:leader="none" w:pos="10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Class A-3 Units / Class B Units - Class B Units or Class A-3 Units can be issued interchangeably, as determined by the Company’s Board of Managers. 274,822 Units authorized; 53,333 Class A-3 Units and 221,483 Class B Units issued and outstanding as of December 31, 2020. 274,667 Units authorized; 53,333 Class A-3 Units and 210,744 Class B Units issued and outstanding as of December 31, 2019. 274,667 Units authorized; 53,333 Class A-3 Units and 192,038 Class B Units issued and outstanding as of December 31, 2018.</w:t>
      </w:r>
    </w:p>
    <w:p>
      <w:pPr>
        <w:spacing w:after="0" w:line="84"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2018, 821,769 Class A-1 Units were authorized, issued and outstanding. On August 15, 2018, the Company’s operating agreement was amended to authorize the subclasses of Class A Units above, and the existing Class A Units prior to such date were designated as Class A-1 Units.</w:t>
      </w:r>
    </w:p>
    <w:p>
      <w:pPr>
        <w:spacing w:after="0" w:line="5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2014, the Company adopted the 2014 WM Holding Company Equity Incentive Plan (the “Original Equity Plan”) to allow for the issuance of Class B Units to employees, consultants, and other service providers. The Original Equity Plan was amended and restated in October 2015 and May 2018 to, among other things, increase the number of Units available for issuance under the Original Equity Plan, as amended. On August 15, 2018, the Company entered into the Third Amended and Restated Equity Incentive Plan, which allows the Company to grant profits interest in the form of both Class B Units and Class A-3 Units and further increases the Units available for issuance under the Original Equity Plan, as amended. The Third Amended and Restated Equity Incentive Plan was further revised in 2020 to increase the number of Units available for issuance.</w:t>
      </w:r>
    </w:p>
    <w:p>
      <w:pPr>
        <w:spacing w:after="0" w:line="7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Class A Units are voting and all profits, losses and distributions are allocated in accordance with the terms set forth in the operating agreement of WM Holding Company, LLC.</w:t>
      </w:r>
    </w:p>
    <w:p>
      <w:pPr>
        <w:spacing w:after="0" w:line="6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On various dates throughout 2018, starting on August 15, 2018, the Company issued and sold 24,058 newly designated Class A-2 Units to a group of third-party investors for a total consideration of $17.6 million.</w:t>
      </w:r>
    </w:p>
    <w:p>
      <w:pPr>
        <w:spacing w:after="0" w:line="38"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Class B Units are nonvoting, do not receive an income allocation or distributions, but will share in the sale proceeds in the event of a change of control transaction or be converted to common stock in the event of an initial public offering (a “Triggering Event”). Once vested, the Class A-3 and Class B Units do not expire and holders are not required to be employed by the Company at the time of a Triggering Event to share in the proceeds of a transaction.</w:t>
      </w:r>
    </w:p>
    <w:p>
      <w:pPr>
        <w:spacing w:after="0" w:line="80"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Such Class A-3 and Class B Units are treated as profits interests under the Internal Revenue Code and are therefore subject to distribution hurdles before they participate in distributions from Triggering Events.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(continued)</w:t>
      </w:r>
    </w:p>
    <w:p>
      <w:pPr>
        <w:spacing w:after="0" w:line="148"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presents issuances of Class A-3 and Class B Units during the years ended December 31, 2020, 2019 and 2018:</w:t>
      </w:r>
    </w:p>
    <w:p>
      <w:pPr>
        <w:spacing w:after="0" w:line="36" w:lineRule="exact"/>
        <w:rPr>
          <w:sz w:val="20"/>
          <w:szCs w:val="20"/>
          <w:color w:val="auto"/>
        </w:rPr>
      </w:pPr>
    </w:p>
    <w:tbl>
      <w:tblPr>
        <w:tblLayout w:type="fixed"/>
        <w:tblInd w:w="300" w:type="dxa"/>
        <w:tblCellMar>
          <w:top w:w="0" w:type="dxa"/>
          <w:left w:w="0" w:type="dxa"/>
          <w:bottom w:w="0" w:type="dxa"/>
          <w:right w:w="0" w:type="dxa"/>
        </w:tblCellMar>
      </w:tblPr>
      <w:tr>
        <w:trPr>
          <w:trHeight w:val="310"/>
        </w:trPr>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2017</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252,241</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7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44,125</w:t>
            </w:r>
          </w:p>
        </w:tc>
        <w:tc>
          <w:tcPr>
            <w:tcW w:w="80" w:type="dxa"/>
            <w:vAlign w:val="bottom"/>
          </w:tcPr>
          <w:p>
            <w:pPr>
              <w:spacing w:after="0"/>
              <w:rPr>
                <w:sz w:val="24"/>
                <w:szCs w:val="24"/>
                <w:color w:val="auto"/>
              </w:rPr>
            </w:pP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(12,391)</w:t>
            </w:r>
          </w:p>
        </w:tc>
      </w:tr>
      <w:tr>
        <w:trPr>
          <w:trHeight w:val="257"/>
        </w:trPr>
        <w:tc>
          <w:tcPr>
            <w:tcW w:w="7760" w:type="dxa"/>
            <w:vAlign w:val="bottom"/>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(38,604)</w:t>
            </w:r>
          </w:p>
        </w:tc>
      </w:tr>
      <w:tr>
        <w:trPr>
          <w:trHeight w:val="61"/>
        </w:trPr>
        <w:tc>
          <w:tcPr>
            <w:tcW w:w="77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2018</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245,371</w:t>
            </w: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25,990</w:t>
            </w:r>
          </w:p>
        </w:tc>
        <w:tc>
          <w:tcPr>
            <w:tcW w:w="80" w:type="dxa"/>
            <w:vAlign w:val="bottom"/>
          </w:tcPr>
          <w:p>
            <w:pPr>
              <w:spacing w:after="0"/>
              <w:rPr>
                <w:sz w:val="23"/>
                <w:szCs w:val="23"/>
                <w:color w:val="auto"/>
              </w:rPr>
            </w:pP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(7,284)</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b w:val="1"/>
                <w:bCs w:val="1"/>
                <w:color w:val="auto"/>
              </w:rPr>
              <w:t>Outstanding at December 31, 2019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264,077</w:t>
            </w:r>
          </w:p>
        </w:tc>
      </w:tr>
      <w:tr>
        <w:trPr>
          <w:trHeight w:val="61"/>
        </w:trPr>
        <w:tc>
          <w:tcPr>
            <w:tcW w:w="77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7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7760" w:type="dxa"/>
            <w:vAlign w:val="bottom"/>
          </w:tcPr>
          <w:p>
            <w:pPr>
              <w:ind w:left="180"/>
              <w:spacing w:after="0"/>
              <w:rPr>
                <w:sz w:val="20"/>
                <w:szCs w:val="20"/>
                <w:color w:val="auto"/>
              </w:rPr>
            </w:pPr>
            <w:r>
              <w:rPr>
                <w:rFonts w:ascii="Arial" w:cs="Arial" w:eastAsia="Arial" w:hAnsi="Arial"/>
                <w:sz w:val="18"/>
                <w:szCs w:val="18"/>
                <w:color w:val="auto"/>
              </w:rPr>
              <w:t>Repurchase</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r>
      <w:tr>
        <w:trPr>
          <w:trHeight w:val="54"/>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Cancellations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(1,611)</w:t>
            </w:r>
          </w:p>
        </w:tc>
      </w:tr>
      <w:tr>
        <w:trPr>
          <w:trHeight w:val="61"/>
        </w:trPr>
        <w:tc>
          <w:tcPr>
            <w:tcW w:w="77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7760" w:type="dxa"/>
            <w:vAlign w:val="bottom"/>
          </w:tcPr>
          <w:p>
            <w:pPr>
              <w:spacing w:after="0"/>
              <w:rPr>
                <w:sz w:val="20"/>
                <w:szCs w:val="20"/>
                <w:color w:val="auto"/>
              </w:rPr>
            </w:pPr>
            <w:r>
              <w:rPr>
                <w:rFonts w:ascii="Arial" w:cs="Arial" w:eastAsia="Arial" w:hAnsi="Arial"/>
                <w:sz w:val="18"/>
                <w:szCs w:val="18"/>
                <w:b w:val="1"/>
                <w:bCs w:val="1"/>
                <w:color w:val="auto"/>
              </w:rPr>
              <w:t>Outstanding at December 31, 2020</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274,816</w:t>
            </w:r>
          </w:p>
        </w:tc>
      </w:tr>
      <w:tr>
        <w:trPr>
          <w:trHeight w:val="20"/>
        </w:trPr>
        <w:tc>
          <w:tcPr>
            <w:tcW w:w="7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77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85"/>
        </w:trPr>
        <w:tc>
          <w:tcPr>
            <w:tcW w:w="7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 as of December 31, 2019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207,398</w:t>
            </w:r>
          </w:p>
        </w:tc>
      </w:tr>
      <w:tr>
        <w:trPr>
          <w:trHeight w:val="297"/>
        </w:trPr>
        <w:tc>
          <w:tcPr>
            <w:tcW w:w="77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Vested as of December 31, 2020</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234,114</w:t>
            </w:r>
          </w:p>
        </w:tc>
        <w:tc>
          <w:tcPr>
            <w:tcW w:w="80" w:type="dxa"/>
            <w:vAlign w:val="bottom"/>
            <w:tcBorders>
              <w:top w:val="single" w:sz="8" w:color="CCEEFF"/>
            </w:tcBorders>
          </w:tcPr>
          <w:p>
            <w:pPr>
              <w:spacing w:after="0"/>
              <w:rPr>
                <w:sz w:val="24"/>
                <w:szCs w:val="24"/>
                <w:color w:val="auto"/>
              </w:rPr>
            </w:pPr>
          </w:p>
        </w:tc>
      </w:tr>
      <w:tr>
        <w:trPr>
          <w:trHeight w:val="20"/>
        </w:trPr>
        <w:tc>
          <w:tcPr>
            <w:tcW w:w="7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presents a summary of unvested Class A-3 and Class B Units during the years ended</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December 31, 2020, 2019 and 2018:</w:t>
      </w:r>
    </w:p>
    <w:p>
      <w:pPr>
        <w:spacing w:after="0" w:line="162"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gridSpan w:val="6"/>
          </w:tcPr>
          <w:p>
            <w:pPr>
              <w:ind w:left="240"/>
              <w:spacing w:after="0"/>
              <w:rPr>
                <w:sz w:val="20"/>
                <w:szCs w:val="20"/>
                <w:color w:val="auto"/>
              </w:rPr>
            </w:pPr>
            <w:r>
              <w:rPr>
                <w:rFonts w:ascii="Arial" w:cs="Arial" w:eastAsia="Arial" w:hAnsi="Arial"/>
                <w:sz w:val="14"/>
                <w:szCs w:val="14"/>
                <w:b w:val="1"/>
                <w:bCs w:val="1"/>
                <w:color w:val="auto"/>
              </w:rPr>
              <w:t>Weighted - Average</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60" w:type="dxa"/>
            <w:vAlign w:val="bottom"/>
          </w:tcPr>
          <w:p>
            <w:pPr>
              <w:spacing w:after="0"/>
              <w:rPr>
                <w:sz w:val="16"/>
                <w:szCs w:val="16"/>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Grant Date</w:t>
            </w: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4"/>
              </w:rPr>
              <w:t>Remaining</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86"/>
        </w:trPr>
        <w:tc>
          <w:tcPr>
            <w:tcW w:w="43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11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0"/>
              </w:rPr>
              <w:t>Years to Vest</w:t>
            </w:r>
          </w:p>
        </w:tc>
        <w:tc>
          <w:tcPr>
            <w:tcW w:w="9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53"/>
        </w:trPr>
        <w:tc>
          <w:tcPr>
            <w:tcW w:w="436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2018</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62,024</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236.37</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12,215,953</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25,990</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531.80</w:t>
            </w: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(24,051)</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231.74</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(7,284)</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238.87</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December 31, 2019</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56,679</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373.47</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18,682,331</w:t>
            </w:r>
          </w:p>
        </w:tc>
        <w:tc>
          <w:tcPr>
            <w:tcW w:w="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36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Granted</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14,250</w:t>
            </w:r>
          </w:p>
        </w:tc>
        <w:tc>
          <w:tcPr>
            <w:tcW w:w="400" w:type="dxa"/>
            <w:vAlign w:val="bottom"/>
            <w:tcBorders>
              <w:top w:val="single" w:sz="8" w:color="CCEEFF"/>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724.28</w:t>
            </w:r>
          </w:p>
        </w:tc>
        <w:tc>
          <w:tcPr>
            <w:tcW w:w="3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6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(28,616)</w:t>
            </w:r>
          </w:p>
        </w:tc>
        <w:tc>
          <w:tcPr>
            <w:tcW w:w="40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359.45</w:t>
            </w:r>
          </w:p>
        </w:tc>
        <w:tc>
          <w:tcPr>
            <w:tcW w:w="3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360" w:type="dxa"/>
            <w:vAlign w:val="bottom"/>
          </w:tcPr>
          <w:p>
            <w:pPr>
              <w:ind w:left="180"/>
              <w:spacing w:after="0"/>
              <w:rPr>
                <w:sz w:val="20"/>
                <w:szCs w:val="20"/>
                <w:color w:val="auto"/>
              </w:rPr>
            </w:pPr>
            <w:r>
              <w:rPr>
                <w:rFonts w:ascii="Arial" w:cs="Arial" w:eastAsia="Arial" w:hAnsi="Arial"/>
                <w:sz w:val="18"/>
                <w:szCs w:val="18"/>
                <w:color w:val="auto"/>
              </w:rPr>
              <w:t>Cancelled</w:t>
            </w:r>
          </w:p>
        </w:tc>
        <w:tc>
          <w:tcPr>
            <w:tcW w:w="620" w:type="dxa"/>
            <w:vAlign w:val="bottom"/>
          </w:tcPr>
          <w:p>
            <w:pPr>
              <w:jc w:val="right"/>
              <w:spacing w:after="0"/>
              <w:rPr>
                <w:sz w:val="20"/>
                <w:szCs w:val="20"/>
                <w:color w:val="auto"/>
              </w:rPr>
            </w:pPr>
            <w:r>
              <w:rPr>
                <w:rFonts w:ascii="Arial" w:cs="Arial" w:eastAsia="Arial" w:hAnsi="Arial"/>
                <w:sz w:val="18"/>
                <w:szCs w:val="18"/>
                <w:color w:val="auto"/>
              </w:rPr>
              <w:t>(1,611)</w:t>
            </w:r>
          </w:p>
        </w:tc>
        <w:tc>
          <w:tcPr>
            <w:tcW w:w="4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450.83</w:t>
            </w: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43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Nonvested, December 31, 2020</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40,702</w:t>
            </w:r>
          </w:p>
        </w:tc>
        <w:tc>
          <w:tcPr>
            <w:tcW w:w="400" w:type="dxa"/>
            <w:vAlign w:val="bottom"/>
            <w:tcBorders>
              <w:right w:val="single" w:sz="8" w:color="CCEEFF"/>
            </w:tcBorders>
            <w:shd w:val="clear" w:color="auto" w:fill="CCEEFF"/>
          </w:tcPr>
          <w:p>
            <w:pPr>
              <w:spacing w:after="0"/>
              <w:rPr>
                <w:sz w:val="24"/>
                <w:szCs w:val="24"/>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518.13</w:t>
            </w:r>
          </w:p>
        </w:tc>
        <w:tc>
          <w:tcPr>
            <w:tcW w:w="32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7"/>
              </w:rPr>
              <w:t>$ 22,474,033</w:t>
            </w:r>
          </w:p>
        </w:tc>
        <w:tc>
          <w:tcPr>
            <w:tcW w:w="0" w:type="dxa"/>
            <w:vAlign w:val="bottom"/>
          </w:tcPr>
          <w:p>
            <w:pPr>
              <w:spacing w:after="0"/>
              <w:rPr>
                <w:sz w:val="1"/>
                <w:szCs w:val="1"/>
                <w:color w:val="auto"/>
              </w:rPr>
            </w:pPr>
          </w:p>
        </w:tc>
      </w:tr>
      <w:tr>
        <w:trPr>
          <w:trHeight w:val="27"/>
        </w:trPr>
        <w:tc>
          <w:tcPr>
            <w:tcW w:w="436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auto"/>
              <w:right w:val="single" w:sz="8" w:color="auto"/>
            </w:tcBorders>
            <w:shd w:val="clear" w:color="auto" w:fill="000000"/>
          </w:tcPr>
          <w:p>
            <w:pPr>
              <w:spacing w:after="0"/>
              <w:rPr>
                <w:sz w:val="2"/>
                <w:szCs w:val="2"/>
                <w:color w:val="auto"/>
              </w:rPr>
            </w:pPr>
          </w:p>
        </w:tc>
        <w:tc>
          <w:tcPr>
            <w:tcW w:w="40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right w:val="single" w:sz="8" w:color="auto"/>
            </w:tcBorders>
            <w:shd w:val="clear" w:color="auto" w:fill="000000"/>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-2005330</wp:posOffset>
            </wp:positionV>
            <wp:extent cx="2057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-2005330</wp:posOffset>
            </wp:positionV>
            <wp:extent cx="20574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-2005330</wp:posOffset>
            </wp:positionV>
            <wp:extent cx="20574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-2005330</wp:posOffset>
            </wp:positionV>
            <wp:extent cx="1028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December 31, 2020, and 2019, no compensation cost has been recorded in connection with the issuance of the Class A-3 and Class B Units as management did not believe that achievement of the performance condition was probable.</w:t>
      </w:r>
    </w:p>
    <w:p>
      <w:pPr>
        <w:spacing w:after="0" w:line="7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measures all employee stock-based compensation awards on the date of grant using the Black-Scholes-Merton valuation model and allocates the related expense over the requisite service period (generally the vesting period of the equity award) which is typically four years. When awards include a performance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66"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76" w:lineRule="exact"/>
        <w:rPr>
          <w:sz w:val="20"/>
          <w:szCs w:val="20"/>
          <w:color w:val="auto"/>
        </w:rPr>
      </w:pPr>
    </w:p>
    <w:p>
      <w:pPr>
        <w:ind w:left="640" w:hanging="348"/>
        <w:spacing w:after="0"/>
        <w:tabs>
          <w:tab w:leader="none" w:pos="6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 (continued)</w:t>
      </w:r>
    </w:p>
    <w:p>
      <w:pPr>
        <w:spacing w:after="0" w:line="148"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that impacts the vesting 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fair value of Class A-3 and B-Units granted were estimated on their respective grant dates using the Black-Scholes-Merton option pricing model and the following assumptions for the years ended December 31, 2020, 2019 and 2018:</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8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53"/>
        </w:trPr>
        <w:tc>
          <w:tcPr>
            <w:tcW w:w="488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- 70%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Risk - free interest rate</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2.65% - 2.90%</w:t>
            </w:r>
          </w:p>
        </w:tc>
        <w:tc>
          <w:tcPr>
            <w:tcW w:w="120" w:type="dxa"/>
            <w:vAlign w:val="bottom"/>
          </w:tcPr>
          <w:p>
            <w:pPr>
              <w:spacing w:after="0"/>
              <w:rPr>
                <w:sz w:val="23"/>
                <w:szCs w:val="23"/>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w w:val="92"/>
              </w:rPr>
              <w:t>1.68% - 2.49%  0.21%</w:t>
            </w:r>
          </w:p>
        </w:tc>
        <w:tc>
          <w:tcPr>
            <w:tcW w:w="600" w:type="dxa"/>
            <w:vAlign w:val="bottom"/>
          </w:tcPr>
          <w:p>
            <w:pPr>
              <w:ind w:left="20"/>
              <w:spacing w:after="0"/>
              <w:rPr>
                <w:sz w:val="20"/>
                <w:szCs w:val="20"/>
                <w:color w:val="auto"/>
              </w:rPr>
            </w:pPr>
            <w:r>
              <w:rPr>
                <w:rFonts w:ascii="Arial" w:cs="Arial" w:eastAsia="Arial" w:hAnsi="Arial"/>
                <w:sz w:val="18"/>
                <w:szCs w:val="18"/>
                <w:color w:val="auto"/>
                <w:w w:val="90"/>
              </w:rPr>
              <w:t>- 0.29%</w:t>
            </w:r>
          </w:p>
        </w:tc>
      </w:tr>
      <w:tr>
        <w:trPr>
          <w:trHeight w:val="54"/>
        </w:trPr>
        <w:tc>
          <w:tcPr>
            <w:tcW w:w="4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304"/>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0.00%</w:t>
            </w:r>
          </w:p>
        </w:tc>
      </w:tr>
      <w:tr>
        <w:trPr>
          <w:trHeight w:val="270"/>
        </w:trPr>
        <w:tc>
          <w:tcPr>
            <w:tcW w:w="48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1220" w:type="dxa"/>
            <w:vAlign w:val="bottom"/>
            <w:gridSpan w:val="2"/>
          </w:tcPr>
          <w:p>
            <w:pPr>
              <w:ind w:left="300"/>
              <w:spacing w:after="0"/>
              <w:rPr>
                <w:sz w:val="20"/>
                <w:szCs w:val="20"/>
                <w:color w:val="auto"/>
              </w:rPr>
            </w:pPr>
            <w:r>
              <w:rPr>
                <w:rFonts w:ascii="Arial" w:cs="Arial" w:eastAsia="Arial" w:hAnsi="Arial"/>
                <w:sz w:val="18"/>
                <w:szCs w:val="18"/>
                <w:color w:val="auto"/>
              </w:rPr>
              <w:t>4 years</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4 years</w:t>
            </w: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4 years</w:t>
            </w:r>
          </w:p>
        </w:tc>
      </w:tr>
      <w:tr>
        <w:trPr>
          <w:trHeight w:val="54"/>
        </w:trPr>
        <w:tc>
          <w:tcPr>
            <w:tcW w:w="48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2"/>
          </w:tcPr>
          <w:p>
            <w:pPr>
              <w:spacing w:after="0"/>
              <w:rPr>
                <w:sz w:val="4"/>
                <w:szCs w:val="4"/>
                <w:color w:val="auto"/>
              </w:rPr>
            </w:pPr>
          </w:p>
        </w:tc>
      </w:tr>
      <w:tr>
        <w:trPr>
          <w:trHeight w:val="27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Weighted - average fair value of common stock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$305.35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$531.80</w:t>
            </w: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$724.28</w:t>
            </w:r>
          </w:p>
        </w:tc>
      </w:tr>
      <w:tr>
        <w:trPr>
          <w:trHeight w:val="54"/>
        </w:trPr>
        <w:tc>
          <w:tcPr>
            <w:tcW w:w="488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-1045210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-1045210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-1045210</wp:posOffset>
            </wp:positionV>
            <wp:extent cx="431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total cumulative amount of compensation cost that would have been recognized had all performance conditions been met is $12.0 million as of December 31, 2020. As a limited liability company, each member’s liability is limited to the capital invested. Should the Company consummate the business combination with Silver Spike Acquisition Corp. and become a publicly traded entity, the limitations on the exercisability of the Class A-3 an B units will be removed and all performance obligations would have been met, resulting in the recognition of all cumulative compensation cost. The Company has an unlimited life subject to consents to dissolve the Company by a majority of the Company’s members.</w:t>
      </w:r>
    </w:p>
    <w:p>
      <w:pPr>
        <w:spacing w:after="0" w:line="173" w:lineRule="exact"/>
        <w:rPr>
          <w:sz w:val="20"/>
          <w:szCs w:val="20"/>
          <w:color w:val="auto"/>
        </w:rPr>
      </w:pPr>
    </w:p>
    <w:p>
      <w:pPr>
        <w:ind w:left="640" w:hanging="348"/>
        <w:spacing w:after="0"/>
        <w:tabs>
          <w:tab w:leader="none" w:pos="6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leases space in Irvine, California; Los Angeles, California; Denver, Colorado; New York, New York; Ontario, Canada; and Barcelona, Spain. Minimum lease obligations under noncancelable operating leases, which expire at various dates through the year ended 2031,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28575</wp:posOffset>
            </wp:positionV>
            <wp:extent cx="5349240" cy="2400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Years ending December 31,</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2021</w:t>
            </w:r>
          </w:p>
        </w:tc>
        <w:tc>
          <w:tcPr>
            <w:tcW w:w="4040" w:type="dxa"/>
            <w:vAlign w:val="bottom"/>
            <w:gridSpan w:val="3"/>
          </w:tcPr>
          <w:p>
            <w:pPr>
              <w:jc w:val="right"/>
              <w:ind w:right="20"/>
              <w:spacing w:after="0"/>
              <w:rPr>
                <w:sz w:val="20"/>
                <w:szCs w:val="20"/>
                <w:color w:val="auto"/>
              </w:rPr>
            </w:pPr>
            <w:r>
              <w:rPr>
                <w:rFonts w:ascii="Arial" w:cs="Arial" w:eastAsia="Arial" w:hAnsi="Arial"/>
                <w:sz w:val="18"/>
                <w:szCs w:val="18"/>
                <w:color w:val="auto"/>
              </w:rPr>
              <w:t>8,225,436</w:t>
            </w:r>
          </w:p>
        </w:tc>
      </w:tr>
      <w:tr>
        <w:trPr>
          <w:trHeight w:val="54"/>
        </w:trPr>
        <w:tc>
          <w:tcPr>
            <w:tcW w:w="43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9,605,487</w:t>
            </w:r>
          </w:p>
        </w:tc>
      </w:tr>
      <w:tr>
        <w:trPr>
          <w:trHeight w:val="270"/>
        </w:trPr>
        <w:tc>
          <w:tcPr>
            <w:tcW w:w="4380" w:type="dxa"/>
            <w:vAlign w:val="bottom"/>
          </w:tcPr>
          <w:p>
            <w:pPr>
              <w:spacing w:after="0"/>
              <w:rPr>
                <w:sz w:val="20"/>
                <w:szCs w:val="20"/>
                <w:color w:val="auto"/>
              </w:rPr>
            </w:pPr>
            <w:r>
              <w:rPr>
                <w:rFonts w:ascii="Arial" w:cs="Arial" w:eastAsia="Arial" w:hAnsi="Arial"/>
                <w:sz w:val="18"/>
                <w:szCs w:val="18"/>
                <w:color w:val="auto"/>
              </w:rPr>
              <w:t>2023</w:t>
            </w:r>
          </w:p>
        </w:tc>
        <w:tc>
          <w:tcPr>
            <w:tcW w:w="4040" w:type="dxa"/>
            <w:vAlign w:val="bottom"/>
            <w:gridSpan w:val="3"/>
          </w:tcPr>
          <w:p>
            <w:pPr>
              <w:jc w:val="right"/>
              <w:ind w:right="20"/>
              <w:spacing w:after="0"/>
              <w:rPr>
                <w:sz w:val="20"/>
                <w:szCs w:val="20"/>
                <w:color w:val="auto"/>
              </w:rPr>
            </w:pPr>
            <w:r>
              <w:rPr>
                <w:rFonts w:ascii="Arial" w:cs="Arial" w:eastAsia="Arial" w:hAnsi="Arial"/>
                <w:sz w:val="18"/>
                <w:szCs w:val="18"/>
                <w:color w:val="auto"/>
              </w:rPr>
              <w:t>9,897,648</w:t>
            </w:r>
          </w:p>
        </w:tc>
      </w:tr>
      <w:tr>
        <w:trPr>
          <w:trHeight w:val="54"/>
        </w:trPr>
        <w:tc>
          <w:tcPr>
            <w:tcW w:w="4380" w:type="dxa"/>
            <w:vAlign w:val="bottom"/>
          </w:tcPr>
          <w:p>
            <w:pPr>
              <w:spacing w:after="0"/>
              <w:rPr>
                <w:sz w:val="4"/>
                <w:szCs w:val="4"/>
                <w:color w:val="auto"/>
              </w:rPr>
            </w:pPr>
          </w:p>
        </w:tc>
        <w:tc>
          <w:tcPr>
            <w:tcW w:w="3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w:t>
            </w:r>
          </w:p>
        </w:tc>
        <w:tc>
          <w:tcPr>
            <w:tcW w:w="4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9,405,482</w:t>
            </w:r>
          </w:p>
        </w:tc>
      </w:tr>
      <w:tr>
        <w:trPr>
          <w:trHeight w:val="256"/>
        </w:trPr>
        <w:tc>
          <w:tcPr>
            <w:tcW w:w="4380" w:type="dxa"/>
            <w:vAlign w:val="bottom"/>
          </w:tcPr>
          <w:p>
            <w:pPr>
              <w:spacing w:after="0"/>
              <w:rPr>
                <w:sz w:val="20"/>
                <w:szCs w:val="20"/>
                <w:color w:val="auto"/>
              </w:rPr>
            </w:pPr>
            <w:r>
              <w:rPr>
                <w:rFonts w:ascii="Arial" w:cs="Arial" w:eastAsia="Arial" w:hAnsi="Arial"/>
                <w:sz w:val="18"/>
                <w:szCs w:val="18"/>
                <w:color w:val="auto"/>
              </w:rPr>
              <w:t>2025 and beyond</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35,561,951</w:t>
            </w:r>
          </w:p>
        </w:tc>
        <w:tc>
          <w:tcPr>
            <w:tcW w:w="20" w:type="dxa"/>
            <w:vAlign w:val="bottom"/>
          </w:tcPr>
          <w:p>
            <w:pPr>
              <w:spacing w:after="0"/>
              <w:rPr>
                <w:sz w:val="22"/>
                <w:szCs w:val="22"/>
                <w:color w:val="auto"/>
              </w:rPr>
            </w:pPr>
          </w:p>
        </w:tc>
      </w:tr>
      <w:tr>
        <w:trPr>
          <w:trHeight w:val="61"/>
        </w:trPr>
        <w:tc>
          <w:tcPr>
            <w:tcW w:w="4380" w:type="dxa"/>
            <w:vAlign w:val="bottom"/>
          </w:tcPr>
          <w:p>
            <w:pPr>
              <w:spacing w:after="0"/>
              <w:rPr>
                <w:sz w:val="5"/>
                <w:szCs w:val="5"/>
                <w:color w:val="auto"/>
              </w:rPr>
            </w:pPr>
          </w:p>
        </w:tc>
        <w:tc>
          <w:tcPr>
            <w:tcW w:w="31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r>
      <w:tr>
        <w:trPr>
          <w:trHeight w:val="290"/>
        </w:trPr>
        <w:tc>
          <w:tcPr>
            <w:tcW w:w="4380" w:type="dxa"/>
            <w:vAlign w:val="bottom"/>
            <w:shd w:val="clear" w:color="auto" w:fill="CCEEFF"/>
          </w:tcPr>
          <w:p>
            <w:pPr>
              <w:spacing w:after="0"/>
              <w:rPr>
                <w:sz w:val="24"/>
                <w:szCs w:val="24"/>
                <w:color w:val="auto"/>
              </w:rPr>
            </w:pPr>
          </w:p>
        </w:tc>
        <w:tc>
          <w:tcPr>
            <w:tcW w:w="4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72,696,004</w:t>
            </w:r>
          </w:p>
        </w:tc>
      </w:tr>
      <w:tr>
        <w:trPr>
          <w:trHeight w:val="27"/>
        </w:trPr>
        <w:tc>
          <w:tcPr>
            <w:tcW w:w="4380" w:type="dxa"/>
            <w:vAlign w:val="bottom"/>
            <w:tcBorders>
              <w:top w:val="single" w:sz="8" w:color="CCEEFF"/>
            </w:tcBorders>
            <w:shd w:val="clear" w:color="auto" w:fill="CCEEFF"/>
          </w:tcPr>
          <w:p>
            <w:pPr>
              <w:spacing w:after="0"/>
              <w:rPr>
                <w:sz w:val="2"/>
                <w:szCs w:val="2"/>
                <w:color w:val="auto"/>
              </w:rPr>
            </w:pPr>
          </w:p>
        </w:tc>
        <w:tc>
          <w:tcPr>
            <w:tcW w:w="31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20" w:type="dxa"/>
            <w:vAlign w:val="bottom"/>
            <w:tcBorders>
              <w:top w:val="single" w:sz="8" w:color="auto"/>
            </w:tcBorders>
            <w:shd w:val="clear" w:color="auto" w:fill="000000"/>
          </w:tcPr>
          <w:p>
            <w:pPr>
              <w:spacing w:after="0"/>
              <w:rPr>
                <w:sz w:val="2"/>
                <w:szCs w:val="2"/>
                <w:color w:val="auto"/>
              </w:rPr>
            </w:pPr>
          </w:p>
        </w:tc>
      </w:tr>
    </w:tbl>
    <w:p>
      <w:pPr>
        <w:spacing w:after="0" w:line="9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Rent expense for the years ended December 31, 2020, 2019 and 2018 amounted to $11.1 million, $5.6 million, and $4.1 million, respectively, and is included in general and administrative expense in the accompanying consolidated statements of operations.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292" w:right="311"/>
        <w:spacing w:after="0" w:line="257" w:lineRule="auto"/>
        <w:rPr>
          <w:sz w:val="20"/>
          <w:szCs w:val="20"/>
          <w:color w:val="auto"/>
        </w:rPr>
      </w:pPr>
      <w:r>
        <w:rPr>
          <w:rFonts w:ascii="Arial" w:cs="Arial" w:eastAsia="Arial" w:hAnsi="Arial"/>
          <w:sz w:val="18"/>
          <w:szCs w:val="18"/>
          <w:b w:val="1"/>
          <w:bCs w:val="1"/>
          <w:color w:val="auto"/>
        </w:rPr>
        <w:t>WM HOLDING COMPANY, LLC AND SUBSIDIARIES NOTES TO CONSOLIDATED FINANCIAL STATEMENTS December 31, 2020, 2019 and 2018</w:t>
      </w:r>
    </w:p>
    <w:p>
      <w:pPr>
        <w:spacing w:after="0" w:line="1" w:lineRule="exact"/>
        <w:rPr>
          <w:sz w:val="20"/>
          <w:szCs w:val="20"/>
          <w:color w:val="auto"/>
        </w:rPr>
      </w:pPr>
    </w:p>
    <w:p>
      <w:pPr>
        <w:ind w:left="640" w:hanging="348"/>
        <w:spacing w:after="0"/>
        <w:tabs>
          <w:tab w:leader="none" w:pos="6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0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evaluated events subsequent to December 31, 2020 for their potential impact on the consolidated financial statements and disclosures through March 9, 2021, the date the consolidated financial statements were available to be issued.</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 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6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left="300" w:right="299"/>
        <w:spacing w:after="0" w:line="266"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BALANCE SHEET (Unaudited) </w:t>
      </w:r>
      <w:r>
        <w:rPr>
          <w:rFonts w:ascii="Arial" w:cs="Arial" w:eastAsia="Arial" w:hAnsi="Arial"/>
          <w:sz w:val="18"/>
          <w:szCs w:val="18"/>
          <w:color w:val="auto"/>
        </w:rPr>
        <w:t>(In thousands, except for unit and per unit amounts)</w:t>
      </w:r>
    </w:p>
    <w:p>
      <w:pPr>
        <w:spacing w:after="0" w:line="14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March 31, 2021</w:t>
            </w:r>
          </w:p>
        </w:tc>
      </w:tr>
      <w:tr>
        <w:trPr>
          <w:trHeight w:val="53"/>
        </w:trPr>
        <w:tc>
          <w:tcPr>
            <w:tcW w:w="74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11"/>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$19,604</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7,553</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200" w:type="dxa"/>
            <w:vAlign w:val="bottom"/>
            <w:shd w:val="clear" w:color="auto" w:fill="CCEEFF"/>
          </w:tcPr>
          <w:p>
            <w:pPr>
              <w:spacing w:after="0"/>
              <w:rPr>
                <w:sz w:val="22"/>
                <w:szCs w:val="22"/>
                <w:color w:val="auto"/>
              </w:rPr>
            </w:pPr>
          </w:p>
        </w:tc>
      </w:tr>
      <w:tr>
        <w:trPr>
          <w:trHeight w:val="61"/>
        </w:trPr>
        <w:tc>
          <w:tcPr>
            <w:tcW w:w="7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84"/>
        </w:trPr>
        <w:tc>
          <w:tcPr>
            <w:tcW w:w="74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34,501</w:t>
            </w:r>
          </w:p>
        </w:tc>
        <w:tc>
          <w:tcPr>
            <w:tcW w:w="200" w:type="dxa"/>
            <w:vAlign w:val="bottom"/>
          </w:tcPr>
          <w:p>
            <w:pPr>
              <w:spacing w:after="0"/>
              <w:rPr>
                <w:sz w:val="24"/>
                <w:szCs w:val="24"/>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Goodwill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Right-of-use Assets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42,113</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25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00" w:type="dxa"/>
            <w:vAlign w:val="bottom"/>
            <w:shd w:val="clear" w:color="auto" w:fill="CCEEFF"/>
          </w:tcPr>
          <w:p>
            <w:pPr>
              <w:spacing w:after="0"/>
              <w:rPr>
                <w:sz w:val="22"/>
                <w:szCs w:val="22"/>
                <w:color w:val="auto"/>
              </w:rPr>
            </w:pPr>
          </w:p>
        </w:tc>
      </w:tr>
      <w:tr>
        <w:trPr>
          <w:trHeight w:val="61"/>
        </w:trPr>
        <w:tc>
          <w:tcPr>
            <w:tcW w:w="74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r>
      <w:tr>
        <w:trPr>
          <w:trHeight w:val="270"/>
        </w:trPr>
        <w:tc>
          <w:tcPr>
            <w:tcW w:w="744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95,621</w:t>
            </w:r>
          </w:p>
        </w:tc>
        <w:tc>
          <w:tcPr>
            <w:tcW w:w="200" w:type="dxa"/>
            <w:vAlign w:val="bottom"/>
          </w:tcPr>
          <w:p>
            <w:pPr>
              <w:spacing w:after="0"/>
              <w:rPr>
                <w:sz w:val="23"/>
                <w:szCs w:val="23"/>
                <w:color w:val="auto"/>
              </w:rPr>
            </w:pPr>
          </w:p>
        </w:tc>
      </w:tr>
      <w:tr>
        <w:trPr>
          <w:trHeight w:val="21"/>
        </w:trPr>
        <w:tc>
          <w:tcPr>
            <w:tcW w:w="7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8"/>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44"/>
        </w:trPr>
        <w:tc>
          <w:tcPr>
            <w:tcW w:w="7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EQUITY</w:t>
            </w:r>
          </w:p>
        </w:tc>
        <w:tc>
          <w:tcPr>
            <w:tcW w:w="2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$13,496</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6,189</w:t>
            </w:r>
          </w:p>
        </w:tc>
        <w:tc>
          <w:tcPr>
            <w:tcW w:w="200" w:type="dxa"/>
            <w:vAlign w:val="bottom"/>
          </w:tcPr>
          <w:p>
            <w:pPr>
              <w:spacing w:after="0"/>
              <w:rPr>
                <w:sz w:val="23"/>
                <w:szCs w:val="23"/>
                <w:color w:val="auto"/>
              </w:rPr>
            </w:pPr>
          </w:p>
        </w:tc>
      </w:tr>
      <w:tr>
        <w:trPr>
          <w:trHeight w:val="54"/>
        </w:trPr>
        <w:tc>
          <w:tcPr>
            <w:tcW w:w="7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r>
      <w:tr>
        <w:trPr>
          <w:trHeight w:val="30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 portion</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4,884</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56"/>
        </w:trPr>
        <w:tc>
          <w:tcPr>
            <w:tcW w:w="7440" w:type="dxa"/>
            <w:vAlign w:val="bottom"/>
          </w:tcPr>
          <w:p>
            <w:pPr>
              <w:ind w:left="180"/>
              <w:spacing w:after="0"/>
              <w:rPr>
                <w:sz w:val="20"/>
                <w:szCs w:val="20"/>
                <w:color w:val="auto"/>
              </w:rPr>
            </w:pPr>
            <w:r>
              <w:rPr>
                <w:rFonts w:ascii="Arial" w:cs="Arial" w:eastAsia="Arial" w:hAnsi="Arial"/>
                <w:sz w:val="18"/>
                <w:szCs w:val="18"/>
                <w:color w:val="auto"/>
              </w:rPr>
              <w:t>Notes payable to members, current portion</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Pr>
          <w:p>
            <w:pPr>
              <w:spacing w:after="0"/>
              <w:rPr>
                <w:sz w:val="22"/>
                <w:szCs w:val="22"/>
                <w:color w:val="auto"/>
              </w:rPr>
            </w:pPr>
          </w:p>
        </w:tc>
      </w:tr>
      <w:tr>
        <w:trPr>
          <w:trHeight w:val="61"/>
        </w:trPr>
        <w:tc>
          <w:tcPr>
            <w:tcW w:w="7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r>
      <w:tr>
        <w:trPr>
          <w:trHeight w:val="318"/>
        </w:trPr>
        <w:tc>
          <w:tcPr>
            <w:tcW w:w="7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24,774</w:t>
            </w:r>
          </w:p>
        </w:tc>
        <w:tc>
          <w:tcPr>
            <w:tcW w:w="200" w:type="dxa"/>
            <w:vAlign w:val="bottom"/>
            <w:tcBorders>
              <w:bottom w:val="single" w:sz="8" w:color="CCEEFF"/>
            </w:tcBorders>
            <w:shd w:val="clear" w:color="auto" w:fill="CCEEFF"/>
          </w:tcPr>
          <w:p>
            <w:pPr>
              <w:spacing w:after="0"/>
              <w:rPr>
                <w:sz w:val="24"/>
                <w:szCs w:val="24"/>
                <w:color w:val="auto"/>
              </w:rPr>
            </w:pPr>
          </w:p>
        </w:tc>
      </w:tr>
      <w:tr>
        <w:trPr>
          <w:trHeight w:val="270"/>
        </w:trPr>
        <w:tc>
          <w:tcPr>
            <w:tcW w:w="744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5349240" cy="2057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drawing>
          <wp:anchor simplePos="0" relativeHeight="251657728" behindDoc="1" locked="0" layoutInCell="0" allowOverlap="1">
            <wp:simplePos x="0" y="0"/>
            <wp:positionH relativeFrom="column">
              <wp:posOffset>4883150</wp:posOffset>
            </wp:positionH>
            <wp:positionV relativeFrom="paragraph">
              <wp:posOffset>-4199890</wp:posOffset>
            </wp:positionV>
            <wp:extent cx="342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Operating lease liabilities, non-current portion</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5349240" cy="2146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liabilities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Commitments and contingencies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48895</wp:posOffset>
            </wp:positionV>
            <wp:extent cx="5349240" cy="2057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Members’ equity</w:t>
      </w:r>
    </w:p>
    <w:p>
      <w:pPr>
        <w:spacing w:after="0" w:line="117" w:lineRule="exact"/>
        <w:rPr>
          <w:sz w:val="20"/>
          <w:szCs w:val="20"/>
          <w:color w:val="auto"/>
        </w:rPr>
      </w:pPr>
    </w:p>
    <w:p>
      <w:pPr>
        <w:ind w:left="660" w:right="160" w:hanging="179"/>
        <w:spacing w:after="0" w:line="277" w:lineRule="auto"/>
        <w:rPr>
          <w:sz w:val="20"/>
          <w:szCs w:val="20"/>
          <w:color w:val="auto"/>
        </w:rPr>
      </w:pPr>
      <w:r>
        <w:rPr>
          <w:rFonts w:ascii="Arial" w:cs="Arial" w:eastAsia="Arial" w:hAnsi="Arial"/>
          <w:sz w:val="18"/>
          <w:szCs w:val="18"/>
          <w:color w:val="auto"/>
        </w:rPr>
        <w:t>Class A-1 Units - no par value; 821,769 units authorized, issued and oustanding at December 31, 2020 and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ind w:left="660" w:right="720" w:hanging="179"/>
        <w:spacing w:after="0" w:line="277" w:lineRule="auto"/>
        <w:rPr>
          <w:sz w:val="20"/>
          <w:szCs w:val="20"/>
          <w:color w:val="auto"/>
        </w:rPr>
      </w:pPr>
      <w:r>
        <w:rPr>
          <w:rFonts w:ascii="Arial" w:cs="Arial" w:eastAsia="Arial" w:hAnsi="Arial"/>
          <w:sz w:val="18"/>
          <w:szCs w:val="18"/>
          <w:color w:val="auto"/>
        </w:rPr>
        <w:t>Class A-2 Units - no par value; 34,264 units authorized, 24,058 issued and outstanding at December 31, 2020 and March 31, 2021</w:t>
      </w:r>
    </w:p>
    <w:p>
      <w:pPr>
        <w:spacing w:after="0" w:line="62" w:lineRule="exact"/>
        <w:rPr>
          <w:sz w:val="20"/>
          <w:szCs w:val="20"/>
          <w:color w:val="auto"/>
        </w:rPr>
      </w:pPr>
    </w:p>
    <w:p>
      <w:pPr>
        <w:ind w:left="660" w:hanging="179"/>
        <w:spacing w:after="0" w:line="311" w:lineRule="auto"/>
        <w:rPr>
          <w:sz w:val="20"/>
          <w:szCs w:val="20"/>
          <w:color w:val="auto"/>
        </w:rPr>
      </w:pPr>
      <w:r>
        <w:rPr>
          <w:rFonts w:ascii="Arial" w:cs="Arial" w:eastAsia="Arial" w:hAnsi="Arial"/>
          <w:sz w:val="16"/>
          <w:szCs w:val="16"/>
          <w:color w:val="auto"/>
        </w:rPr>
        <w:t>Class A-3 Units/Class B Units - no par value; 274,822 units authorized, 53,333 Class A-3 units and 221,483 Class B units issued and outstanding at December 31, 2020; 274,822 units authorized, 53,333 Class A-3 units and 221,447 Class B units issued and outstanding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635</wp:posOffset>
            </wp:positionV>
            <wp:extent cx="5349240" cy="2057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Retained earnings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Member's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5349240" cy="2146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349240" cy="214630"/>
                    </a:xfrm>
                    <a:prstGeom prst="rect">
                      <a:avLst/>
                    </a:prstGeom>
                    <a:noFill/>
                  </pic:spPr>
                </pic:pic>
              </a:graphicData>
            </a:graphic>
          </wp:anchor>
        </w:drawing>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liabilities and members’ equity</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43,558</w:t>
      </w:r>
    </w:p>
    <w:p>
      <w:pPr>
        <w:spacing w:after="0" w:line="117"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906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3683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6"/>
          <w:szCs w:val="16"/>
          <w:color w:val="auto"/>
        </w:rPr>
        <w:t>69,238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5"/>
          <w:szCs w:val="15"/>
          <w:color w:val="auto"/>
        </w:rPr>
        <w:t>2,212</w:t>
      </w:r>
    </w:p>
    <w:p>
      <w:pPr>
        <w:spacing w:after="0" w:line="368" w:lineRule="exact"/>
        <w:rPr>
          <w:sz w:val="20"/>
          <w:szCs w:val="20"/>
          <w:color w:val="auto"/>
        </w:rPr>
      </w:pPr>
    </w:p>
    <w:p>
      <w:pPr>
        <w:ind w:left="80"/>
        <w:spacing w:after="0"/>
        <w:rPr>
          <w:sz w:val="20"/>
          <w:szCs w:val="20"/>
          <w:color w:val="auto"/>
        </w:rPr>
      </w:pPr>
      <w:r>
        <w:rPr>
          <w:rFonts w:ascii="Arial" w:cs="Arial" w:eastAsia="Arial" w:hAnsi="Arial"/>
          <w:sz w:val="16"/>
          <w:szCs w:val="16"/>
          <w:color w:val="auto"/>
        </w:rPr>
        <w:t>16,597</w:t>
      </w:r>
    </w:p>
    <w:p>
      <w:pPr>
        <w:spacing w:after="0" w:line="200" w:lineRule="exact"/>
        <w:rPr>
          <w:sz w:val="20"/>
          <w:szCs w:val="20"/>
          <w:color w:val="auto"/>
        </w:rPr>
      </w:pPr>
    </w:p>
    <w:p>
      <w:pPr>
        <w:spacing w:after="0" w:line="372"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w:t>
      </w:r>
    </w:p>
    <w:p>
      <w:pPr>
        <w:spacing w:after="0" w:line="117" w:lineRule="exact"/>
        <w:rPr>
          <w:sz w:val="20"/>
          <w:szCs w:val="20"/>
          <w:color w:val="auto"/>
        </w:rPr>
      </w:pPr>
    </w:p>
    <w:p>
      <w:pPr>
        <w:jc w:val="right"/>
        <w:ind w:right="499"/>
        <w:spacing w:after="0"/>
        <w:rPr>
          <w:sz w:val="20"/>
          <w:szCs w:val="20"/>
          <w:color w:val="auto"/>
        </w:rPr>
      </w:pPr>
      <w:r>
        <w:rPr>
          <w:rFonts w:ascii="Arial" w:cs="Arial" w:eastAsia="Arial" w:hAnsi="Arial"/>
          <w:sz w:val="18"/>
          <w:szCs w:val="18"/>
          <w:color w:val="auto"/>
        </w:rPr>
        <w:t>7,574</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6"/>
          <w:szCs w:val="16"/>
          <w:color w:val="auto"/>
        </w:rPr>
        <w:t>26,383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wp:posOffset>
            </wp:positionV>
            <wp:extent cx="36004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$95,621</w:t>
      </w:r>
    </w:p>
    <w:p>
      <w:pPr>
        <w:spacing w:after="0" w:line="222" w:lineRule="exact"/>
        <w:rPr>
          <w:sz w:val="20"/>
          <w:szCs w:val="20"/>
          <w:color w:val="auto"/>
        </w:rPr>
      </w:pPr>
    </w:p>
    <w:p>
      <w:pPr>
        <w:sectPr>
          <w:pgSz w:w="11900" w:h="16838" w:orient="portrait"/>
          <w:cols w:equalWidth="0" w:num="2">
            <w:col w:w="7600" w:space="340"/>
            <w:col w:w="1079"/>
          </w:cols>
          <w:pgMar w:left="1440" w:top="265" w:right="1440"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8" w:name="page159"/>
    <w:bookmarkEnd w:id="15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STATEMENTS OF INCOME (Unaudited) </w:t>
      </w:r>
      <w:r>
        <w:rPr>
          <w:rFonts w:ascii="Arial" w:cs="Arial" w:eastAsia="Arial" w:hAnsi="Arial"/>
          <w:sz w:val="18"/>
          <w:szCs w:val="18"/>
          <w:color w:val="auto"/>
        </w:rPr>
        <w:t>(In thousands, except for unit and per unit amounts)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420" w:type="dxa"/>
            <w:vAlign w:val="bottom"/>
          </w:tcPr>
          <w:p>
            <w:pPr>
              <w:spacing w:after="0"/>
              <w:rPr>
                <w:sz w:val="16"/>
                <w:szCs w:val="16"/>
                <w:color w:val="auto"/>
              </w:rPr>
            </w:pPr>
          </w:p>
        </w:tc>
        <w:tc>
          <w:tcPr>
            <w:tcW w:w="3300" w:type="dxa"/>
            <w:vAlign w:val="bottom"/>
            <w:gridSpan w:val="11"/>
          </w:tcPr>
          <w:p>
            <w:pPr>
              <w:ind w:left="40"/>
              <w:spacing w:after="0"/>
              <w:rPr>
                <w:sz w:val="20"/>
                <w:szCs w:val="20"/>
                <w:color w:val="auto"/>
              </w:rPr>
            </w:pPr>
            <w:r>
              <w:rPr>
                <w:rFonts w:ascii="Arial" w:cs="Arial" w:eastAsia="Arial" w:hAnsi="Arial"/>
                <w:sz w:val="14"/>
                <w:szCs w:val="14"/>
                <w:b w:val="1"/>
                <w:bCs w:val="1"/>
                <w:color w:val="auto"/>
              </w:rPr>
              <w:t>Three months ended March 31,</w:t>
            </w:r>
          </w:p>
        </w:tc>
      </w:tr>
      <w:tr>
        <w:trPr>
          <w:trHeight w:val="53"/>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4"/>
        </w:trPr>
        <w:tc>
          <w:tcPr>
            <w:tcW w:w="130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11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9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64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64"/>
        </w:trPr>
        <w:tc>
          <w:tcPr>
            <w:tcW w:w="1300" w:type="dxa"/>
            <w:vAlign w:val="bottom"/>
          </w:tcPr>
          <w:p>
            <w:pPr>
              <w:spacing w:after="0"/>
              <w:rPr>
                <w:sz w:val="22"/>
                <w:szCs w:val="22"/>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32,210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41,154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338"/>
        </w:trPr>
        <w:tc>
          <w:tcPr>
            <w:tcW w:w="130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4"/>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9,117</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7,868</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11,999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13,366</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27,944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33,210</w:t>
            </w:r>
          </w:p>
        </w:tc>
        <w:tc>
          <w:tcPr>
            <w:tcW w:w="12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7,944</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3"/>
        </w:trPr>
        <w:tc>
          <w:tcPr>
            <w:tcW w:w="1300" w:type="dxa"/>
            <w:vAlign w:val="bottom"/>
          </w:tcPr>
          <w:p>
            <w:pPr>
              <w:spacing w:after="0"/>
              <w:rPr>
                <w:sz w:val="24"/>
                <w:szCs w:val="24"/>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IINCOME BEFORE PROVISION FOR INCOME TAXES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7,972</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4"/>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64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7,731</w:t>
            </w: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EARNINGS PER UNIT</w:t>
            </w: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6420" w:type="dxa"/>
            <w:vAlign w:val="bottom"/>
          </w:tcPr>
          <w:p>
            <w:pPr>
              <w:ind w:left="180"/>
              <w:spacing w:after="0"/>
              <w:rPr>
                <w:sz w:val="20"/>
                <w:szCs w:val="20"/>
                <w:color w:val="auto"/>
              </w:rPr>
            </w:pPr>
            <w:r>
              <w:rPr>
                <w:rFonts w:ascii="Arial" w:cs="Arial" w:eastAsia="Arial" w:hAnsi="Arial"/>
                <w:sz w:val="18"/>
                <w:szCs w:val="18"/>
                <w:color w:val="auto"/>
              </w:rPr>
              <w:t>Basic and diluted earnings per Class A-1, A-2 and A-3 units</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8.60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6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4"/>
        </w:trPr>
        <w:tc>
          <w:tcPr>
            <w:tcW w:w="1300" w:type="dxa"/>
            <w:vAlign w:val="bottom"/>
          </w:tcPr>
          <w:p>
            <w:pPr>
              <w:spacing w:after="0"/>
              <w:rPr>
                <w:sz w:val="24"/>
                <w:szCs w:val="24"/>
                <w:color w:val="auto"/>
              </w:rPr>
            </w:pPr>
          </w:p>
        </w:tc>
        <w:tc>
          <w:tcPr>
            <w:tcW w:w="6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weighted-average number of units outstanding</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899,160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64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F-19</w:t>
            </w: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-4105275</wp:posOffset>
            </wp:positionV>
            <wp:extent cx="857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4857750</wp:posOffset>
            </wp:positionH>
            <wp:positionV relativeFrom="paragraph">
              <wp:posOffset>-4105275</wp:posOffset>
            </wp:positionV>
            <wp:extent cx="431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9" w:name="page160"/>
    <w:bookmarkEnd w:id="159"/>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STATEMENTS OF MEMBERS’ EQUITY (Unaudited) </w:t>
      </w:r>
      <w:r>
        <w:rPr>
          <w:rFonts w:ascii="Arial" w:cs="Arial" w:eastAsia="Arial" w:hAnsi="Arial"/>
          <w:sz w:val="18"/>
          <w:szCs w:val="18"/>
          <w:color w:val="auto"/>
        </w:rPr>
        <w:t>(In thousands)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0"/>
              </w:rPr>
              <w:t>Class A-1</w:t>
            </w:r>
          </w:p>
        </w:tc>
        <w:tc>
          <w:tcPr>
            <w:tcW w:w="8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Class A-2</w:t>
            </w:r>
          </w:p>
        </w:tc>
        <w:tc>
          <w:tcPr>
            <w:tcW w:w="7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9"/>
              </w:rPr>
              <w:t>Class A-3/B</w:t>
            </w:r>
          </w:p>
        </w:tc>
        <w:tc>
          <w:tcPr>
            <w:tcW w:w="140" w:type="dxa"/>
            <w:vAlign w:val="bottom"/>
          </w:tcPr>
          <w:p>
            <w:pPr>
              <w:spacing w:after="0"/>
              <w:rPr>
                <w:sz w:val="14"/>
                <w:szCs w:val="14"/>
                <w:color w:val="auto"/>
              </w:rPr>
            </w:pPr>
          </w:p>
        </w:tc>
        <w:tc>
          <w:tcPr>
            <w:tcW w:w="6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98"/>
              </w:rPr>
              <w:t>Retained</w:t>
            </w:r>
          </w:p>
        </w:tc>
        <w:tc>
          <w:tcPr>
            <w:tcW w:w="140" w:type="dxa"/>
            <w:vAlign w:val="bottom"/>
          </w:tcPr>
          <w:p>
            <w:pPr>
              <w:spacing w:after="0"/>
              <w:rPr>
                <w:sz w:val="14"/>
                <w:szCs w:val="14"/>
                <w:color w:val="auto"/>
              </w:rPr>
            </w:pPr>
          </w:p>
        </w:tc>
        <w:tc>
          <w:tcPr>
            <w:tcW w:w="20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7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3"/>
          </w:tcPr>
          <w:p>
            <w:pPr>
              <w:jc w:val="center"/>
              <w:ind w:right="1320"/>
              <w:spacing w:after="0" w:line="149"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Units</w:t>
            </w: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7"/>
              </w:rPr>
              <w:t>Units</w:t>
            </w:r>
          </w:p>
        </w:tc>
        <w:tc>
          <w:tcPr>
            <w:tcW w:w="140" w:type="dxa"/>
            <w:vAlign w:val="bottom"/>
          </w:tcPr>
          <w:p>
            <w:pPr>
              <w:spacing w:after="0"/>
              <w:rPr>
                <w:sz w:val="16"/>
                <w:szCs w:val="16"/>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earnings</w:t>
            </w:r>
          </w:p>
        </w:tc>
        <w:tc>
          <w:tcPr>
            <w:tcW w:w="140" w:type="dxa"/>
            <w:vAlign w:val="bottom"/>
          </w:tcPr>
          <w:p>
            <w:pPr>
              <w:spacing w:after="0"/>
              <w:rPr>
                <w:sz w:val="16"/>
                <w:szCs w:val="16"/>
                <w:color w:val="auto"/>
              </w:rPr>
            </w:pPr>
          </w:p>
        </w:tc>
        <w:tc>
          <w:tcPr>
            <w:tcW w:w="202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326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2020</w:t>
            </w:r>
          </w:p>
        </w:tc>
        <w:tc>
          <w:tcPr>
            <w:tcW w:w="1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2,544</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16,865</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9,862</w:t>
            </w:r>
          </w:p>
        </w:tc>
        <w:tc>
          <w:tcPr>
            <w:tcW w:w="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29,271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Distributions</w:t>
            </w:r>
          </w:p>
        </w:tc>
        <w:tc>
          <w:tcPr>
            <w:tcW w:w="1900" w:type="dxa"/>
            <w:vAlign w:val="bottom"/>
            <w:gridSpan w:val="4"/>
          </w:tcPr>
          <w:p>
            <w:pPr>
              <w:jc w:val="right"/>
              <w:spacing w:after="0"/>
              <w:rPr>
                <w:sz w:val="20"/>
                <w:szCs w:val="20"/>
                <w:color w:val="auto"/>
              </w:rPr>
            </w:pPr>
            <w:r>
              <w:rPr>
                <w:rFonts w:ascii="Arial" w:cs="Arial" w:eastAsia="Arial" w:hAnsi="Arial"/>
                <w:sz w:val="18"/>
                <w:szCs w:val="18"/>
                <w:color w:val="auto"/>
              </w:rPr>
              <w:t>(332)</w:t>
            </w:r>
          </w:p>
        </w:tc>
        <w:tc>
          <w:tcPr>
            <w:tcW w:w="140" w:type="dxa"/>
            <w:vAlign w:val="bottom"/>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(9,913)</w:t>
            </w: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(10,513)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1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6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326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6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32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2021</w:t>
            </w:r>
          </w:p>
        </w:tc>
        <w:tc>
          <w:tcPr>
            <w:tcW w:w="1340" w:type="dxa"/>
            <w:vAlign w:val="bottom"/>
            <w:tcBorders>
              <w:bottom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2,212</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16,597</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$ 7,574</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$ 26,383</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40" w:type="dxa"/>
            <w:vAlign w:val="bottom"/>
            <w:gridSpan w:val="5"/>
          </w:tcPr>
          <w:p>
            <w:pPr>
              <w:ind w:left="780"/>
              <w:spacing w:after="0"/>
              <w:rPr>
                <w:sz w:val="20"/>
                <w:szCs w:val="20"/>
                <w:color w:val="auto"/>
              </w:rPr>
            </w:pPr>
            <w:r>
              <w:rPr>
                <w:rFonts w:ascii="Arial" w:cs="Arial" w:eastAsia="Arial" w:hAnsi="Arial"/>
                <w:sz w:val="18"/>
                <w:szCs w:val="18"/>
                <w:color w:val="auto"/>
              </w:rPr>
              <w:t>F-20</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30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5629275</wp:posOffset>
            </wp:positionH>
            <wp:positionV relativeFrom="paragraph">
              <wp:posOffset>-1464945</wp:posOffset>
            </wp:positionV>
            <wp:extent cx="857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-1464945</wp:posOffset>
            </wp:positionV>
            <wp:extent cx="857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4609465</wp:posOffset>
            </wp:positionH>
            <wp:positionV relativeFrom="paragraph">
              <wp:posOffset>-1464945</wp:posOffset>
            </wp:positionV>
            <wp:extent cx="857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-1464945</wp:posOffset>
            </wp:positionV>
            <wp:extent cx="857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-1464945</wp:posOffset>
            </wp:positionV>
            <wp:extent cx="431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0" w:name="page161"/>
    <w:bookmarkEnd w:id="160"/>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line="275" w:lineRule="auto"/>
        <w:rPr>
          <w:sz w:val="20"/>
          <w:szCs w:val="20"/>
          <w:color w:val="auto"/>
        </w:rPr>
      </w:pPr>
      <w:r>
        <w:rPr>
          <w:rFonts w:ascii="Arial" w:cs="Arial" w:eastAsia="Arial" w:hAnsi="Arial"/>
          <w:sz w:val="18"/>
          <w:szCs w:val="18"/>
          <w:b w:val="1"/>
          <w:bCs w:val="1"/>
          <w:color w:val="auto"/>
        </w:rPr>
        <w:t xml:space="preserve">WM HOLDING COMPANY, LLC AND SUBSIDIARIES INTERIM CONDENSED CONSOLIDATED STATEMENTS OF CASH FLOWS (Unaudited) </w:t>
      </w:r>
      <w:r>
        <w:rPr>
          <w:rFonts w:ascii="Arial" w:cs="Arial" w:eastAsia="Arial" w:hAnsi="Arial"/>
          <w:sz w:val="18"/>
          <w:szCs w:val="18"/>
          <w:color w:val="auto"/>
        </w:rPr>
        <w:t>(In thousands)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6440" w:type="dxa"/>
            <w:vAlign w:val="bottom"/>
          </w:tcPr>
          <w:p>
            <w:pPr>
              <w:spacing w:after="0"/>
              <w:rPr>
                <w:sz w:val="16"/>
                <w:szCs w:val="16"/>
                <w:color w:val="auto"/>
              </w:rPr>
            </w:pPr>
          </w:p>
        </w:tc>
        <w:tc>
          <w:tcPr>
            <w:tcW w:w="3280" w:type="dxa"/>
            <w:vAlign w:val="bottom"/>
            <w:gridSpan w:val="10"/>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64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$ 3,809</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7,731</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999</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(2,524)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381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0" w:type="dxa"/>
            <w:vAlign w:val="bottom"/>
            <w:gridSpan w:val="4"/>
          </w:tcPr>
          <w:p>
            <w:pPr>
              <w:jc w:val="right"/>
              <w:ind w:righ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1,578</w:t>
            </w: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4,896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10,587</w:t>
            </w:r>
          </w:p>
        </w:tc>
        <w:tc>
          <w:tcPr>
            <w:tcW w:w="160" w:type="dxa"/>
            <w:vAlign w:val="bottom"/>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(283)</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7"/>
        </w:trPr>
        <w:tc>
          <w:tcPr>
            <w:tcW w:w="130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ind w:left="180"/>
              <w:spacing w:after="0"/>
              <w:rPr>
                <w:sz w:val="20"/>
                <w:szCs w:val="20"/>
                <w:color w:val="auto"/>
              </w:rPr>
            </w:pPr>
            <w:r>
              <w:rPr>
                <w:rFonts w:ascii="Arial" w:cs="Arial" w:eastAsia="Arial" w:hAnsi="Arial"/>
                <w:sz w:val="18"/>
                <w:szCs w:val="18"/>
                <w:color w:val="auto"/>
              </w:rPr>
              <w:t>Distributions to members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(3,123)</w:t>
            </w:r>
          </w:p>
        </w:tc>
        <w:tc>
          <w:tcPr>
            <w:tcW w:w="140" w:type="dxa"/>
            <w:vAlign w:val="bottom"/>
          </w:tcPr>
          <w:p>
            <w:pPr>
              <w:spacing w:after="0"/>
              <w:rPr>
                <w:sz w:val="23"/>
                <w:szCs w:val="23"/>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(10,513)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6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Class B Units</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(3,213)</w:t>
            </w:r>
          </w:p>
        </w:tc>
        <w:tc>
          <w:tcPr>
            <w:tcW w:w="140" w:type="dxa"/>
            <w:vAlign w:val="bottom"/>
          </w:tcPr>
          <w:p>
            <w:pPr>
              <w:spacing w:after="0"/>
              <w:rPr>
                <w:sz w:val="23"/>
                <w:szCs w:val="23"/>
                <w:color w:val="auto"/>
              </w:rPr>
            </w:pPr>
          </w:p>
        </w:tc>
        <w:tc>
          <w:tcPr>
            <w:tcW w:w="980" w:type="dxa"/>
            <w:vAlign w:val="bottom"/>
            <w:gridSpan w:val="5"/>
          </w:tcPr>
          <w:p>
            <w:pPr>
              <w:jc w:val="right"/>
              <w:ind w:right="120"/>
              <w:spacing w:after="0"/>
              <w:rPr>
                <w:sz w:val="20"/>
                <w:szCs w:val="20"/>
                <w:color w:val="auto"/>
              </w:rPr>
            </w:pPr>
            <w:r>
              <w:rPr>
                <w:rFonts w:ascii="Arial" w:cs="Arial" w:eastAsia="Arial" w:hAnsi="Arial"/>
                <w:sz w:val="18"/>
                <w:szCs w:val="18"/>
                <w:color w:val="auto"/>
              </w:rPr>
              <w:t>(10,619)</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6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increase in cash</w:t>
            </w: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(315)</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6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4,968</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19,919</w:t>
            </w:r>
          </w:p>
        </w:tc>
        <w:tc>
          <w:tcPr>
            <w:tcW w:w="16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300" w:type="dxa"/>
            <w:vAlign w:val="bottom"/>
          </w:tcPr>
          <w:p>
            <w:pPr>
              <w:spacing w:after="0"/>
              <w:rPr>
                <w:sz w:val="5"/>
                <w:szCs w:val="5"/>
                <w:color w:val="auto"/>
              </w:rPr>
            </w:pPr>
          </w:p>
        </w:tc>
        <w:tc>
          <w:tcPr>
            <w:tcW w:w="64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CASH – end of period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$ 6,450</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19,604</w:t>
            </w: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6440" w:type="dxa"/>
            <w:vAlign w:val="bottom"/>
            <w:vMerge w:val="restart"/>
          </w:tcPr>
          <w:p>
            <w:pPr>
              <w:ind w:left="4040"/>
              <w:spacing w:after="0"/>
              <w:rPr>
                <w:sz w:val="20"/>
                <w:szCs w:val="20"/>
                <w:color w:val="auto"/>
              </w:rPr>
            </w:pPr>
            <w:r>
              <w:rPr>
                <w:rFonts w:ascii="Arial" w:cs="Arial" w:eastAsia="Arial" w:hAnsi="Arial"/>
                <w:sz w:val="18"/>
                <w:szCs w:val="18"/>
                <w:color w:val="auto"/>
              </w:rPr>
              <w:t>F-21</w:t>
            </w: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6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64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5466715</wp:posOffset>
            </wp:positionH>
            <wp:positionV relativeFrom="paragraph">
              <wp:posOffset>-5476875</wp:posOffset>
            </wp:positionV>
            <wp:extent cx="8572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4866640</wp:posOffset>
            </wp:positionH>
            <wp:positionV relativeFrom="paragraph">
              <wp:posOffset>-5476875</wp:posOffset>
            </wp:positionV>
            <wp:extent cx="4318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1" w:name="page162"/>
    <w:bookmarkEnd w:id="16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600" w:hanging="308"/>
        <w:spacing w:after="0"/>
        <w:tabs>
          <w:tab w:leader="none" w:pos="6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WM Holding Company, LLC, a Delaware limited liability company, and its subsidiaries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Canada, and the Company has a limited number of non-monetized listings in several international countries including Austria,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the Company migrated all standard listing subscription clients to our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235" w:lineRule="exact"/>
        <w:rPr>
          <w:sz w:val="20"/>
          <w:szCs w:val="20"/>
          <w:color w:val="auto"/>
        </w:rPr>
      </w:pPr>
    </w:p>
    <w:p>
      <w:pPr>
        <w:ind w:left="640" w:hanging="348"/>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jc w:val="both"/>
        <w:ind w:left="300" w:right="319" w:firstLine="360"/>
        <w:spacing w:after="0" w:line="255" w:lineRule="auto"/>
        <w:rPr>
          <w:sz w:val="20"/>
          <w:szCs w:val="20"/>
          <w:color w:val="auto"/>
        </w:rPr>
      </w:pPr>
      <w:r>
        <w:rPr>
          <w:rFonts w:ascii="Arial" w:cs="Arial" w:eastAsia="Arial" w:hAnsi="Arial"/>
          <w:sz w:val="18"/>
          <w:szCs w:val="18"/>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accounting principles generally accepted in the United States of America (“GAAP”) in all material respects, and have been consistently applied in preparing the accompanying consolidated financial statements.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accompanying interim condensed consolidated financial statements have been prepared in accordance with accounting principles generally accepted in the United States of America (“GAAP”) for interim financial information. Accordingly, certain information and footnotes required by U.S. GAAP in annual financial statements have been omitted or condensed and these interim financial statements should be read in conjunction with our audited financial statements elsewhere in this prospectus. The condensed interim financial statements of the Company include all adjustments of a normal recurring nature which, in the opinion of management, are necessary for a fair statement of the Company’s financial position as of March 31, 2021, and results of its operations and its cash flows for the interim periods presented. The results of operations for the three months ended March 31, 2021 are not necessarily indicative of the results to be expected for the entire year. There have been no significant changes in our accounting policies from those described in our audited consolidated financial statements and the related notes to those statements, other than the adoption of the lease accounting guidance.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interim condensed consolidated financial statements include the accounts of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and Weedmaps Germany GmbH. All significant intercompany balance and transactions have been eliminated upon consolidation.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months ended March 31, 2020 and 2021.</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preparation of interim condensed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80"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revenue recognition, stock-based compensation, and the recognition and disclosure of contingent liabilities.</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we reserve for all balance in outstanding in excess of ninety days. Account balances are written off against the allowance when it is determined that it is probable that the receivable will not be recovered. The Company recorded a total allowance of bad debt of $675,000 as of the three months ended March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our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300" w:right="1300"/>
        <w:spacing w:after="0" w:line="311" w:lineRule="auto"/>
        <w:rPr>
          <w:sz w:val="20"/>
          <w:szCs w:val="20"/>
          <w:color w:val="auto"/>
        </w:rPr>
      </w:pPr>
      <w:r>
        <w:rPr>
          <w:rFonts w:ascii="Arial" w:cs="Arial" w:eastAsia="Arial" w:hAnsi="Arial"/>
          <w:sz w:val="16"/>
          <w:szCs w:val="16"/>
          <w:color w:val="auto"/>
        </w:rPr>
        <w:t>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41" w:lineRule="exact"/>
        <w:rPr>
          <w:sz w:val="20"/>
          <w:szCs w:val="20"/>
          <w:color w:val="auto"/>
        </w:rPr>
      </w:pPr>
    </w:p>
    <w:p>
      <w:pPr>
        <w:jc w:val="both"/>
        <w:ind w:left="1300" w:right="1300" w:firstLine="360"/>
        <w:spacing w:after="0" w:line="272" w:lineRule="auto"/>
        <w:rPr>
          <w:sz w:val="20"/>
          <w:szCs w:val="20"/>
          <w:color w:val="auto"/>
        </w:rPr>
      </w:pPr>
      <w:r>
        <w:rPr>
          <w:rFonts w:ascii="Arial" w:cs="Arial" w:eastAsia="Arial" w:hAnsi="Arial"/>
          <w:sz w:val="17"/>
          <w:szCs w:val="17"/>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current period deferred revenue balance of $6.2 million is expected to be recognized in 2021, which is expected to be within the next year.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9"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The following table summarizes the Company’s disaggregated net revenue information for the three months ended March 31, 2021 and 2020 (in thousands):</w:t>
      </w:r>
    </w:p>
    <w:p>
      <w:pPr>
        <w:spacing w:after="0" w:line="1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r>
      <w:tr>
        <w:trPr>
          <w:trHeight w:val="53"/>
        </w:trPr>
        <w:tc>
          <w:tcPr>
            <w:tcW w:w="70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31"/>
        </w:trPr>
        <w:tc>
          <w:tcPr>
            <w:tcW w:w="7060" w:type="dxa"/>
            <w:vAlign w:val="bottom"/>
            <w:shd w:val="clear" w:color="auto" w:fill="CCEEFF"/>
          </w:tcPr>
          <w:p>
            <w:pPr>
              <w:spacing w:after="0" w:line="331" w:lineRule="exact"/>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$31,366</w:t>
            </w:r>
          </w:p>
        </w:tc>
        <w:tc>
          <w:tcPr>
            <w:tcW w:w="16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$41,154</w:t>
            </w:r>
          </w:p>
        </w:tc>
      </w:tr>
      <w:tr>
        <w:trPr>
          <w:trHeight w:val="257"/>
        </w:trPr>
        <w:tc>
          <w:tcPr>
            <w:tcW w:w="7060" w:type="dxa"/>
            <w:vAlign w:val="bottom"/>
          </w:tcPr>
          <w:p>
            <w:pPr>
              <w:spacing w:after="0" w:line="25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600" w:type="dxa"/>
            <w:vAlign w:val="bottom"/>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0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18"/>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32,210</w:t>
            </w:r>
          </w:p>
        </w:tc>
        <w:tc>
          <w:tcPr>
            <w:tcW w:w="160" w:type="dxa"/>
            <w:vAlign w:val="bottom"/>
            <w:shd w:val="clear" w:color="auto" w:fill="CCEEFF"/>
          </w:tcPr>
          <w:p>
            <w:pPr>
              <w:spacing w:after="0"/>
              <w:rPr>
                <w:sz w:val="24"/>
                <w:szCs w:val="24"/>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41,154</w:t>
            </w:r>
          </w:p>
        </w:tc>
      </w:tr>
      <w:tr>
        <w:trPr>
          <w:trHeight w:val="27"/>
        </w:trPr>
        <w:tc>
          <w:tcPr>
            <w:tcW w:w="70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-685165</wp:posOffset>
            </wp:positionV>
            <wp:extent cx="1028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-685165</wp:posOffset>
            </wp:positionV>
            <wp:extent cx="5143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820420</wp:posOffset>
            </wp:positionH>
            <wp:positionV relativeFrom="paragraph">
              <wp:posOffset>154305</wp:posOffset>
            </wp:positionV>
            <wp:extent cx="8229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72" w:lineRule="exact"/>
        <w:rPr>
          <w:sz w:val="20"/>
          <w:szCs w:val="20"/>
          <w:color w:val="auto"/>
        </w:rPr>
      </w:pPr>
    </w:p>
    <w:p>
      <w:pPr>
        <w:ind w:left="1640" w:hanging="348"/>
        <w:spacing w:after="0"/>
        <w:tabs>
          <w:tab w:leader="none" w:pos="16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1640" w:hanging="348"/>
        <w:spacing w:after="0"/>
        <w:tabs>
          <w:tab w:leader="none" w:pos="16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0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 summarizes the Company’s U.S. and foreign revenues for the three months ended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March 31, 2021 and 2020 (in thousands):</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600" w:type="dxa"/>
            <w:vAlign w:val="bottom"/>
          </w:tcPr>
          <w:p>
            <w:pPr>
              <w:jc w:val="right"/>
              <w:ind w:right="75"/>
              <w:spacing w:after="0"/>
              <w:rPr>
                <w:sz w:val="20"/>
                <w:szCs w:val="20"/>
                <w:color w:val="auto"/>
              </w:rPr>
            </w:pPr>
            <w:r>
              <w:rPr>
                <w:rFonts w:ascii="Arial" w:cs="Arial" w:eastAsia="Arial" w:hAnsi="Arial"/>
                <w:sz w:val="14"/>
                <w:szCs w:val="14"/>
                <w:b w:val="1"/>
                <w:bCs w:val="1"/>
                <w:color w:val="auto"/>
              </w:rPr>
              <w:t>2021</w:t>
            </w:r>
          </w:p>
        </w:tc>
      </w:tr>
      <w:tr>
        <w:trPr>
          <w:trHeight w:val="53"/>
        </w:trPr>
        <w:tc>
          <w:tcPr>
            <w:tcW w:w="70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311"/>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$26,047</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$41,154</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Foreign revenues</w:t>
            </w:r>
          </w:p>
        </w:tc>
        <w:tc>
          <w:tcPr>
            <w:tcW w:w="600" w:type="dxa"/>
            <w:vAlign w:val="bottom"/>
          </w:tcPr>
          <w:p>
            <w:pPr>
              <w:jc w:val="right"/>
              <w:spacing w:after="0"/>
              <w:rPr>
                <w:sz w:val="20"/>
                <w:szCs w:val="20"/>
                <w:color w:val="auto"/>
              </w:rPr>
            </w:pPr>
            <w:r>
              <w:rPr>
                <w:rFonts w:ascii="Arial" w:cs="Arial" w:eastAsia="Arial" w:hAnsi="Arial"/>
                <w:sz w:val="18"/>
                <w:szCs w:val="18"/>
                <w:color w:val="auto"/>
              </w:rPr>
              <w:t>6,163</w:t>
            </w:r>
          </w:p>
        </w:tc>
        <w:tc>
          <w:tcPr>
            <w:tcW w:w="1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0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304"/>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$32,210</w:t>
            </w:r>
          </w:p>
        </w:tc>
        <w:tc>
          <w:tcPr>
            <w:tcW w:w="1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$41,154</w:t>
            </w:r>
          </w:p>
        </w:tc>
      </w:tr>
      <w:tr>
        <w:trPr>
          <w:trHeight w:val="324"/>
        </w:trPr>
        <w:tc>
          <w:tcPr>
            <w:tcW w:w="7060" w:type="dxa"/>
            <w:vAlign w:val="bottom"/>
          </w:tcPr>
          <w:p>
            <w:pPr>
              <w:ind w:left="360"/>
              <w:spacing w:after="0"/>
              <w:rPr>
                <w:sz w:val="20"/>
                <w:szCs w:val="20"/>
                <w:color w:val="auto"/>
              </w:rPr>
            </w:pPr>
            <w:r>
              <w:rPr>
                <w:rFonts w:ascii="Arial" w:cs="Arial" w:eastAsia="Arial" w:hAnsi="Arial"/>
                <w:sz w:val="18"/>
                <w:szCs w:val="18"/>
                <w:color w:val="auto"/>
              </w:rPr>
              <w:t>All foreign revenues were generated in Canada.</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5689600</wp:posOffset>
            </wp:positionH>
            <wp:positionV relativeFrom="paragraph">
              <wp:posOffset>-839470</wp:posOffset>
            </wp:positionV>
            <wp:extent cx="1028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-839470</wp:posOffset>
            </wp:positionV>
            <wp:extent cx="514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30"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1300" w:right="1300" w:firstLine="360"/>
        <w:spacing w:after="0" w:line="270" w:lineRule="auto"/>
        <w:rPr>
          <w:sz w:val="20"/>
          <w:szCs w:val="20"/>
          <w:color w:val="auto"/>
        </w:rPr>
      </w:pPr>
      <w:r>
        <w:rPr>
          <w:rFonts w:ascii="Arial" w:cs="Arial" w:eastAsia="Arial" w:hAnsi="Arial"/>
          <w:sz w:val="17"/>
          <w:szCs w:val="17"/>
          <w:color w:val="auto"/>
        </w:rPr>
        <w:t>Other than for the Company’s foreign subsidiaries that are subject to their jurisdictions income tax laws, the remaining subsidiaries, as well as the holding entity, are not subject to income tax, with the members of the Company including their respective share of the Company’s profits and losses in their individual income tax returns. For the three months ended March 31, 2021, the Company recorded a provision for income taxes of approximately $241,000 in the accompanying statements of operations, related to additional income taxes owed by the Company as a result of an audit performed by the Canada Revenue Agency on prior years income taxes paid by the Company’s wholly owned subsidiary, WM Canada Holdings, Inc. There were no other material income tax liabilities related to the foreign subsidiaries for the three months ended March 31, 2020 and 2021, and therefore no additional provision for income taxes was recorded.</w:t>
      </w:r>
    </w:p>
    <w:p>
      <w:pPr>
        <w:spacing w:after="0" w:line="73" w:lineRule="exact"/>
        <w:rPr>
          <w:sz w:val="20"/>
          <w:szCs w:val="20"/>
          <w:color w:val="auto"/>
        </w:rPr>
      </w:pPr>
    </w:p>
    <w:p>
      <w:pPr>
        <w:jc w:val="both"/>
        <w:ind w:left="1300" w:right="1300" w:firstLine="360"/>
        <w:spacing w:after="0" w:line="277" w:lineRule="auto"/>
        <w:rPr>
          <w:sz w:val="20"/>
          <w:szCs w:val="20"/>
          <w:color w:val="auto"/>
        </w:rPr>
      </w:pPr>
      <w:r>
        <w:rPr>
          <w:rFonts w:ascii="Arial" w:cs="Arial" w:eastAsia="Arial" w:hAnsi="Arial"/>
          <w:sz w:val="18"/>
          <w:szCs w:val="18"/>
          <w:color w:val="auto"/>
        </w:rPr>
        <w:t>The components of income (loss) before income taxes for the three months ended March 31, 2021 and 2020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580" w:type="dxa"/>
            <w:vAlign w:val="bottom"/>
          </w:tcPr>
          <w:p>
            <w:pPr>
              <w:jc w:val="right"/>
              <w:ind w:right="55"/>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8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$3,817</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$8,011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Foreign</w:t>
            </w:r>
          </w:p>
        </w:tc>
        <w:tc>
          <w:tcPr>
            <w:tcW w:w="37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80" w:type="dxa"/>
            <w:vAlign w:val="bottom"/>
          </w:tcPr>
          <w:p>
            <w:pPr>
              <w:spacing w:after="0"/>
              <w:rPr>
                <w:sz w:val="4"/>
                <w:szCs w:val="4"/>
                <w:color w:val="auto"/>
              </w:rPr>
            </w:pPr>
          </w:p>
        </w:tc>
        <w:tc>
          <w:tcPr>
            <w:tcW w:w="3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Net income (loss) before provision for income taxes</w:t>
            </w:r>
          </w:p>
        </w:tc>
        <w:tc>
          <w:tcPr>
            <w:tcW w:w="3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$3,809</w:t>
            </w:r>
          </w:p>
        </w:tc>
        <w:tc>
          <w:tcPr>
            <w:tcW w:w="2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$7,972</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960" w:type="dxa"/>
            <w:vAlign w:val="bottom"/>
            <w:gridSpan w:val="3"/>
          </w:tcPr>
          <w:p>
            <w:pPr>
              <w:ind w:left="160"/>
              <w:spacing w:after="0"/>
              <w:rPr>
                <w:sz w:val="20"/>
                <w:szCs w:val="20"/>
                <w:color w:val="auto"/>
              </w:rPr>
            </w:pPr>
            <w:r>
              <w:rPr>
                <w:rFonts w:ascii="Arial" w:cs="Arial" w:eastAsia="Arial" w:hAnsi="Arial"/>
                <w:sz w:val="18"/>
                <w:szCs w:val="18"/>
                <w:color w:val="auto"/>
              </w:rPr>
              <w:t>F-24</w:t>
            </w:r>
          </w:p>
        </w:tc>
        <w:tc>
          <w:tcPr>
            <w:tcW w:w="5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-1036320</wp:posOffset>
            </wp:positionV>
            <wp:extent cx="1543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-1036320</wp:posOffset>
            </wp:positionV>
            <wp:extent cx="7747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electing Limited Liability Company status, the Company does not believe it has any uncertain income tax positions that are more likely than not to materially affect its consolidated financial statements. The Company’s federal and state income tax returns remain open to agency examination for the standard statutory length of time after filing.</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expenses the cost of all advertising in the period incurred. Advertising expense totaled $3.0 million and $1.7 million, for the three months ended March 31, 2021 and 2020, respectively, and are included in sales and marketing expense in the accompanying consolidated statements of operations.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Political Contributions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all political contributions in the period incurred. Political contributions totaled $30,000 and $155,000, for the three months ended March 31, 2021 and 2020, respectively, and are included in other expense in the accompanying consolidated statements of operations.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Company measures all employee stock-based compensation awards on the date of grant using the Black-Scholes-Merton valuation model and allocates the related expense over the requisite service period.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has accounted for the issuance of Class A-3 and Class B Units in accordance with ASC 718, Stock Based Compensation. The Company considers the limitation on the exercisability of the Class A-3 and Class B Units to be a performance condition and, therefore, records compensation cost when it becomes probable that the performance condition will be met. As of March 31, 2021, no compensation cost has been recorded in connection with the issuance of the Class A-3 and Class B Units as management did not believe that achievement of the performance condition was probable.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March 31, 2021, the total unrecognized compensation expense related to Class A-3 and Class B Units was $13.2 million.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Unit</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All Class A Units including Class A-1, Class A-2 and Class A-3 Units have been included in the calculations for earnings per unit as of March 31, 2021 and 2020 primarily due to their voting and distribution rights. Since Class B Units had no voting, distribution, or dividend rights and were subject to exercise limitations, such units have been excluded from the calculations for earnings per unit as of March 31, 2021 and 2020. No other dilutive instruments were outstanding as of March 31, 2021 and 2020.</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 right-of-use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accumulated deficit.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GAAP when it becomes effective and permits the use of either a full retrospective or retrospective with cumulative effect transition method. The Company used the modified retrospective method of adoption, which would require the cumulative effect of initially applying the new revenue standard as an adjustment to the opening balance of retained earnings 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1300" w:right="1300"/>
        <w:spacing w:after="0" w:line="296" w:lineRule="auto"/>
        <w:rPr>
          <w:sz w:val="20"/>
          <w:szCs w:val="20"/>
          <w:color w:val="auto"/>
        </w:rPr>
      </w:pPr>
      <w:r>
        <w:rPr>
          <w:rFonts w:ascii="Arial" w:cs="Arial" w:eastAsia="Arial" w:hAnsi="Arial"/>
          <w:sz w:val="16"/>
          <w:szCs w:val="16"/>
          <w:color w:val="auto"/>
        </w:rPr>
        <w:t>January 1, 2020. Comparative prior year periods would not be adjusted. The new accounting standard was applied to all contracts at the date of initial application. There was no cumulative effect of applying the new revenue standard to contracts executed in prior periods. As such, the adoption of the new accounting standard had no impact on the balance sheet and statement of operations in the current or prior periods. As such, the adoption of the new accounting standard had no impact on the balance sheet and statement of operations in the current or prior periods.</w:t>
      </w:r>
    </w:p>
    <w:p>
      <w:pPr>
        <w:spacing w:after="0" w:line="306" w:lineRule="exact"/>
        <w:rPr>
          <w:sz w:val="20"/>
          <w:szCs w:val="20"/>
          <w:color w:val="auto"/>
        </w:rPr>
      </w:pPr>
    </w:p>
    <w:p>
      <w:pPr>
        <w:ind w:left="1600" w:hanging="308"/>
        <w:spacing w:after="0"/>
        <w:tabs>
          <w:tab w:leader="none" w:pos="160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300" w:right="1320" w:firstLine="360"/>
        <w:spacing w:after="0" w:line="308" w:lineRule="auto"/>
        <w:rPr>
          <w:sz w:val="20"/>
          <w:szCs w:val="20"/>
          <w:color w:val="auto"/>
        </w:rPr>
      </w:pPr>
      <w:r>
        <w:rPr>
          <w:rFonts w:ascii="Arial" w:cs="Arial" w:eastAsia="Arial" w:hAnsi="Arial"/>
          <w:sz w:val="17"/>
          <w:szCs w:val="17"/>
          <w:color w:val="auto"/>
        </w:rPr>
        <w:t>The Company leases office space primarily in the United States under lease agreements classified as operating leases. The Company does not act as a lessor or have any leases classified as financing leases.</w:t>
      </w:r>
    </w:p>
    <w:p>
      <w:pPr>
        <w:spacing w:after="0" w:line="38" w:lineRule="exact"/>
        <w:rPr>
          <w:sz w:val="20"/>
          <w:szCs w:val="20"/>
          <w:color w:val="auto"/>
        </w:rPr>
      </w:pPr>
    </w:p>
    <w:p>
      <w:pPr>
        <w:ind w:left="1300" w:right="1300" w:firstLine="360"/>
        <w:spacing w:after="0" w:line="277" w:lineRule="auto"/>
        <w:rPr>
          <w:sz w:val="20"/>
          <w:szCs w:val="20"/>
          <w:color w:val="auto"/>
        </w:rPr>
      </w:pPr>
      <w:r>
        <w:rPr>
          <w:rFonts w:ascii="Arial" w:cs="Arial" w:eastAsia="Arial" w:hAnsi="Arial"/>
          <w:sz w:val="18"/>
          <w:szCs w:val="18"/>
          <w:color w:val="auto"/>
        </w:rPr>
        <w:t>On March 31, 2021, the Company had operating lease liabilities of $48.4 million and right-of-use assets of $42.1 million, in the accompanying condensed consolidated balance sheet.</w:t>
      </w:r>
    </w:p>
    <w:p>
      <w:pPr>
        <w:spacing w:after="0" w:line="62" w:lineRule="exact"/>
        <w:rPr>
          <w:sz w:val="20"/>
          <w:szCs w:val="20"/>
          <w:color w:val="auto"/>
        </w:rPr>
      </w:pPr>
    </w:p>
    <w:p>
      <w:pPr>
        <w:ind w:left="1300" w:right="1320" w:firstLine="360"/>
        <w:spacing w:after="0" w:line="277" w:lineRule="auto"/>
        <w:rPr>
          <w:sz w:val="20"/>
          <w:szCs w:val="20"/>
          <w:color w:val="auto"/>
        </w:rPr>
      </w:pPr>
      <w:r>
        <w:rPr>
          <w:rFonts w:ascii="Arial" w:cs="Arial" w:eastAsia="Arial" w:hAnsi="Arial"/>
          <w:sz w:val="18"/>
          <w:szCs w:val="18"/>
          <w:color w:val="auto"/>
        </w:rPr>
        <w:t>The components of lease related expense for the three months ended March 31, 2021 are as follows (in thousands):</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53"/>
        </w:trPr>
        <w:tc>
          <w:tcPr>
            <w:tcW w:w="79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4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7920" w:type="dxa"/>
            <w:vAlign w:val="bottom"/>
          </w:tcPr>
          <w:p>
            <w:pPr>
              <w:ind w:left="180"/>
              <w:spacing w:after="0"/>
              <w:rPr>
                <w:sz w:val="20"/>
                <w:szCs w:val="20"/>
                <w:color w:val="auto"/>
              </w:rPr>
            </w:pPr>
            <w:r>
              <w:rPr>
                <w:rFonts w:ascii="Arial" w:cs="Arial" w:eastAsia="Arial" w:hAnsi="Arial"/>
                <w:sz w:val="18"/>
                <w:szCs w:val="18"/>
                <w:color w:val="auto"/>
              </w:rPr>
              <w:t>Operating lease cost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$2,391</w:t>
            </w:r>
          </w:p>
        </w:tc>
      </w:tr>
      <w:tr>
        <w:trPr>
          <w:trHeight w:val="54"/>
        </w:trPr>
        <w:tc>
          <w:tcPr>
            <w:tcW w:w="7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7"/>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Variable lease cost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r>
      <w:tr>
        <w:trPr>
          <w:trHeight w:val="61"/>
        </w:trPr>
        <w:tc>
          <w:tcPr>
            <w:tcW w:w="79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7920" w:type="dxa"/>
            <w:vAlign w:val="bottom"/>
          </w:tcPr>
          <w:p>
            <w:pPr>
              <w:spacing w:after="0"/>
              <w:rPr>
                <w:sz w:val="20"/>
                <w:szCs w:val="20"/>
                <w:color w:val="auto"/>
              </w:rPr>
            </w:pPr>
            <w:r>
              <w:rPr>
                <w:rFonts w:ascii="Arial" w:cs="Arial" w:eastAsia="Arial" w:hAnsi="Arial"/>
                <w:sz w:val="18"/>
                <w:szCs w:val="18"/>
                <w:color w:val="auto"/>
              </w:rPr>
              <w:t>Operating lease expense</w:t>
            </w:r>
          </w:p>
        </w:tc>
        <w:tc>
          <w:tcPr>
            <w:tcW w:w="480" w:type="dxa"/>
            <w:vAlign w:val="bottom"/>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4"/>
                <w:szCs w:val="24"/>
                <w:color w:val="auto"/>
              </w:rPr>
            </w:pPr>
          </w:p>
        </w:tc>
      </w:tr>
      <w:tr>
        <w:trPr>
          <w:trHeight w:val="54"/>
        </w:trPr>
        <w:tc>
          <w:tcPr>
            <w:tcW w:w="79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rent expense</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r>
      <w:tr>
        <w:trPr>
          <w:trHeight w:val="61"/>
        </w:trPr>
        <w:tc>
          <w:tcPr>
            <w:tcW w:w="792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70"/>
        </w:trPr>
        <w:tc>
          <w:tcPr>
            <w:tcW w:w="7920" w:type="dxa"/>
            <w:vAlign w:val="bottom"/>
          </w:tcPr>
          <w:p>
            <w:pPr>
              <w:spacing w:after="0"/>
              <w:rPr>
                <w:sz w:val="20"/>
                <w:szCs w:val="20"/>
                <w:color w:val="auto"/>
              </w:rPr>
            </w:pPr>
            <w:r>
              <w:rPr>
                <w:rFonts w:ascii="Arial" w:cs="Arial" w:eastAsia="Arial" w:hAnsi="Arial"/>
                <w:sz w:val="18"/>
                <w:szCs w:val="18"/>
                <w:color w:val="auto"/>
              </w:rPr>
              <w:t>Net rent expense</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2,922</w:t>
            </w:r>
          </w:p>
        </w:tc>
      </w:tr>
      <w:tr>
        <w:trPr>
          <w:trHeight w:val="20"/>
        </w:trPr>
        <w:tc>
          <w:tcPr>
            <w:tcW w:w="79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5672455</wp:posOffset>
            </wp:positionH>
            <wp:positionV relativeFrom="paragraph">
              <wp:posOffset>-1276350</wp:posOffset>
            </wp:positionV>
            <wp:extent cx="18034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87" w:lineRule="exact"/>
        <w:rPr>
          <w:sz w:val="20"/>
          <w:szCs w:val="20"/>
          <w:color w:val="auto"/>
        </w:rPr>
      </w:pPr>
    </w:p>
    <w:p>
      <w:pPr>
        <w:ind w:left="1300" w:right="1300" w:firstLine="360"/>
        <w:spacing w:after="0" w:line="277" w:lineRule="auto"/>
        <w:rPr>
          <w:sz w:val="20"/>
          <w:szCs w:val="20"/>
          <w:color w:val="auto"/>
        </w:rPr>
      </w:pPr>
      <w:r>
        <w:rPr>
          <w:rFonts w:ascii="Arial" w:cs="Arial" w:eastAsia="Arial" w:hAnsi="Arial"/>
          <w:sz w:val="18"/>
          <w:szCs w:val="18"/>
          <w:color w:val="auto"/>
        </w:rPr>
        <w:t>The components of supplemental cash flow information related to leases for the three months ended March 31, 2021 are as follows (in thousands):</w:t>
      </w:r>
    </w:p>
    <w:p>
      <w:pPr>
        <w:spacing w:after="0" w:line="121"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2021</w:t>
            </w:r>
          </w:p>
        </w:tc>
      </w:tr>
      <w:tr>
        <w:trPr>
          <w:trHeight w:val="53"/>
        </w:trPr>
        <w:tc>
          <w:tcPr>
            <w:tcW w:w="644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r>
      <w:tr>
        <w:trPr>
          <w:trHeight w:val="311"/>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flows - operating leases</w:t>
            </w:r>
          </w:p>
        </w:tc>
        <w:tc>
          <w:tcPr>
            <w:tcW w:w="15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1,188</w:t>
            </w:r>
          </w:p>
        </w:tc>
      </w:tr>
      <w:tr>
        <w:trPr>
          <w:trHeight w:val="270"/>
        </w:trPr>
        <w:tc>
          <w:tcPr>
            <w:tcW w:w="644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$42,113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5646420</wp:posOffset>
            </wp:positionH>
            <wp:positionV relativeFrom="paragraph">
              <wp:posOffset>-393700</wp:posOffset>
            </wp:positionV>
            <wp:extent cx="1543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28" w:lineRule="exact"/>
        <w:rPr>
          <w:sz w:val="20"/>
          <w:szCs w:val="20"/>
          <w:color w:val="auto"/>
        </w:rPr>
      </w:pPr>
    </w:p>
    <w:p>
      <w:pPr>
        <w:jc w:val="both"/>
        <w:ind w:left="1300" w:right="1320" w:firstLine="360"/>
        <w:spacing w:after="0" w:line="277" w:lineRule="auto"/>
        <w:rPr>
          <w:sz w:val="20"/>
          <w:szCs w:val="20"/>
          <w:color w:val="auto"/>
        </w:rPr>
      </w:pPr>
      <w:r>
        <w:rPr>
          <w:rFonts w:ascii="Arial" w:cs="Arial" w:eastAsia="Arial" w:hAnsi="Arial"/>
          <w:sz w:val="18"/>
          <w:szCs w:val="18"/>
          <w:color w:val="auto"/>
        </w:rPr>
        <w:t>The tables below present information regarding the Company's lease assets and liabilities as of March 31, 2021 (in thousands, except years and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78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6"/>
        </w:trPr>
        <w:tc>
          <w:tcPr>
            <w:tcW w:w="1300" w:type="dxa"/>
            <w:vAlign w:val="bottom"/>
          </w:tcPr>
          <w:p>
            <w:pPr>
              <w:spacing w:after="0"/>
              <w:rPr>
                <w:sz w:val="22"/>
                <w:szCs w:val="22"/>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42,113</w:t>
            </w:r>
          </w:p>
        </w:tc>
        <w:tc>
          <w:tcPr>
            <w:tcW w:w="130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
        </w:trPr>
        <w:tc>
          <w:tcPr>
            <w:tcW w:w="130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45"/>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Current</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600" w:type="dxa"/>
            <w:vAlign w:val="bottom"/>
            <w:tcBorders>
              <w:bottom w:val="single" w:sz="8" w:color="CCEEFF"/>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4,884</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Long-term</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7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23"/>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w:t>
            </w:r>
          </w:p>
        </w:tc>
        <w:tc>
          <w:tcPr>
            <w:tcW w:w="600" w:type="dxa"/>
            <w:vAlign w:val="bottom"/>
            <w:tcBorders>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43,558</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Borders>
              <w:top w:val="single" w:sz="8" w:color="CCEEFF"/>
            </w:tcBorders>
          </w:tcPr>
          <w:p>
            <w:pPr>
              <w:spacing w:after="0"/>
              <w:rPr>
                <w:sz w:val="23"/>
                <w:szCs w:val="23"/>
                <w:color w:val="auto"/>
              </w:rPr>
            </w:pPr>
          </w:p>
        </w:tc>
        <w:tc>
          <w:tcPr>
            <w:tcW w:w="60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48,442</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60"/>
        </w:trPr>
        <w:tc>
          <w:tcPr>
            <w:tcW w:w="130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24"/>
                <w:szCs w:val="24"/>
                <w:color w:val="auto"/>
              </w:rPr>
            </w:pPr>
          </w:p>
        </w:tc>
      </w:tr>
      <w:tr>
        <w:trPr>
          <w:trHeight w:val="53"/>
        </w:trPr>
        <w:tc>
          <w:tcPr>
            <w:tcW w:w="1300" w:type="dxa"/>
            <w:vAlign w:val="bottom"/>
          </w:tcPr>
          <w:p>
            <w:pPr>
              <w:spacing w:after="0"/>
              <w:rPr>
                <w:sz w:val="4"/>
                <w:szCs w:val="4"/>
                <w:color w:val="auto"/>
              </w:rPr>
            </w:pPr>
          </w:p>
        </w:tc>
        <w:tc>
          <w:tcPr>
            <w:tcW w:w="78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 operating leases (in years)</w:t>
            </w:r>
          </w:p>
        </w:tc>
        <w:tc>
          <w:tcPr>
            <w:tcW w:w="60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300" w:type="dxa"/>
            <w:vAlign w:val="bottom"/>
          </w:tcPr>
          <w:p>
            <w:pPr>
              <w:spacing w:after="0"/>
              <w:rPr>
                <w:sz w:val="23"/>
                <w:szCs w:val="23"/>
                <w:color w:val="auto"/>
              </w:rPr>
            </w:pPr>
          </w:p>
        </w:tc>
      </w:tr>
      <w:tr>
        <w:trPr>
          <w:trHeight w:val="486"/>
        </w:trPr>
        <w:tc>
          <w:tcPr>
            <w:tcW w:w="1300" w:type="dxa"/>
            <w:vAlign w:val="bottom"/>
          </w:tcPr>
          <w:p>
            <w:pPr>
              <w:spacing w:after="0"/>
              <w:rPr>
                <w:sz w:val="24"/>
                <w:szCs w:val="24"/>
                <w:color w:val="auto"/>
              </w:rPr>
            </w:pPr>
          </w:p>
        </w:tc>
        <w:tc>
          <w:tcPr>
            <w:tcW w:w="7820" w:type="dxa"/>
            <w:vAlign w:val="bottom"/>
          </w:tcPr>
          <w:p>
            <w:pPr>
              <w:ind w:left="4040"/>
              <w:spacing w:after="0"/>
              <w:rPr>
                <w:sz w:val="20"/>
                <w:szCs w:val="20"/>
                <w:color w:val="auto"/>
              </w:rPr>
            </w:pPr>
            <w:r>
              <w:rPr>
                <w:rFonts w:ascii="Arial" w:cs="Arial" w:eastAsia="Arial" w:hAnsi="Arial"/>
                <w:sz w:val="18"/>
                <w:szCs w:val="18"/>
                <w:color w:val="auto"/>
              </w:rPr>
              <w:t>F-27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7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5638165</wp:posOffset>
            </wp:positionH>
            <wp:positionV relativeFrom="paragraph">
              <wp:posOffset>-2819400</wp:posOffset>
            </wp:positionV>
            <wp:extent cx="1543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5655310</wp:posOffset>
            </wp:positionH>
            <wp:positionV relativeFrom="paragraph">
              <wp:posOffset>-830580</wp:posOffset>
            </wp:positionV>
            <wp:extent cx="24828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828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of March 31, 2021, future minimum payments during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6"/>
              </w:rPr>
              <w:t>Operating</w:t>
            </w:r>
          </w:p>
        </w:tc>
      </w:tr>
      <w:tr>
        <w:trPr>
          <w:trHeight w:val="186"/>
        </w:trPr>
        <w:tc>
          <w:tcPr>
            <w:tcW w:w="54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Leases</w:t>
            </w:r>
          </w:p>
        </w:tc>
      </w:tr>
      <w:tr>
        <w:trPr>
          <w:trHeight w:val="53"/>
        </w:trPr>
        <w:tc>
          <w:tcPr>
            <w:tcW w:w="5480" w:type="dxa"/>
            <w:vAlign w:val="bottom"/>
            <w:tcBorders>
              <w:bottom w:val="single" w:sz="8" w:color="CCEEFF"/>
            </w:tcBorders>
          </w:tcPr>
          <w:p>
            <w:pPr>
              <w:spacing w:after="0"/>
              <w:rPr>
                <w:sz w:val="4"/>
                <w:szCs w:val="4"/>
                <w:color w:val="auto"/>
              </w:rPr>
            </w:pPr>
          </w:p>
        </w:tc>
        <w:tc>
          <w:tcPr>
            <w:tcW w:w="2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Period Ended December 31, 2021</w:t>
            </w:r>
          </w:p>
        </w:tc>
        <w:tc>
          <w:tcPr>
            <w:tcW w:w="2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7,029</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Year Ended December 31, 2022</w:t>
            </w: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9,597</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2023</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Year Ended December 31, 2024</w:t>
            </w:r>
          </w:p>
        </w:tc>
        <w:tc>
          <w:tcPr>
            <w:tcW w:w="2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23"/>
                <w:szCs w:val="23"/>
                <w:color w:val="auto"/>
              </w:rPr>
            </w:pPr>
          </w:p>
        </w:tc>
      </w:tr>
      <w:tr>
        <w:trPr>
          <w:trHeight w:val="54"/>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Ended December 31, 2025</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Thereafter</w:t>
            </w:r>
          </w:p>
        </w:tc>
        <w:tc>
          <w:tcPr>
            <w:tcW w:w="22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29,732</w:t>
            </w:r>
          </w:p>
        </w:tc>
        <w:tc>
          <w:tcPr>
            <w:tcW w:w="80" w:type="dxa"/>
            <w:vAlign w:val="bottom"/>
          </w:tcPr>
          <w:p>
            <w:pPr>
              <w:spacing w:after="0"/>
              <w:rPr>
                <w:sz w:val="23"/>
                <w:szCs w:val="23"/>
                <w:color w:val="auto"/>
              </w:rPr>
            </w:pPr>
          </w:p>
        </w:tc>
      </w:tr>
      <w:tr>
        <w:trPr>
          <w:trHeight w:val="48"/>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71,491</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Less present value discount</w:t>
            </w:r>
          </w:p>
        </w:tc>
        <w:tc>
          <w:tcPr>
            <w:tcW w:w="2940" w:type="dxa"/>
            <w:vAlign w:val="bottom"/>
            <w:gridSpan w:val="4"/>
          </w:tcPr>
          <w:p>
            <w:pPr>
              <w:jc w:val="right"/>
              <w:ind w:right="20"/>
              <w:spacing w:after="0"/>
              <w:rPr>
                <w:sz w:val="20"/>
                <w:szCs w:val="20"/>
                <w:color w:val="auto"/>
              </w:rPr>
            </w:pPr>
            <w:r>
              <w:rPr>
                <w:rFonts w:ascii="Arial" w:cs="Arial" w:eastAsia="Arial" w:hAnsi="Arial"/>
                <w:sz w:val="18"/>
                <w:szCs w:val="18"/>
                <w:color w:val="auto"/>
              </w:rPr>
              <w:t>(23,049)</w:t>
            </w:r>
          </w:p>
        </w:tc>
      </w:tr>
      <w:tr>
        <w:trPr>
          <w:trHeight w:val="48"/>
        </w:trPr>
        <w:tc>
          <w:tcPr>
            <w:tcW w:w="54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48,442</w:t>
            </w:r>
          </w:p>
        </w:tc>
        <w:tc>
          <w:tcPr>
            <w:tcW w:w="8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-1902460</wp:posOffset>
            </wp:positionV>
            <wp:extent cx="137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Company’s lease agreements do not provide an implicit rate, so the Company used an estimated incremental borrowing rate, which was derived from third-party information available at the time the Company adopted ASC 842, in determining the present value of lease payments. The rate used is for a secured borrowing of a similar term as the leases.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Rent expense for the three months ended March 31, 2021 and 2020 was $2.9 million and $2.0 million, respectively.</w:t>
      </w:r>
    </w:p>
    <w:p>
      <w:pPr>
        <w:spacing w:after="0" w:line="274" w:lineRule="exact"/>
        <w:rPr>
          <w:sz w:val="20"/>
          <w:szCs w:val="20"/>
          <w:color w:val="auto"/>
        </w:rPr>
      </w:pPr>
    </w:p>
    <w:p>
      <w:pPr>
        <w:ind w:left="600" w:hanging="308"/>
        <w:spacing w:after="0"/>
        <w:tabs>
          <w:tab w:leader="none" w:pos="60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 to Members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assumed four notes payable to the two majority members in connection with the purchase of Weedmaps in 2012. Of the four notes assumed with the purchase, three notes were paid off in full in prior periods; while the remaining balance relates to one note outstanding that bears no interest. One of these notes was paid off in full in 2018, the other paid partially, with the remaining balance due in June 2021. As of March 31, 2021, the principal balance of the note totaled $205,000.</w:t>
      </w:r>
    </w:p>
    <w:p>
      <w:pPr>
        <w:spacing w:after="0" w:line="278" w:lineRule="exact"/>
        <w:rPr>
          <w:sz w:val="20"/>
          <w:szCs w:val="20"/>
          <w:color w:val="auto"/>
        </w:rPr>
      </w:pPr>
    </w:p>
    <w:p>
      <w:pPr>
        <w:ind w:left="600" w:hanging="308"/>
        <w:spacing w:after="0"/>
        <w:tabs>
          <w:tab w:leader="none" w:pos="60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September 2019, the Company received a grand jury subpoena prepared by the United States Attorney’s Office for the Eastern District of California. The subpoena demanded certain categories of information from the Company, some of which the Company has already provided. Management believes that the outcome of such inquiry will not have a material adverse impact of the Company’s financial position, results of operations, or cash flow.</w:t>
      </w:r>
    </w:p>
    <w:p>
      <w:pPr>
        <w:spacing w:after="0" w:line="292" w:lineRule="exact"/>
        <w:rPr>
          <w:sz w:val="20"/>
          <w:szCs w:val="20"/>
          <w:color w:val="auto"/>
        </w:rPr>
      </w:pPr>
    </w:p>
    <w:p>
      <w:pPr>
        <w:ind w:left="600" w:hanging="308"/>
        <w:spacing w:after="0"/>
        <w:tabs>
          <w:tab w:leader="none" w:pos="60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evaluated events subsequent to March 31, 2021 for their potential impact on the consolidated financial statements and disclosures through May 14, 2021, the date the consolidated financial statements were available to be issued.</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With respect to the ongoing and evolving coronavirus (COVID-19) outbreak, which was designated as a pandemic by the World Health Organization on March 11, 2020, the outbreak has caused substantial disruption in international and U.S. economies and markets. The outbreak has potential to have an adverse impact on the manufacturing, distribution, logistics, and technology industries and, if repercussions of the outbreak are prolonged,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HOLDING COMPANY,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2020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could have a significant adverse impact on the cannabis industry and the Company, which could be material. The Company’s management cannot at this point estimate the impact of the outbreak on its business and no provision for this outbreak are reflected in the accompanying financial statements.</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December 10, 2020, the Company announced an agreement for a business combination with Silver Spike Acquisition Corp., a publicly traded special purpose acquisition company, that would result in the Company becoming a publicly traded entity following the close of the transaction. The estimated gross proceeds of the transaction are $575 million made up of $250 million of cash held-in-trust by Silver Spike Acquisition Corp. and an additional $325 million of fully committed common stock from a private investment in public equity. The transaction is estimated to close in the second quarter of fiscal year 2021.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Silver Spike Acquisition Corp.</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have audited the accompanying consolidated balance sheets of Silver Spike Acquisition Corp. (the “Company”) as of December 31, 2020 and 2019, the related consolidated statements of operations, changes in shareholders’ equity and cash flows for year ended December 31, 2020 and for the period from June 7, 2019 (inception) through December 31, 2019, and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 ended December 31, 2020 and for the period from June 7, 2019 (inception) through December 31, 2019, in conformity with accounting principles generally accepted in the United States of America.</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As discussed in Note 1 to the financial statements, the Company’s business plan is dependent on the completion of a business combination and the Company’s cash and working capital as of December 31, 2020 are not sufficient to complete its planned activities.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Restatement of Previously Issued Financial Statements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discussed in Note 2 , the accompanying financial statements as of December 31, 2020 and 2019 and for the year ended December 31, 2020 and for the period June 7, 2019 (inception) through December 31, 2019, have been restated to correct an error.</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6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261429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Marcum LLP</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jc w:val="both"/>
        <w:ind w:left="300" w:right="319"/>
        <w:spacing w:after="0" w:line="260" w:lineRule="auto"/>
        <w:rPr>
          <w:sz w:val="20"/>
          <w:szCs w:val="20"/>
          <w:color w:val="auto"/>
        </w:rPr>
      </w:pPr>
      <w:r>
        <w:rPr>
          <w:rFonts w:ascii="Arial" w:cs="Arial" w:eastAsia="Arial" w:hAnsi="Arial"/>
          <w:sz w:val="18"/>
          <w:szCs w:val="18"/>
          <w:color w:val="auto"/>
        </w:rPr>
        <w:t>March 8, 2021, except for the effects of the restatement disclosed in Note 2 to the financial statements, as to which the date is May 12, 2021.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(As Restated)</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5"/>
          </w:tcPr>
          <w:p>
            <w:pPr>
              <w:jc w:val="right"/>
              <w:ind w:right="651"/>
              <w:spacing w:after="0"/>
              <w:rPr>
                <w:sz w:val="20"/>
                <w:szCs w:val="20"/>
                <w:color w:val="auto"/>
              </w:rPr>
            </w:pPr>
            <w:r>
              <w:rPr>
                <w:rFonts w:ascii="Arial" w:cs="Arial" w:eastAsia="Arial" w:hAnsi="Arial"/>
                <w:sz w:val="14"/>
                <w:szCs w:val="14"/>
                <w:b w:val="1"/>
                <w:bCs w:val="1"/>
                <w:color w:val="auto"/>
              </w:rPr>
              <w:t>December 31,</w:t>
            </w:r>
          </w:p>
        </w:tc>
      </w:tr>
      <w:tr>
        <w:trPr>
          <w:trHeight w:val="53"/>
        </w:trPr>
        <w:tc>
          <w:tcPr>
            <w:tcW w:w="6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24"/>
        </w:trPr>
        <w:tc>
          <w:tcPr>
            <w:tcW w:w="6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271"/>
              <w:spacing w:after="0"/>
              <w:rPr>
                <w:sz w:val="20"/>
                <w:szCs w:val="20"/>
                <w:color w:val="auto"/>
              </w:rPr>
            </w:pPr>
            <w:r>
              <w:rPr>
                <w:rFonts w:ascii="Arial" w:cs="Arial" w:eastAsia="Arial" w:hAnsi="Arial"/>
                <w:sz w:val="14"/>
                <w:szCs w:val="14"/>
                <w:b w:val="1"/>
                <w:bCs w:val="1"/>
                <w:color w:val="auto"/>
              </w:rPr>
              <w:t>2019</w:t>
            </w:r>
          </w:p>
        </w:tc>
      </w:tr>
      <w:tr>
        <w:trPr>
          <w:trHeight w:val="53"/>
        </w:trPr>
        <w:tc>
          <w:tcPr>
            <w:tcW w:w="6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1"/>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r>
      <w:tr>
        <w:trPr>
          <w:trHeight w:val="257"/>
        </w:trPr>
        <w:tc>
          <w:tcPr>
            <w:tcW w:w="61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257,110</w:t>
            </w:r>
          </w:p>
        </w:tc>
      </w:tr>
      <w:tr>
        <w:trPr>
          <w:trHeight w:val="61"/>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318"/>
        </w:trPr>
        <w:tc>
          <w:tcPr>
            <w:tcW w:w="6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343,540</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1,151,699</w:t>
            </w:r>
          </w:p>
        </w:tc>
      </w:tr>
      <w:tr>
        <w:trPr>
          <w:trHeight w:val="324"/>
        </w:trPr>
        <w:tc>
          <w:tcPr>
            <w:tcW w:w="612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r>
      <w:tr>
        <w:trPr>
          <w:trHeight w:val="257"/>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254,187,706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251,924,993</w:t>
            </w:r>
          </w:p>
        </w:tc>
      </w:tr>
      <w:tr>
        <w:trPr>
          <w:trHeight w:val="61"/>
        </w:trPr>
        <w:tc>
          <w:tcPr>
            <w:tcW w:w="61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80" w:type="dxa"/>
            <w:vAlign w:val="bottom"/>
            <w:tcBorders>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240" w:type="dxa"/>
            <w:vAlign w:val="bottom"/>
          </w:tcPr>
          <w:p>
            <w:pPr>
              <w:spacing w:after="0"/>
              <w:rPr>
                <w:sz w:val="23"/>
                <w:szCs w:val="23"/>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253,076,692</w:t>
            </w:r>
          </w:p>
        </w:tc>
      </w:tr>
      <w:tr>
        <w:trPr>
          <w:trHeight w:val="21"/>
        </w:trPr>
        <w:tc>
          <w:tcPr>
            <w:tcW w:w="6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64"/>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 accounts payable and accrued expenses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3,152,970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63,680,000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13,260,000</w:t>
            </w: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8,750,000</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8,750,000</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75,582,970</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22,106,895</w:t>
            </w:r>
          </w:p>
        </w:tc>
      </w:tr>
      <w:tr>
        <w:trPr>
          <w:trHeight w:val="61"/>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338"/>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24"/>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 17,108,250 and</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rPr>
              <w:t>22,424,313 shares at redemption value at December 31, 2020 and 2019,</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12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173,948,273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225,969,796</w:t>
            </w:r>
          </w:p>
        </w:tc>
      </w:tr>
      <w:tr>
        <w:trPr>
          <w:trHeight w:val="61"/>
        </w:trPr>
        <w:tc>
          <w:tcPr>
            <w:tcW w:w="6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r>
      <w:tr>
        <w:trPr>
          <w:trHeight w:val="338"/>
        </w:trPr>
        <w:tc>
          <w:tcPr>
            <w:tcW w:w="6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w w:val="94"/>
              </w:rPr>
              <w:t>Preference shares, $0.0001 par value; 1,000,000 shares authorized; none issued</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20" w:type="dxa"/>
            <w:vAlign w:val="bottom"/>
          </w:tcPr>
          <w:p>
            <w:pPr>
              <w:spacing w:after="0"/>
              <w:rPr>
                <w:sz w:val="20"/>
                <w:szCs w:val="20"/>
                <w:color w:val="auto"/>
              </w:rPr>
            </w:pPr>
            <w:r>
              <w:rPr>
                <w:rFonts w:ascii="Arial" w:cs="Arial" w:eastAsia="Arial" w:hAnsi="Arial"/>
                <w:sz w:val="18"/>
                <w:szCs w:val="18"/>
                <w:color w:val="auto"/>
              </w:rPr>
              <w:t>Class A ordinary shares, $0.0001 par value; 200,000,000 shares authorized;</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w w:val="93"/>
              </w:rPr>
              <w:t>7,891,750 and 2,575,687 shares issued and outstanding (excluding 17,108,250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120" w:type="dxa"/>
            <w:vAlign w:val="bottom"/>
          </w:tcPr>
          <w:p>
            <w:pPr>
              <w:ind w:left="180"/>
              <w:spacing w:after="0"/>
              <w:rPr>
                <w:sz w:val="20"/>
                <w:szCs w:val="20"/>
                <w:color w:val="auto"/>
              </w:rPr>
            </w:pPr>
            <w:r>
              <w:rPr>
                <w:rFonts w:ascii="Arial" w:cs="Arial" w:eastAsia="Arial" w:hAnsi="Arial"/>
                <w:sz w:val="18"/>
                <w:szCs w:val="18"/>
                <w:color w:val="auto"/>
                <w:w w:val="95"/>
              </w:rPr>
              <w:t>and 22,424,313 shares subject to possible redemption) at December 31, 2020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 $0.0001 par value; 20,000,000 shares authorized;</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spacing w:after="0"/>
              <w:rPr>
                <w:sz w:val="22"/>
                <w:szCs w:val="22"/>
                <w:color w:val="auto"/>
              </w:rPr>
            </w:pPr>
          </w:p>
        </w:tc>
      </w:tr>
      <w:tr>
        <w:trPr>
          <w:trHeight w:val="26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9"/>
              </w:rPr>
              <w:t>6,250,000 shares issued and outstanding at December 31, 2020 and 2019</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52,020,992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7"/>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 (Accumulated Deficit)</w:t>
            </w:r>
          </w:p>
        </w:tc>
        <w:tc>
          <w:tcPr>
            <w:tcW w:w="1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(47,022,403)</w:t>
            </w: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4,999,118</w:t>
            </w:r>
          </w:p>
        </w:tc>
      </w:tr>
      <w:tr>
        <w:trPr>
          <w:trHeight w:val="61"/>
        </w:trPr>
        <w:tc>
          <w:tcPr>
            <w:tcW w:w="6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80" w:type="dxa"/>
            <w:vAlign w:val="bottom"/>
            <w:tcBorders>
              <w:top w:val="single" w:sz="8" w:color="auto"/>
              <w:right w:val="single" w:sz="8" w:color="CCEEFF"/>
            </w:tcBorders>
            <w:shd w:val="clear" w:color="auto" w:fill="CCEEFF"/>
          </w:tcPr>
          <w:p>
            <w:pPr>
              <w:spacing w:after="0"/>
              <w:rPr>
                <w:sz w:val="5"/>
                <w:szCs w:val="5"/>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5,000,003</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5,000,001</w:t>
            </w:r>
          </w:p>
        </w:tc>
      </w:tr>
      <w:tr>
        <w:trPr>
          <w:trHeight w:val="61"/>
        </w:trPr>
        <w:tc>
          <w:tcPr>
            <w:tcW w:w="61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r>
      <w:tr>
        <w:trPr>
          <w:trHeight w:val="29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24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253,076,692</w:t>
            </w:r>
          </w:p>
        </w:tc>
      </w:tr>
      <w:tr>
        <w:trPr>
          <w:trHeight w:val="27"/>
        </w:trPr>
        <w:tc>
          <w:tcPr>
            <w:tcW w:w="6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80" w:type="dxa"/>
            <w:vAlign w:val="bottom"/>
            <w:tcBorders>
              <w:top w:val="single" w:sz="8" w:color="auto"/>
              <w:right w:val="single" w:sz="8" w:color="CCEEFF"/>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-6703060</wp:posOffset>
            </wp:positionV>
            <wp:extent cx="15430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-6703060</wp:posOffset>
            </wp:positionV>
            <wp:extent cx="774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(As Restated)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Period</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June 7, 2019</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6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3,864,234</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306,834</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Compensation Expense</w:t>
            </w:r>
          </w:p>
        </w:tc>
        <w:tc>
          <w:tcPr>
            <w:tcW w:w="120" w:type="dxa"/>
            <w:vAlign w:val="bottom"/>
          </w:tcPr>
          <w:p>
            <w:pPr>
              <w:spacing w:after="0"/>
              <w:rPr>
                <w:sz w:val="22"/>
                <w:szCs w:val="22"/>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280,000</w:t>
            </w:r>
          </w:p>
        </w:tc>
        <w:tc>
          <w:tcPr>
            <w:tcW w:w="0" w:type="dxa"/>
            <w:vAlign w:val="bottom"/>
          </w:tcPr>
          <w:p>
            <w:pPr>
              <w:spacing w:after="0"/>
              <w:rPr>
                <w:sz w:val="1"/>
                <w:szCs w:val="1"/>
                <w:color w:val="auto"/>
              </w:rPr>
            </w:pPr>
          </w:p>
        </w:tc>
      </w:tr>
      <w:tr>
        <w:trPr>
          <w:trHeight w:val="61"/>
        </w:trPr>
        <w:tc>
          <w:tcPr>
            <w:tcW w:w="6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(3,864,234)</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(586,834)</w:t>
            </w:r>
          </w:p>
        </w:tc>
        <w:tc>
          <w:tcPr>
            <w:tcW w:w="0" w:type="dxa"/>
            <w:vAlign w:val="bottom"/>
          </w:tcPr>
          <w:p>
            <w:pPr>
              <w:spacing w:after="0"/>
              <w:rPr>
                <w:sz w:val="1"/>
                <w:szCs w:val="1"/>
                <w:color w:val="auto"/>
              </w:rPr>
            </w:pPr>
          </w:p>
        </w:tc>
      </w:tr>
      <w:tr>
        <w:trPr>
          <w:trHeight w:val="324"/>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2,257,985</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1,812,577</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2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5"/>
              </w:rPr>
              <w:t>(50,420,000)</w:t>
            </w: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4,645,000</w:t>
            </w:r>
          </w:p>
        </w:tc>
        <w:tc>
          <w:tcPr>
            <w:tcW w:w="0" w:type="dxa"/>
            <w:vAlign w:val="bottom"/>
          </w:tcPr>
          <w:p>
            <w:pPr>
              <w:spacing w:after="0"/>
              <w:rPr>
                <w:sz w:val="1"/>
                <w:szCs w:val="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23"/>
                <w:szCs w:val="23"/>
                <w:color w:val="auto"/>
              </w:rPr>
            </w:pPr>
          </w:p>
        </w:tc>
        <w:tc>
          <w:tcPr>
            <w:tcW w:w="114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(630,591)</w:t>
            </w:r>
          </w:p>
        </w:tc>
        <w:tc>
          <w:tcPr>
            <w:tcW w:w="0" w:type="dxa"/>
            <w:vAlign w:val="bottom"/>
          </w:tcPr>
          <w:p>
            <w:pPr>
              <w:spacing w:after="0"/>
              <w:rPr>
                <w:sz w:val="1"/>
                <w:szCs w:val="1"/>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4,728</w:t>
            </w:r>
          </w:p>
        </w:tc>
        <w:tc>
          <w:tcPr>
            <w:tcW w:w="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112,416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Other (expense) income</w:t>
            </w: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w w:val="95"/>
              </w:rPr>
              <w:t>(48,157,287)</w:t>
            </w: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5,939,402</w:t>
            </w:r>
          </w:p>
        </w:tc>
        <w:tc>
          <w:tcPr>
            <w:tcW w:w="0" w:type="dxa"/>
            <w:vAlign w:val="bottom"/>
          </w:tcPr>
          <w:p>
            <w:pPr>
              <w:spacing w:after="0"/>
              <w:rPr>
                <w:sz w:val="1"/>
                <w:szCs w:val="1"/>
                <w:color w:val="auto"/>
              </w:rPr>
            </w:pPr>
          </w:p>
        </w:tc>
      </w:tr>
      <w:tr>
        <w:trPr>
          <w:trHeight w:val="61"/>
        </w:trPr>
        <w:tc>
          <w:tcPr>
            <w:tcW w:w="6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7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180" w:type="dxa"/>
            <w:vAlign w:val="bottom"/>
          </w:tcPr>
          <w:p>
            <w:pPr>
              <w:ind w:left="180"/>
              <w:spacing w:after="0"/>
              <w:rPr>
                <w:sz w:val="20"/>
                <w:szCs w:val="20"/>
                <w:color w:val="auto"/>
              </w:rPr>
            </w:pPr>
            <w:r>
              <w:rPr>
                <w:rFonts w:ascii="Arial" w:cs="Arial" w:eastAsia="Arial" w:hAnsi="Arial"/>
                <w:sz w:val="18"/>
                <w:szCs w:val="18"/>
                <w:b w:val="1"/>
                <w:bCs w:val="1"/>
                <w:color w:val="auto"/>
              </w:rPr>
              <w:t>Net (loss) income</w:t>
            </w:r>
          </w:p>
        </w:tc>
        <w:tc>
          <w:tcPr>
            <w:tcW w:w="1020" w:type="dxa"/>
            <w:vAlign w:val="bottom"/>
            <w:gridSpan w:val="4"/>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(52,021,521)</w:t>
            </w:r>
          </w:p>
        </w:tc>
        <w:tc>
          <w:tcPr>
            <w:tcW w:w="2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w w:val="94"/>
              </w:rPr>
              <w:t>5,352,568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w w:val="93"/>
              </w:rPr>
              <w:t>Basic and diluted weighted average shares outstanding, Ordinary shares subject to</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61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22,226,328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21,936,952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2"/>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9,023,672</w:t>
            </w: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8,367,106</w:t>
            </w:r>
          </w:p>
        </w:tc>
        <w:tc>
          <w:tcPr>
            <w:tcW w:w="0" w:type="dxa"/>
            <w:vAlign w:val="bottom"/>
          </w:tcPr>
          <w:p>
            <w:pPr>
              <w:spacing w:after="0"/>
              <w:rPr>
                <w:sz w:val="1"/>
                <w:szCs w:val="1"/>
                <w:color w:val="auto"/>
              </w:rPr>
            </w:pPr>
          </w:p>
        </w:tc>
      </w:tr>
      <w:tr>
        <w:trPr>
          <w:trHeight w:val="48"/>
        </w:trPr>
        <w:tc>
          <w:tcPr>
            <w:tcW w:w="6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(5.94)</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0.42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-4242435</wp:posOffset>
            </wp:positionV>
            <wp:extent cx="15430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-4242435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2" w:name="page173"/>
    <w:bookmarkEnd w:id="17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 (As Restated)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660" w:type="dxa"/>
            <w:vAlign w:val="bottom"/>
            <w:gridSpan w:val="5"/>
          </w:tcPr>
          <w:p>
            <w:pPr>
              <w:ind w:left="40"/>
              <w:spacing w:after="0"/>
              <w:rPr>
                <w:sz w:val="20"/>
                <w:szCs w:val="20"/>
                <w:color w:val="auto"/>
              </w:rPr>
            </w:pPr>
            <w:r>
              <w:rPr>
                <w:rFonts w:ascii="Arial" w:cs="Arial" w:eastAsia="Arial" w:hAnsi="Arial"/>
                <w:sz w:val="14"/>
                <w:szCs w:val="14"/>
                <w:b w:val="1"/>
                <w:bCs w:val="1"/>
                <w:color w:val="auto"/>
                <w:w w:val="97"/>
              </w:rPr>
              <w:t>Class A Ordinary Shares</w:t>
            </w:r>
          </w:p>
        </w:tc>
        <w:tc>
          <w:tcPr>
            <w:tcW w:w="160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w w:val="92"/>
              </w:rPr>
              <w:t>Class B Ordinary Shares</w:t>
            </w:r>
          </w:p>
        </w:tc>
        <w:tc>
          <w:tcPr>
            <w:tcW w:w="120" w:type="dxa"/>
            <w:vAlign w:val="bottom"/>
          </w:tcPr>
          <w:p>
            <w:pPr>
              <w:spacing w:after="0"/>
              <w:rPr>
                <w:sz w:val="14"/>
                <w:szCs w:val="14"/>
                <w:color w:val="auto"/>
              </w:rPr>
            </w:pP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0"/>
        </w:trPr>
        <w:tc>
          <w:tcPr>
            <w:tcW w:w="178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vMerge w:val="restart"/>
          </w:tcPr>
          <w:p>
            <w:pPr>
              <w:jc w:val="right"/>
              <w:ind w:right="315"/>
              <w:spacing w:after="0" w:line="149"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7"/>
                <w:szCs w:val="7"/>
                <w:color w:val="auto"/>
              </w:rPr>
            </w:pPr>
          </w:p>
        </w:tc>
        <w:tc>
          <w:tcPr>
            <w:tcW w:w="102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rPr>
              <w:t>Retained</w:t>
            </w:r>
          </w:p>
        </w:tc>
        <w:tc>
          <w:tcPr>
            <w:tcW w:w="10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1780" w:type="dxa"/>
            <w:vAlign w:val="bottom"/>
          </w:tcPr>
          <w:p>
            <w:pPr>
              <w:spacing w:after="0"/>
              <w:rPr>
                <w:sz w:val="3"/>
                <w:szCs w:val="3"/>
                <w:color w:val="auto"/>
              </w:rPr>
            </w:pPr>
          </w:p>
        </w:tc>
        <w:tc>
          <w:tcPr>
            <w:tcW w:w="10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3"/>
                <w:szCs w:val="3"/>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3"/>
                <w:szCs w:val="3"/>
                <w:color w:val="auto"/>
              </w:rPr>
            </w:pPr>
          </w:p>
        </w:tc>
        <w:tc>
          <w:tcPr>
            <w:tcW w:w="106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17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Earnings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7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7,</w:t>
            </w:r>
          </w:p>
        </w:tc>
        <w:tc>
          <w:tcPr>
            <w:tcW w:w="100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8"/>
                <w:szCs w:val="18"/>
                <w:color w:val="auto"/>
              </w:rPr>
              <w:t>Issuance of Class B</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ordinary shares to</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8"/>
                <w:szCs w:val="18"/>
                <w:color w:val="auto"/>
                <w:w w:val="97"/>
              </w:rPr>
              <w:t>7,187,500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24,281</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 of 25,000,000</w:t>
            </w:r>
          </w:p>
        </w:tc>
        <w:tc>
          <w:tcPr>
            <w:tcW w:w="10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Units, net of</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underwriting</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discounts and</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expenses</w:t>
            </w:r>
          </w:p>
        </w:tc>
        <w:tc>
          <w:tcPr>
            <w:tcW w:w="100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25,000,000</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8"/>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9"/>
              </w:rPr>
              <w:t>225,589,729</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225,592,229</w:t>
            </w:r>
          </w:p>
        </w:tc>
        <w:tc>
          <w:tcPr>
            <w:tcW w:w="0" w:type="dxa"/>
            <w:vAlign w:val="bottom"/>
          </w:tcPr>
          <w:p>
            <w:pPr>
              <w:spacing w:after="0"/>
              <w:rPr>
                <w:sz w:val="1"/>
                <w:szCs w:val="1"/>
                <w:color w:val="auto"/>
              </w:rPr>
            </w:pPr>
          </w:p>
        </w:tc>
      </w:tr>
      <w:tr>
        <w:trPr>
          <w:trHeight w:val="324"/>
        </w:trPr>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Forfeiture of 937,500</w:t>
            </w:r>
          </w:p>
        </w:tc>
        <w:tc>
          <w:tcPr>
            <w:tcW w:w="10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B ordinary</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0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(937,500)</w:t>
            </w:r>
          </w:p>
        </w:tc>
        <w:tc>
          <w:tcPr>
            <w:tcW w:w="680" w:type="dxa"/>
            <w:vAlign w:val="bottom"/>
            <w:tcBorders>
              <w:bottom w:val="single" w:sz="8" w:color="CCEEFF"/>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1780" w:type="dxa"/>
            <w:vAlign w:val="bottom"/>
          </w:tcPr>
          <w:p>
            <w:pPr>
              <w:spacing w:after="0"/>
              <w:rPr>
                <w:sz w:val="20"/>
                <w:szCs w:val="20"/>
                <w:color w:val="auto"/>
              </w:rPr>
            </w:pPr>
            <w:r>
              <w:rPr>
                <w:rFonts w:ascii="Arial" w:cs="Arial" w:eastAsia="Arial" w:hAnsi="Arial"/>
                <w:sz w:val="18"/>
                <w:szCs w:val="18"/>
                <w:color w:val="auto"/>
                <w:w w:val="91"/>
              </w:rPr>
              <w:t>Class A ordinary shares</w:t>
            </w: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Pr>
          <w:p>
            <w:pPr>
              <w:ind w:left="180"/>
              <w:spacing w:after="0"/>
              <w:rPr>
                <w:sz w:val="20"/>
                <w:szCs w:val="20"/>
                <w:color w:val="auto"/>
              </w:rPr>
            </w:pPr>
            <w:r>
              <w:rPr>
                <w:rFonts w:ascii="Arial" w:cs="Arial" w:eastAsia="Arial" w:hAnsi="Arial"/>
                <w:sz w:val="18"/>
                <w:szCs w:val="18"/>
                <w:color w:val="auto"/>
              </w:rPr>
              <w:t>subject to possible</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000" w:type="dxa"/>
            <w:vAlign w:val="bottom"/>
          </w:tcPr>
          <w:p>
            <w:pPr>
              <w:jc w:val="right"/>
              <w:spacing w:after="0"/>
              <w:rPr>
                <w:sz w:val="20"/>
                <w:szCs w:val="20"/>
                <w:color w:val="auto"/>
              </w:rPr>
            </w:pPr>
            <w:r>
              <w:rPr>
                <w:rFonts w:ascii="Arial" w:cs="Arial" w:eastAsia="Arial" w:hAnsi="Arial"/>
                <w:sz w:val="18"/>
                <w:szCs w:val="18"/>
                <w:color w:val="auto"/>
                <w:w w:val="88"/>
              </w:rPr>
              <w:t>(22,424,313)</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(2,242)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6"/>
              </w:rPr>
              <w:t>(225,614,104)</w:t>
            </w:r>
          </w:p>
        </w:tc>
        <w:tc>
          <w:tcPr>
            <w:tcW w:w="160" w:type="dxa"/>
            <w:vAlign w:val="bottom"/>
          </w:tcPr>
          <w:p>
            <w:pPr>
              <w:spacing w:after="0"/>
              <w:rPr>
                <w:sz w:val="20"/>
                <w:szCs w:val="20"/>
                <w:color w:val="auto"/>
              </w:rPr>
            </w:pPr>
          </w:p>
        </w:tc>
        <w:tc>
          <w:tcPr>
            <w:tcW w:w="2040" w:type="dxa"/>
            <w:vAlign w:val="bottom"/>
            <w:gridSpan w:val="4"/>
          </w:tcPr>
          <w:p>
            <w:pPr>
              <w:jc w:val="right"/>
              <w:ind w:right="20"/>
              <w:spacing w:after="0"/>
              <w:rPr>
                <w:sz w:val="20"/>
                <w:szCs w:val="20"/>
                <w:color w:val="auto"/>
              </w:rPr>
            </w:pPr>
            <w:r>
              <w:rPr>
                <w:rFonts w:ascii="Arial" w:cs="Arial" w:eastAsia="Arial" w:hAnsi="Arial"/>
                <w:sz w:val="18"/>
                <w:szCs w:val="18"/>
                <w:color w:val="auto"/>
              </w:rPr>
              <w:t>(353,450)  (225,969,796)</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56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4"/>
              </w:rPr>
              <w:t>5,352,568</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5,352,568</w:t>
            </w:r>
          </w:p>
        </w:tc>
        <w:tc>
          <w:tcPr>
            <w:tcW w:w="0" w:type="dxa"/>
            <w:vAlign w:val="bottom"/>
          </w:tcPr>
          <w:p>
            <w:pPr>
              <w:spacing w:after="0"/>
              <w:rPr>
                <w:sz w:val="1"/>
                <w:szCs w:val="1"/>
                <w:color w:val="auto"/>
              </w:rPr>
            </w:pPr>
          </w:p>
        </w:tc>
      </w:tr>
      <w:tr>
        <w:trPr>
          <w:trHeight w:val="61"/>
        </w:trPr>
        <w:tc>
          <w:tcPr>
            <w:tcW w:w="1780" w:type="dxa"/>
            <w:vAlign w:val="bottom"/>
            <w:tcBorders>
              <w:top w:val="single" w:sz="8" w:color="CCEEFF"/>
              <w:right w:val="single" w:sz="8" w:color="CCEEFF"/>
            </w:tcBorders>
            <w:shd w:val="clear" w:color="auto" w:fill="CCEEFF"/>
          </w:tcPr>
          <w:p>
            <w:pPr>
              <w:spacing w:after="0"/>
              <w:rPr>
                <w:sz w:val="5"/>
                <w:szCs w:val="5"/>
                <w:color w:val="auto"/>
              </w:rPr>
            </w:pPr>
          </w:p>
        </w:tc>
        <w:tc>
          <w:tcPr>
            <w:tcW w:w="100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auto"/>
              <w:right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1060" w:type="dxa"/>
            <w:vAlign w:val="bottom"/>
            <w:tcBorders>
              <w:top w:val="single" w:sz="8" w:color="auto"/>
              <w:right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right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780" w:type="dxa"/>
            <w:vAlign w:val="bottom"/>
          </w:tcPr>
          <w:p>
            <w:pPr>
              <w:spacing w:after="0"/>
              <w:rPr>
                <w:sz w:val="20"/>
                <w:szCs w:val="20"/>
                <w:color w:val="auto"/>
              </w:rPr>
            </w:pPr>
            <w:r>
              <w:rPr>
                <w:rFonts w:ascii="Arial" w:cs="Arial" w:eastAsia="Arial" w:hAnsi="Arial"/>
                <w:sz w:val="18"/>
                <w:szCs w:val="18"/>
                <w:b w:val="1"/>
                <w:bCs w:val="1"/>
                <w:color w:val="auto"/>
              </w:rPr>
              <w:t>Balance –</w:t>
            </w: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780" w:type="dxa"/>
            <w:vAlign w:val="bottom"/>
          </w:tcPr>
          <w:p>
            <w:pPr>
              <w:ind w:left="180"/>
              <w:spacing w:after="0"/>
              <w:rPr>
                <w:sz w:val="20"/>
                <w:szCs w:val="20"/>
                <w:color w:val="auto"/>
              </w:rPr>
            </w:pPr>
            <w:r>
              <w:rPr>
                <w:rFonts w:ascii="Arial" w:cs="Arial" w:eastAsia="Arial" w:hAnsi="Arial"/>
                <w:sz w:val="18"/>
                <w:szCs w:val="18"/>
                <w:b w:val="1"/>
                <w:bCs w:val="1"/>
                <w:color w:val="auto"/>
                <w:w w:val="96"/>
              </w:rPr>
              <w:t>December 31, 2019</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2,575,687</w:t>
            </w:r>
          </w:p>
        </w:tc>
        <w:tc>
          <w:tcPr>
            <w:tcW w:w="120" w:type="dxa"/>
            <w:vAlign w:val="bottom"/>
          </w:tcPr>
          <w:p>
            <w:pPr>
              <w:spacing w:after="0"/>
              <w:rPr>
                <w:sz w:val="20"/>
                <w:szCs w:val="20"/>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20"/>
                <w:szCs w:val="20"/>
                <w:color w:val="auto"/>
              </w:rPr>
            </w:pPr>
          </w:p>
        </w:tc>
        <w:tc>
          <w:tcPr>
            <w:tcW w:w="920" w:type="dxa"/>
            <w:vAlign w:val="bottom"/>
            <w:gridSpan w:val="2"/>
          </w:tcPr>
          <w:p>
            <w:pPr>
              <w:jc w:val="right"/>
              <w:ind w:right="33"/>
              <w:spacing w:after="0"/>
              <w:rPr>
                <w:sz w:val="20"/>
                <w:szCs w:val="20"/>
                <w:color w:val="auto"/>
              </w:rPr>
            </w:pPr>
            <w:r>
              <w:rPr>
                <w:rFonts w:ascii="Arial" w:cs="Arial" w:eastAsia="Arial" w:hAnsi="Arial"/>
                <w:sz w:val="18"/>
                <w:szCs w:val="18"/>
                <w:color w:val="auto"/>
                <w:w w:val="97"/>
              </w:rPr>
              <w:t>6,250,000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w w:val="97"/>
              </w:rPr>
              <w:t>4,999,118</w:t>
            </w: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w:t>
            </w:r>
          </w:p>
        </w:tc>
        <w:tc>
          <w:tcPr>
            <w:tcW w:w="100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ordinary</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subject to</w:t>
            </w:r>
          </w:p>
        </w:tc>
        <w:tc>
          <w:tcPr>
            <w:tcW w:w="10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78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possible redemption</w:t>
            </w:r>
          </w:p>
        </w:tc>
        <w:tc>
          <w:tcPr>
            <w:tcW w:w="1000" w:type="dxa"/>
            <w:vAlign w:val="bottom"/>
            <w:tcBorders>
              <w:bottom w:val="single" w:sz="8" w:color="CCEEFF"/>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5,316,063</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52,020,992</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52,021,523</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5"/>
              </w:rPr>
              <w:t>(52,021,521)</w:t>
            </w:r>
          </w:p>
        </w:tc>
        <w:tc>
          <w:tcPr>
            <w:tcW w:w="10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(52,021,521)</w:t>
            </w:r>
          </w:p>
        </w:tc>
        <w:tc>
          <w:tcPr>
            <w:tcW w:w="0" w:type="dxa"/>
            <w:vAlign w:val="bottom"/>
          </w:tcPr>
          <w:p>
            <w:pPr>
              <w:spacing w:after="0"/>
              <w:rPr>
                <w:sz w:val="1"/>
                <w:szCs w:val="1"/>
                <w:color w:val="auto"/>
              </w:rPr>
            </w:pPr>
          </w:p>
        </w:tc>
      </w:tr>
      <w:tr>
        <w:trPr>
          <w:trHeight w:val="61"/>
        </w:trPr>
        <w:tc>
          <w:tcPr>
            <w:tcW w:w="1780" w:type="dxa"/>
            <w:vAlign w:val="bottom"/>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1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w:t>
            </w:r>
          </w:p>
        </w:tc>
        <w:tc>
          <w:tcPr>
            <w:tcW w:w="100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8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17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6"/>
              </w:rPr>
              <w:t>December 31, 2020</w:t>
            </w:r>
          </w:p>
        </w:tc>
        <w:tc>
          <w:tcPr>
            <w:tcW w:w="1000" w:type="dxa"/>
            <w:vAlign w:val="bottom"/>
            <w:tcBorders>
              <w:right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7,891,750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33"/>
              <w:spacing w:after="0"/>
              <w:rPr>
                <w:sz w:val="20"/>
                <w:szCs w:val="20"/>
                <w:color w:val="auto"/>
              </w:rPr>
            </w:pPr>
            <w:r>
              <w:rPr>
                <w:rFonts w:ascii="Arial" w:cs="Arial" w:eastAsia="Arial" w:hAnsi="Arial"/>
                <w:sz w:val="18"/>
                <w:szCs w:val="18"/>
                <w:color w:val="auto"/>
                <w:w w:val="97"/>
              </w:rPr>
              <w:t>6,250,000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625</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99"/>
              </w:rPr>
              <w:t>52,020,992</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(47,022,403)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80" w:type="dxa"/>
            <w:vAlign w:val="bottom"/>
            <w:tcBorders>
              <w:top w:val="single" w:sz="8" w:color="CCEEFF"/>
              <w:right w:val="single" w:sz="8" w:color="CCEEFF"/>
            </w:tcBorders>
            <w:shd w:val="clear" w:color="auto" w:fill="CCEEFF"/>
          </w:tcPr>
          <w:p>
            <w:pPr>
              <w:spacing w:after="0"/>
              <w:rPr>
                <w:sz w:val="2"/>
                <w:szCs w:val="2"/>
                <w:color w:val="auto"/>
              </w:rPr>
            </w:pPr>
          </w:p>
        </w:tc>
        <w:tc>
          <w:tcPr>
            <w:tcW w:w="100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60" w:type="dxa"/>
            <w:vAlign w:val="bottom"/>
            <w:tcBorders>
              <w:top w:val="single" w:sz="8" w:color="auto"/>
              <w:right w:val="single" w:sz="8" w:color="auto"/>
            </w:tcBorders>
            <w:shd w:val="clear" w:color="auto" w:fill="000000"/>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920" w:type="dxa"/>
            <w:vAlign w:val="bottom"/>
            <w:tcBorders>
              <w:top w:val="single" w:sz="8" w:color="auto"/>
              <w:right w:val="single" w:sz="8" w:color="auto"/>
            </w:tcBorders>
            <w:shd w:val="clear" w:color="auto" w:fill="000000"/>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-4499610</wp:posOffset>
            </wp:positionV>
            <wp:extent cx="342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-4499610</wp:posOffset>
            </wp:positionV>
            <wp:extent cx="342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-4499610</wp:posOffset>
            </wp:positionV>
            <wp:extent cx="342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-4499610</wp:posOffset>
            </wp:positionV>
            <wp:extent cx="171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-4499610</wp:posOffset>
            </wp:positionV>
            <wp:extent cx="342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-4499610</wp:posOffset>
            </wp:positionV>
            <wp:extent cx="342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-4499610</wp:posOffset>
            </wp:positionV>
            <wp:extent cx="342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3" w:name="page174"/>
    <w:bookmarkEnd w:id="17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(As Restated)</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from June 7,</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6100" w:type="dxa"/>
            <w:vAlign w:val="bottom"/>
          </w:tcPr>
          <w:p>
            <w:pPr>
              <w:spacing w:after="0"/>
              <w:rPr>
                <w:sz w:val="12"/>
                <w:szCs w:val="12"/>
                <w:color w:val="auto"/>
              </w:rPr>
            </w:pPr>
          </w:p>
        </w:tc>
        <w:tc>
          <w:tcPr>
            <w:tcW w:w="10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6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6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Net (loss) income</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$(52,201,521)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5,352,568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(loss) income to net cash used in operating</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activities:</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(2,257,985)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(1,812,577)</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50,420,000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(4,645,000)</w:t>
            </w: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(4,728)</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(112,416)</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226,277</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(257,110)</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3,056,075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96,895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(581,882)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(467,049)</w:t>
            </w: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(250,000,000)</w:t>
            </w:r>
          </w:p>
        </w:tc>
        <w:tc>
          <w:tcPr>
            <w:tcW w:w="0" w:type="dxa"/>
            <w:vAlign w:val="bottom"/>
          </w:tcPr>
          <w:p>
            <w:pPr>
              <w:spacing w:after="0"/>
              <w:rPr>
                <w:sz w:val="1"/>
                <w:szCs w:val="1"/>
                <w:color w:val="auto"/>
              </w:rPr>
            </w:pPr>
          </w:p>
        </w:tc>
      </w:tr>
      <w:tr>
        <w:trPr>
          <w:trHeight w:val="61"/>
        </w:trPr>
        <w:tc>
          <w:tcPr>
            <w:tcW w:w="6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(250,000,000)</w:t>
            </w: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245,000,000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Proceeds from sale of Private Placement Warrants</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7,000,000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promissory note –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237,470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color w:val="auto"/>
              </w:rPr>
              <w:t>Repayment of promissory note - related party</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(237,470)</w:t>
            </w: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(638,362)</w:t>
            </w:r>
          </w:p>
        </w:tc>
        <w:tc>
          <w:tcPr>
            <w:tcW w:w="0" w:type="dxa"/>
            <w:vAlign w:val="bottom"/>
          </w:tcPr>
          <w:p>
            <w:pPr>
              <w:spacing w:after="0"/>
              <w:rPr>
                <w:sz w:val="1"/>
                <w:szCs w:val="1"/>
                <w:color w:val="auto"/>
              </w:rPr>
            </w:pPr>
          </w:p>
        </w:tc>
      </w:tr>
      <w:tr>
        <w:trPr>
          <w:trHeight w:val="61"/>
        </w:trPr>
        <w:tc>
          <w:tcPr>
            <w:tcW w:w="6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5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3"/>
                <w:szCs w:val="2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89"/>
              </w:rPr>
              <w:t>251,361,638</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61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(581,882)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894,589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6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312,707</w:t>
            </w:r>
          </w:p>
        </w:tc>
        <w:tc>
          <w:tcPr>
            <w:tcW w:w="80" w:type="dxa"/>
            <w:vAlign w:val="bottom"/>
          </w:tcPr>
          <w:p>
            <w:pPr>
              <w:spacing w:after="0"/>
              <w:rPr>
                <w:sz w:val="23"/>
                <w:szCs w:val="23"/>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894,589</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6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0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9"/>
              </w:rPr>
              <w:t>Initial classification of Class A ordinary shares subject to possible 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219,701,630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00" w:type="dxa"/>
            <w:vAlign w:val="bottom"/>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(52,021,523)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6,268,166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7"/>
              </w:rPr>
              <w:t>Offering costs paid directly by Sponsor for issuance of Class B ordinary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100" w:type="dxa"/>
            <w:vAlign w:val="bottom"/>
          </w:tcPr>
          <w:p>
            <w:pPr>
              <w:spacing w:after="0"/>
              <w:rPr>
                <w:sz w:val="20"/>
                <w:szCs w:val="20"/>
                <w:color w:val="auto"/>
              </w:rPr>
            </w:pPr>
            <w:r>
              <w:rPr>
                <w:rFonts w:ascii="Arial" w:cs="Arial" w:eastAsia="Arial" w:hAnsi="Arial"/>
                <w:sz w:val="18"/>
                <w:szCs w:val="18"/>
                <w:color w:val="auto"/>
              </w:rPr>
              <w:t>Deferred underwriting fee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-7465695</wp:posOffset>
            </wp:positionV>
            <wp:extent cx="1028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-7465695</wp:posOffset>
            </wp:positionV>
            <wp:extent cx="514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997" w:gutter="0" w:footer="0" w:header="0"/>
        </w:sectPr>
      </w:pPr>
    </w:p>
    <w:bookmarkStart w:id="174" w:name="page175"/>
    <w:bookmarkEnd w:id="17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DESCRIPTION OF ORGANIZATION AND BUSINESS OPERATIONS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has one subsidiary, Silver Spike Merger Sub LLC, a wholly-owned subsidiary of the Company incorporated in Delaware on December 7, 2020 (“Merger Sub”).</w:t>
      </w:r>
    </w:p>
    <w:p>
      <w:pPr>
        <w:spacing w:after="0" w:line="62"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As of December 31, 2020, the Company had not commenced any operations. All activity through December 31, 2020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7).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4.</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5.</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Transaction costs amounted to $14,413,362, consisting of $5,000,000 of underwriting fees, $8,750,000 of deferred underwriting fees and $663,362 of other offering costs. $630,591 of the total transaction costs were deemed attributable to the initial warrant derivative liability and thus were reclassified from equity to an expense of the Company.</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5" w:name="page176"/>
    <w:bookmarkEnd w:id="17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8). There will be no redemption rights upon the completion of a Business Combination with respect to the Company’s warrants.</w:t>
      </w:r>
    </w:p>
    <w:p>
      <w:pPr>
        <w:spacing w:after="0" w:line="7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6)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8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w:t>
      </w:r>
    </w:p>
    <w:p>
      <w:pPr>
        <w:spacing w:after="0" w:line="2" w:lineRule="exact"/>
        <w:rPr>
          <w:sz w:val="20"/>
          <w:szCs w:val="20"/>
          <w:color w:val="auto"/>
        </w:rPr>
      </w:pPr>
    </w:p>
    <w:p>
      <w:pPr>
        <w:jc w:val="both"/>
        <w:ind w:left="300" w:right="299" w:hanging="8"/>
        <w:spacing w:after="0" w:line="268" w:lineRule="auto"/>
        <w:tabs>
          <w:tab w:leader="none" w:pos="59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73"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6" w:name="page177"/>
    <w:bookmarkEnd w:id="17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75" w:lineRule="auto"/>
        <w:rPr>
          <w:sz w:val="20"/>
          <w:szCs w:val="20"/>
          <w:color w:val="auto"/>
        </w:rPr>
      </w:pPr>
      <w:r>
        <w:rPr>
          <w:rFonts w:ascii="Arial" w:cs="Arial" w:eastAsia="Arial" w:hAnsi="Arial"/>
          <w:sz w:val="17"/>
          <w:szCs w:val="17"/>
          <w:color w:val="auto"/>
        </w:rPr>
        <w:t>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 (see Note 10).</w:t>
      </w:r>
    </w:p>
    <w:p>
      <w:pPr>
        <w:spacing w:after="0" w:line="4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Going Concern</w:t>
      </w:r>
    </w:p>
    <w:p>
      <w:pPr>
        <w:spacing w:after="0" w:line="11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As of December 31, 2020, the Company had $312,707 in its operating bank accounts, $254,187,706 in securities held in the Trust Account to be used for a Business Combination or to repurchase or redeem its ordinary shares in connection therewith and working capital deficit of $2,809,430. As of December 31, 2020, approximately $4,188,000 of the amount on deposit in the Trust Account represented interest income, which is available to pay the Company’s tax obligations.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February 18, 2021, the Company issued an unsecured promissory note (the “Note”) in the amount of up to $750,000 to the Sponsor for general working capital purposes (see Note 11).</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Management continues to evaluate the impact of the COVID-19 pandemic and has concluded that while it is reasonably possible that the virus could have a negative effect on the Company’s financial position, results of its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7" w:name="page178"/>
    <w:bookmarkEnd w:id="17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2 — RESTATEMENT OF PREVIOUSLY ISSUED FINANCIAL STATEMENTS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the Company’s warrants. As a result of the SEC Statement, the Company reevaluated the accounting treatment of (i) the 12,500,000 redeemable warrants (the “Public Warrants”) that were included in the units issued by the Company in its initial public offering and (ii) the 7,000,000 redeemable warrants that were issued to the Company’s sponsor in a private placement that closed concurrently with the closing of the IPO. The Company previously accounted for the Warrants as components of equity.</w:t>
      </w:r>
    </w:p>
    <w:p>
      <w:pPr>
        <w:spacing w:after="0" w:line="7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ordinary shares, all holders of the warrants would be entitled to receive cash for their warrants (the “tender offer provision”).</w:t>
      </w:r>
    </w:p>
    <w:p>
      <w:pPr>
        <w:spacing w:after="0" w:line="69"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connection with the audit of the Company’s financial statements for the period ended December 31, 2020,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The Company’s Private Placement Warrants are not indexed to the Company’s ordinary shares in the manner contemplated by ASC Section 815-40-15 because the holder of the instrument is not an input into the pricing of a fixed-for-fixed option on equity shares. In addition, the tender offer provision included in the warrant agreement fails the “classified in shareholders’ equity” criteria as contemplated by ASC Section 815-40-25.</w:t>
      </w:r>
    </w:p>
    <w:p>
      <w:pPr>
        <w:spacing w:after="0" w:line="64"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a portion of the initial transaction costs related to the IPO and attributable to the warrants must be immediately expensed, and the difference between the fair market value of the private placement warrants and the initial purchase consideration thereof is recorded as a compensation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8" w:name="page179"/>
    <w:bookmarkEnd w:id="178"/>
    <w:tbl>
      <w:tblPr>
        <w:tblLayout w:type="fixed"/>
        <w:tblInd w:w="300" w:type="dxa"/>
        <w:tblCellMar>
          <w:top w:w="0" w:type="dxa"/>
          <w:left w:w="0" w:type="dxa"/>
          <w:bottom w:w="0" w:type="dxa"/>
          <w:right w:w="0" w:type="dxa"/>
        </w:tblCellMar>
      </w:tblPr>
      <w:tr>
        <w:trPr>
          <w:trHeight w:val="161"/>
        </w:trPr>
        <w:tc>
          <w:tcPr>
            <w:tcW w:w="490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As Previously</w:t>
            </w: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24"/>
                <w:szCs w:val="24"/>
                <w:color w:val="auto"/>
              </w:rPr>
            </w:pPr>
          </w:p>
        </w:tc>
        <w:tc>
          <w:tcPr>
            <w:tcW w:w="96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6"/>
              </w:rPr>
              <w:t>As Restated</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Reported</w:t>
            </w: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August 12, 2019 (audited)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9,194,592</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$ 17,905,000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27,099,592</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237,606,630</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(17,905,000)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219,701,630</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5,004,165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910,412</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5,914,577</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(910,591)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(915,591)</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September 30, 2019 (unaudited)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8,826,397</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$ 18,365,000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27,191,397</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238,159,760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(18,365,000)</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219,794,760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4,451,128</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1,370,408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5,821,536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548,123</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(1,370,591)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(822,468)</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2019 (audited)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8,846,895</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$ 13,260,000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22,106,895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239,229,796</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(13,260,000)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225,969,796</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3,381,091</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(3,381,091)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1,618,159</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3,380,959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4,999,118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March 31, 2020 (unaudited)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9,163,720</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$ 13,065,000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22,228,720</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240,856,900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(13,065,000)</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227,791,900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1,753,984</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(1,753,984)</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3,245,266</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1,753,855</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4,999,121</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June 30, 2020 (unaudited)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9,187,458</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$ 16,050,000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25,237,458</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240,695,088</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(16,050,000)</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224,645,088</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1,915,793</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(591,117)</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1,324,676</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3,083,457</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590,959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3,674,416</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Balance sheet as of September 30, 2020 (unaudited)</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9,247,425</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$ 17,355,000</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26,602,425</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240,581,127</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(17,355,000)</w:t>
            </w:r>
          </w:p>
        </w:tc>
        <w:tc>
          <w:tcPr>
            <w:tcW w:w="18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5"/>
              </w:rPr>
              <w:t>223,226,127</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2,029,753</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713,870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2,743,623</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2,969,497</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(714,041)</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2,255,456</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11,902,970</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9"/>
              </w:rPr>
              <w:t>$ 63,680,000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75,582,970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237,628,272</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(63,679,999)</w:t>
            </w:r>
          </w:p>
        </w:tc>
        <w:tc>
          <w:tcPr>
            <w:tcW w:w="1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173,948,273</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Class A Ordinary Shares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4,982,578</w:t>
            </w:r>
          </w:p>
        </w:tc>
        <w:tc>
          <w:tcPr>
            <w:tcW w:w="18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47,038,414</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52,020,992</w:t>
            </w:r>
          </w:p>
        </w:tc>
        <w:tc>
          <w:tcPr>
            <w:tcW w:w="0" w:type="dxa"/>
            <w:vAlign w:val="bottom"/>
          </w:tcPr>
          <w:p>
            <w:pPr>
              <w:spacing w:after="0"/>
              <w:rPr>
                <w:sz w:val="1"/>
                <w:szCs w:val="1"/>
                <w:color w:val="auto"/>
              </w:rPr>
            </w:pPr>
          </w:p>
        </w:tc>
      </w:tr>
      <w:tr>
        <w:trPr>
          <w:trHeight w:val="270"/>
        </w:trPr>
        <w:tc>
          <w:tcPr>
            <w:tcW w:w="490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16,638</w:t>
            </w: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7"/>
              </w:rPr>
              <w:t>(47,039,041)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0"/>
              </w:rPr>
              <w:t>(47,022,403)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-9857740</wp:posOffset>
            </wp:positionV>
            <wp:extent cx="12001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-9857740</wp:posOffset>
            </wp:positionV>
            <wp:extent cx="12001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-9857740</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9019"/>
          </w:cols>
          <w:pgMar w:left="1440" w:top="262" w:right="1440" w:bottom="0" w:gutter="0" w:footer="0" w:header="0"/>
        </w:sectPr>
      </w:pPr>
    </w:p>
    <w:bookmarkStart w:id="179" w:name="page180"/>
    <w:bookmarkEnd w:id="179"/>
    <w:p>
      <w:pPr>
        <w:jc w:val="center"/>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80" w:name="page181"/>
    <w:bookmarkEnd w:id="180"/>
    <w:tbl>
      <w:tblPr>
        <w:tblLayout w:type="fixed"/>
        <w:tblInd w:w="300" w:type="dxa"/>
        <w:tblCellMar>
          <w:top w:w="0" w:type="dxa"/>
          <w:left w:w="0" w:type="dxa"/>
          <w:bottom w:w="0" w:type="dxa"/>
          <w:right w:w="0" w:type="dxa"/>
        </w:tblCellMar>
      </w:tblPr>
      <w:tr>
        <w:trPr>
          <w:trHeight w:val="161"/>
        </w:trPr>
        <w:tc>
          <w:tcPr>
            <w:tcW w:w="6220" w:type="dxa"/>
            <w:vAlign w:val="bottom"/>
            <w:gridSpan w:val="4"/>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As Previously</w:t>
            </w: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Adjustments</w:t>
            </w:r>
          </w:p>
        </w:tc>
        <w:tc>
          <w:tcPr>
            <w:tcW w:w="10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Reported</w:t>
            </w:r>
          </w:p>
        </w:tc>
        <w:tc>
          <w:tcPr>
            <w:tcW w:w="11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34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1540" w:type="dxa"/>
            <w:vAlign w:val="bottom"/>
            <w:shd w:val="clear" w:color="auto" w:fill="CCEEFF"/>
          </w:tcPr>
          <w:p>
            <w:pPr>
              <w:spacing w:after="0"/>
              <w:rPr>
                <w:sz w:val="24"/>
                <w:szCs w:val="24"/>
                <w:color w:val="auto"/>
              </w:rPr>
            </w:pPr>
          </w:p>
        </w:tc>
        <w:tc>
          <w:tcPr>
            <w:tcW w:w="3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-222250</wp:posOffset>
            </wp:positionV>
            <wp:extent cx="12001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-222250</wp:posOffset>
            </wp:positionV>
            <wp:extent cx="12001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-222250</wp:posOffset>
            </wp:positionV>
            <wp:extent cx="596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Three months ended September 30, 2019 (unaudited)</w:t>
      </w:r>
    </w:p>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553,123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(1,370,591)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(817,468)</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21,970,163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21,970,163</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 and diluted net loss per share, ordinary shares subject to</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6,910,082</w:t>
            </w:r>
          </w:p>
        </w:tc>
        <w:tc>
          <w:tcPr>
            <w:tcW w:w="20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953,636</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7,863,718</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324"/>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 2019 (unaudited)</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548,123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1"/>
              </w:rPr>
              <w:t>(1,370,591)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(822,468)</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21,970,163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21,970,163</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5"/>
              </w:rPr>
              <w:t>Basic and diluted net loss per share, ordinary shares subject to</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6,792,210</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783,344</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7,575,554</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b w:val="1"/>
                <w:bCs w:val="1"/>
                <w:color w:val="auto"/>
              </w:rPr>
              <w:t>Year ended December 31, 2019 (audited)</w:t>
            </w: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1,618,159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3,734,409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5,352,568</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1340" w:type="dxa"/>
            <w:vAlign w:val="bottom"/>
            <w:gridSpan w:val="2"/>
          </w:tcPr>
          <w:p>
            <w:pPr>
              <w:jc w:val="right"/>
              <w:ind w:right="110"/>
              <w:spacing w:after="0"/>
              <w:rPr>
                <w:sz w:val="20"/>
                <w:szCs w:val="20"/>
                <w:color w:val="auto"/>
              </w:rPr>
            </w:pPr>
            <w:r>
              <w:rPr>
                <w:rFonts w:ascii="Arial" w:cs="Arial" w:eastAsia="Arial" w:hAnsi="Arial"/>
                <w:sz w:val="18"/>
                <w:szCs w:val="18"/>
                <w:color w:val="auto"/>
              </w:rPr>
              <w:t>23,754,184</w:t>
            </w:r>
          </w:p>
        </w:tc>
        <w:tc>
          <w:tcPr>
            <w:tcW w:w="2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1"/>
              </w:rPr>
              <w:t>(1,817,232)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21,936,952</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and diluted earnings per share, ordinary shares subject to</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0.08</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Pr>
          <w:p>
            <w:pPr>
              <w:spacing w:after="0"/>
              <w:rPr>
                <w:sz w:val="23"/>
                <w:szCs w:val="23"/>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7,111,079</w:t>
            </w:r>
          </w:p>
        </w:tc>
        <w:tc>
          <w:tcPr>
            <w:tcW w:w="200" w:type="dxa"/>
            <w:vAlign w:val="bottom"/>
          </w:tcPr>
          <w:p>
            <w:pPr>
              <w:spacing w:after="0"/>
              <w:rPr>
                <w:sz w:val="23"/>
                <w:szCs w:val="23"/>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w w:val="97"/>
              </w:rPr>
              <w:t>1,256,028</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4"/>
              </w:rPr>
              <w:t>8,367,106</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0.45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324"/>
        </w:trPr>
        <w:tc>
          <w:tcPr>
            <w:tcW w:w="4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March 31, 2020 (unaudited)</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Net income</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2"/>
              </w:rPr>
              <w:t>1,627,107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195,000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4"/>
              </w:rPr>
              <w:t>1,822,107</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22,424,313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22,424,313</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4"/>
              </w:rPr>
              <w:t>Basic and diluted earnings per share, ordinary shares subject to</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0.09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7,509,819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1,315,868</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8,825,687</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0.03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b w:val="1"/>
                <w:bCs w:val="1"/>
                <w:color w:val="auto"/>
              </w:rPr>
              <w:t>Three months ended June 30, 2020 (unaudited)</w:t>
            </w: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(2,985,000)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(3,146,809)</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22,419,605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22,419,605</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3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4"/>
              </w:rPr>
              <w:t>7,544,519</w:t>
            </w:r>
          </w:p>
        </w:tc>
        <w:tc>
          <w:tcPr>
            <w:tcW w:w="2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7"/>
              </w:rPr>
              <w:t>1,285,876</w:t>
            </w: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8,830,395</w:t>
            </w:r>
          </w:p>
        </w:tc>
      </w:tr>
      <w:tr>
        <w:trPr>
          <w:trHeight w:val="270"/>
        </w:trPr>
        <w:tc>
          <w:tcPr>
            <w:tcW w:w="4800" w:type="dxa"/>
            <w:vAlign w:val="bottom"/>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24"/>
        </w:trPr>
        <w:tc>
          <w:tcPr>
            <w:tcW w:w="48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70"/>
        </w:trPr>
        <w:tc>
          <w:tcPr>
            <w:tcW w:w="4800" w:type="dxa"/>
            <w:vAlign w:val="bottom"/>
          </w:tcPr>
          <w:p>
            <w:pPr>
              <w:spacing w:after="0"/>
              <w:rPr>
                <w:sz w:val="20"/>
                <w:szCs w:val="20"/>
                <w:color w:val="auto"/>
              </w:rPr>
            </w:pPr>
            <w:r>
              <w:rPr>
                <w:rFonts w:ascii="Arial" w:cs="Arial" w:eastAsia="Arial" w:hAnsi="Arial"/>
                <w:sz w:val="18"/>
                <w:szCs w:val="18"/>
                <w:b w:val="1"/>
                <w:bCs w:val="1"/>
                <w:color w:val="auto"/>
              </w:rPr>
              <w:t>Six months ended June 30, 2020 (unaudited)</w:t>
            </w: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2"/>
              </w:rPr>
              <w:t>1,465,298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(2,790,000)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(1,324,702)</w:t>
            </w:r>
          </w:p>
        </w:tc>
      </w:tr>
      <w:tr>
        <w:trPr>
          <w:trHeight w:val="256"/>
        </w:trPr>
        <w:tc>
          <w:tcPr>
            <w:tcW w:w="4800" w:type="dxa"/>
            <w:vAlign w:val="bottom"/>
          </w:tcPr>
          <w:p>
            <w:pPr>
              <w:spacing w:after="0"/>
              <w:rPr>
                <w:sz w:val="20"/>
                <w:szCs w:val="20"/>
                <w:color w:val="auto"/>
              </w:rPr>
            </w:pPr>
            <w:r>
              <w:rPr>
                <w:rFonts w:ascii="Arial" w:cs="Arial" w:eastAsia="Arial" w:hAnsi="Arial"/>
                <w:sz w:val="18"/>
                <w:szCs w:val="18"/>
                <w:color w:val="auto"/>
                <w:w w:val="96"/>
              </w:rPr>
              <w:t>Weighted average shares outstanding of redeemable ordinary</w:t>
            </w: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22,421,959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22,421,959</w:t>
            </w:r>
          </w:p>
        </w:tc>
      </w:tr>
      <w:tr>
        <w:trPr>
          <w:trHeight w:val="54"/>
        </w:trPr>
        <w:tc>
          <w:tcPr>
            <w:tcW w:w="4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and diluted earnings per share, ordinary shares subject to</w:t>
            </w:r>
          </w:p>
        </w:tc>
        <w:tc>
          <w:tcPr>
            <w:tcW w:w="3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3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0.09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432"/>
        </w:trPr>
        <w:tc>
          <w:tcPr>
            <w:tcW w:w="4800" w:type="dxa"/>
            <w:vAlign w:val="bottom"/>
          </w:tcPr>
          <w:p>
            <w:pPr>
              <w:ind w:left="4040"/>
              <w:spacing w:after="0"/>
              <w:rPr>
                <w:sz w:val="20"/>
                <w:szCs w:val="20"/>
                <w:color w:val="auto"/>
              </w:rPr>
            </w:pPr>
            <w:r>
              <w:rPr>
                <w:rFonts w:ascii="Arial" w:cs="Arial" w:eastAsia="Arial" w:hAnsi="Arial"/>
                <w:sz w:val="18"/>
                <w:szCs w:val="18"/>
                <w:color w:val="auto"/>
              </w:rPr>
              <w:t>F-40</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9019"/>
          </w:cols>
          <w:pgMar w:left="1440" w:top="262" w:right="1440" w:bottom="0" w:gutter="0" w:footer="0" w:header="0"/>
        </w:sectPr>
      </w:pPr>
    </w:p>
    <w:bookmarkStart w:id="181" w:name="page182"/>
    <w:bookmarkEnd w:id="1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96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24"/>
                <w:szCs w:val="24"/>
                <w:color w:val="auto"/>
              </w:rPr>
            </w:pPr>
          </w:p>
        </w:tc>
        <w:tc>
          <w:tcPr>
            <w:tcW w:w="2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131"/>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34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7,527,169</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1,300,872</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8,828,041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September 30, 2020 (unaudited)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(113,960)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(1,305,000)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(1,418,960)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redeemable ordinary</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22,104,581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22,104,581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7,566,134</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1,579,285</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9,145,419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Nine months ended September 30, 2020 (unaudited)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1,351,338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(4,095,000)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(2,743,662)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redeemable ordinary</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22,315,394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22,315,394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Basic and diluted earnings per share, ordinary shares subject to</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7,538,169</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1,396,437</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8,934,606</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2020 (audited)</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1"/>
              </w:rPr>
              <w:t>(1,601,521)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$(50,420,000)</w:t>
            </w:r>
          </w:p>
        </w:tc>
        <w:tc>
          <w:tcPr>
            <w:tcW w:w="200" w:type="dxa"/>
            <w:vAlign w:val="bottom"/>
          </w:tcPr>
          <w:p>
            <w:pPr>
              <w:spacing w:after="0"/>
              <w:rPr>
                <w:sz w:val="23"/>
                <w:szCs w:val="23"/>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0"/>
              </w:rPr>
              <w:t>$(52,021,521)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redeemable ordinary</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23,699,368</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(1,473,041)</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22,226,328</w:t>
            </w: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7"/>
              </w:rPr>
              <w:t>Basic and diluted earnings per share, ordinary shares subject to</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redemption</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ordinary shares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7,550,632</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1,473,041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9,023,672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ordinary shares</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(5.52)</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(5.94)</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for the period from June 7, 2019</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b w:val="1"/>
                <w:bCs w:val="1"/>
                <w:color w:val="auto"/>
              </w:rPr>
              <w:t>(inception) through September 30, 2019 (unaudited)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548,123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(1,370,591)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(822,468)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w w:val="98"/>
              </w:rPr>
              <w:t>Adjustments to reconcile net loss to net cash used in operating</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Compensation expense</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(280,000)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(630,591)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flows year ended December 31, 2019</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1300" w:type="dxa"/>
            <w:vAlign w:val="bottom"/>
          </w:tcPr>
          <w:p>
            <w:pPr>
              <w:spacing w:after="0"/>
              <w:rPr>
                <w:sz w:val="23"/>
                <w:szCs w:val="23"/>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(audited)</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1,618,159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3,734,409</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5,352,568</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300" w:type="dxa"/>
            <w:vAlign w:val="bottom"/>
          </w:tcPr>
          <w:p>
            <w:pPr>
              <w:spacing w:after="0"/>
              <w:rPr>
                <w:sz w:val="22"/>
                <w:szCs w:val="22"/>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Adjustments to reconcile net loss to net cash used in operating</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4,645,000</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(630,591)</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(630,591)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300" w:type="dxa"/>
            <w:vAlign w:val="bottom"/>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34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4960" w:type="dxa"/>
            <w:vAlign w:val="bottom"/>
            <w:gridSpan w:val="2"/>
          </w:tcPr>
          <w:p>
            <w:pPr>
              <w:spacing w:after="0"/>
              <w:rPr>
                <w:sz w:val="20"/>
                <w:szCs w:val="20"/>
                <w:color w:val="auto"/>
              </w:rPr>
            </w:pPr>
            <w:r>
              <w:rPr>
                <w:rFonts w:ascii="Arial" w:cs="Arial" w:eastAsia="Arial" w:hAnsi="Arial"/>
                <w:sz w:val="18"/>
                <w:szCs w:val="18"/>
                <w:b w:val="1"/>
                <w:bCs w:val="1"/>
                <w:color w:val="auto"/>
                <w:w w:val="95"/>
              </w:rPr>
              <w:t>Statement of cash flows three months ended March 31, 2020</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496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1,627,107</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1,822,107</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20" w:type="dxa"/>
            <w:vAlign w:val="bottom"/>
          </w:tcPr>
          <w:p>
            <w:pPr>
              <w:ind w:left="2500"/>
              <w:spacing w:after="0"/>
              <w:rPr>
                <w:sz w:val="20"/>
                <w:szCs w:val="20"/>
                <w:color w:val="auto"/>
              </w:rPr>
            </w:pPr>
            <w:r>
              <w:rPr>
                <w:rFonts w:ascii="Arial" w:cs="Arial" w:eastAsia="Arial" w:hAnsi="Arial"/>
                <w:sz w:val="18"/>
                <w:szCs w:val="18"/>
                <w:color w:val="auto"/>
              </w:rPr>
              <w:t>F-41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5389245</wp:posOffset>
            </wp:positionH>
            <wp:positionV relativeFrom="paragraph">
              <wp:posOffset>-9823450</wp:posOffset>
            </wp:positionV>
            <wp:extent cx="1200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4617720</wp:posOffset>
            </wp:positionH>
            <wp:positionV relativeFrom="paragraph">
              <wp:posOffset>-9823450</wp:posOffset>
            </wp:positionV>
            <wp:extent cx="12001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3914775</wp:posOffset>
            </wp:positionH>
            <wp:positionV relativeFrom="paragraph">
              <wp:posOffset>-9823450</wp:posOffset>
            </wp:positionV>
            <wp:extent cx="603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020"/>
          </w:cols>
          <w:pgMar w:left="440" w:top="262" w:right="439" w:bottom="0" w:gutter="0" w:footer="0" w:header="0"/>
        </w:sectPr>
      </w:pPr>
    </w:p>
    <w:bookmarkStart w:id="183" w:name="page184"/>
    <w:bookmarkEnd w:id="183"/>
    <w:tbl>
      <w:tblPr>
        <w:tblLayout w:type="fixed"/>
        <w:tblInd w:w="300" w:type="dxa"/>
        <w:tblCellMar>
          <w:top w:w="0" w:type="dxa"/>
          <w:left w:w="0" w:type="dxa"/>
          <w:bottom w:w="0" w:type="dxa"/>
          <w:right w:w="0" w:type="dxa"/>
        </w:tblCellMar>
      </w:tblPr>
      <w:tr>
        <w:trPr>
          <w:trHeight w:val="161"/>
        </w:trPr>
        <w:tc>
          <w:tcPr>
            <w:tcW w:w="4980" w:type="dxa"/>
            <w:vAlign w:val="bottom"/>
            <w:gridSpan w:val="2"/>
          </w:tcPr>
          <w:p>
            <w:pPr>
              <w:spacing w:after="0"/>
              <w:rPr>
                <w:rFonts w:ascii="Arial" w:cs="Arial" w:eastAsia="Arial" w:hAnsi="Arial"/>
                <w:sz w:val="14"/>
                <w:szCs w:val="14"/>
                <w:b w:val="1"/>
                <w:bCs w:val="1"/>
                <w:color w:val="0000EE"/>
              </w:rPr>
            </w:pPr>
            <w:hyperlink w:anchor="page3">
              <w:r>
                <w:rPr>
                  <w:rFonts w:ascii="Arial" w:cs="Arial" w:eastAsia="Arial" w:hAnsi="Arial"/>
                  <w:sz w:val="14"/>
                  <w:szCs w:val="14"/>
                  <w:b w:val="1"/>
                  <w:bCs w:val="1"/>
                  <w:color w:val="0000EE"/>
                </w:rPr>
                <w:t>TABLE OF CONTENTS</w:t>
              </w:r>
            </w:hyperlink>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97"/>
              </w:rPr>
              <w:t>As Previously</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24"/>
                <w:szCs w:val="24"/>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1"/>
              </w:rPr>
              <w:t>As Restated</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0" w:type="dxa"/>
            <w:vAlign w:val="bottom"/>
          </w:tcPr>
          <w:p>
            <w:pPr>
              <w:jc w:val="right"/>
              <w:ind w:right="134"/>
              <w:spacing w:after="0"/>
              <w:rPr>
                <w:sz w:val="20"/>
                <w:szCs w:val="20"/>
                <w:color w:val="auto"/>
              </w:rPr>
            </w:pPr>
            <w:r>
              <w:rPr>
                <w:rFonts w:ascii="Arial" w:cs="Arial" w:eastAsia="Arial" w:hAnsi="Arial"/>
                <w:sz w:val="14"/>
                <w:szCs w:val="14"/>
                <w:b w:val="1"/>
                <w:bCs w:val="1"/>
                <w:color w:val="auto"/>
              </w:rPr>
              <w:t>Reported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34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six months ended June 30, 2020</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80"/>
              <w:spacing w:after="0"/>
              <w:rPr>
                <w:sz w:val="20"/>
                <w:szCs w:val="20"/>
                <w:color w:val="auto"/>
              </w:rPr>
            </w:pPr>
            <w:r>
              <w:rPr>
                <w:rFonts w:ascii="Arial" w:cs="Arial" w:eastAsia="Arial" w:hAnsi="Arial"/>
                <w:sz w:val="18"/>
                <w:szCs w:val="18"/>
                <w:b w:val="1"/>
                <w:bCs w:val="1"/>
                <w:color w:val="auto"/>
              </w:rPr>
              <w:t>(unaudited)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$ 1,465,298</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(2,790,000)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(1,324,702)</w:t>
            </w:r>
          </w:p>
        </w:tc>
        <w:tc>
          <w:tcPr>
            <w:tcW w:w="0" w:type="dxa"/>
            <w:vAlign w:val="bottom"/>
          </w:tcPr>
          <w:p>
            <w:pPr>
              <w:spacing w:after="0"/>
              <w:rPr>
                <w:sz w:val="1"/>
                <w:szCs w:val="1"/>
                <w:color w:val="auto"/>
              </w:rPr>
            </w:pPr>
          </w:p>
        </w:tc>
      </w:tr>
      <w:tr>
        <w:trPr>
          <w:trHeight w:val="256"/>
        </w:trPr>
        <w:tc>
          <w:tcPr>
            <w:tcW w:w="4980" w:type="dxa"/>
            <w:vAlign w:val="bottom"/>
            <w:gridSpan w:val="2"/>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(2,790,000)</w:t>
            </w: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(2,790,000)</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Statement of cash flows nine months ended September 30,</w:t>
            </w:r>
          </w:p>
        </w:tc>
        <w:tc>
          <w:tcPr>
            <w:tcW w:w="10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2020 (unaudited)</w:t>
            </w:r>
          </w:p>
        </w:tc>
        <w:tc>
          <w:tcPr>
            <w:tcW w:w="10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0" w:type="dxa"/>
            <w:vAlign w:val="bottom"/>
          </w:tcPr>
          <w:p>
            <w:pPr>
              <w:jc w:val="right"/>
              <w:spacing w:after="0"/>
              <w:rPr>
                <w:sz w:val="20"/>
                <w:szCs w:val="20"/>
                <w:color w:val="auto"/>
              </w:rPr>
            </w:pPr>
            <w:r>
              <w:rPr>
                <w:rFonts w:ascii="Arial" w:cs="Arial" w:eastAsia="Arial" w:hAnsi="Arial"/>
                <w:sz w:val="18"/>
                <w:szCs w:val="18"/>
                <w:color w:val="auto"/>
                <w:w w:val="94"/>
              </w:rPr>
              <w:t>$ 1,351,338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(4,095,000)</w:t>
            </w:r>
          </w:p>
        </w:tc>
        <w:tc>
          <w:tcPr>
            <w:tcW w:w="2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(2,743,662)</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98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(4,095,000)</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5"/>
              </w:rPr>
              <w:t>(4,095,000)</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54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flows year ended December 31, 2020</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980" w:type="dxa"/>
            <w:vAlign w:val="bottom"/>
            <w:gridSpan w:val="2"/>
          </w:tcPr>
          <w:p>
            <w:pPr>
              <w:ind w:left="180"/>
              <w:spacing w:after="0"/>
              <w:rPr>
                <w:sz w:val="20"/>
                <w:szCs w:val="20"/>
                <w:color w:val="auto"/>
              </w:rPr>
            </w:pPr>
            <w:r>
              <w:rPr>
                <w:rFonts w:ascii="Arial" w:cs="Arial" w:eastAsia="Arial" w:hAnsi="Arial"/>
                <w:sz w:val="18"/>
                <w:szCs w:val="18"/>
                <w:b w:val="1"/>
                <w:bCs w:val="1"/>
                <w:color w:val="auto"/>
              </w:rPr>
              <w:t>(audited)</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$(1,601,521)</w:t>
            </w:r>
          </w:p>
        </w:tc>
        <w:tc>
          <w:tcPr>
            <w:tcW w:w="1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$(50,420,000)</w:t>
            </w:r>
          </w:p>
        </w:tc>
        <w:tc>
          <w:tcPr>
            <w:tcW w:w="2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$(52,021,521)</w:t>
            </w:r>
          </w:p>
        </w:tc>
        <w:tc>
          <w:tcPr>
            <w:tcW w:w="0" w:type="dxa"/>
            <w:vAlign w:val="bottom"/>
          </w:tcPr>
          <w:p>
            <w:pPr>
              <w:spacing w:after="0"/>
              <w:rPr>
                <w:sz w:val="1"/>
                <w:szCs w:val="1"/>
                <w:color w:val="auto"/>
              </w:rPr>
            </w:pPr>
          </w:p>
        </w:tc>
      </w:tr>
      <w:tr>
        <w:trPr>
          <w:trHeight w:val="256"/>
        </w:trPr>
        <w:tc>
          <w:tcPr>
            <w:tcW w:w="4980" w:type="dxa"/>
            <w:vAlign w:val="bottom"/>
            <w:gridSpan w:val="2"/>
          </w:tcPr>
          <w:p>
            <w:pPr>
              <w:spacing w:after="0"/>
              <w:rPr>
                <w:sz w:val="20"/>
                <w:szCs w:val="20"/>
                <w:color w:val="auto"/>
              </w:rPr>
            </w:pPr>
            <w:r>
              <w:rPr>
                <w:rFonts w:ascii="Arial" w:cs="Arial" w:eastAsia="Arial" w:hAnsi="Arial"/>
                <w:sz w:val="18"/>
                <w:szCs w:val="18"/>
                <w:color w:val="auto"/>
                <w:w w:val="99"/>
              </w:rPr>
              <w:t>Adjustments to reconcile net loss to net cash used in operating</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80" w:type="dxa"/>
            <w:vAlign w:val="bottom"/>
            <w:gridSpan w:val="2"/>
          </w:tcPr>
          <w:p>
            <w:pPr>
              <w:ind w:left="180"/>
              <w:spacing w:after="0"/>
              <w:rPr>
                <w:sz w:val="20"/>
                <w:szCs w:val="20"/>
                <w:color w:val="auto"/>
              </w:rPr>
            </w:pPr>
            <w:r>
              <w:rPr>
                <w:rFonts w:ascii="Arial" w:cs="Arial" w:eastAsia="Arial" w:hAnsi="Arial"/>
                <w:sz w:val="18"/>
                <w:szCs w:val="18"/>
                <w:color w:val="auto"/>
              </w:rPr>
              <w:t>activities:</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3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(50,420,000)</w:t>
            </w: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(50,420,000)</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34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-4465320</wp:posOffset>
            </wp:positionV>
            <wp:extent cx="12001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-4465320</wp:posOffset>
            </wp:positionV>
            <wp:extent cx="12001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3288665</wp:posOffset>
            </wp:positionH>
            <wp:positionV relativeFrom="paragraph">
              <wp:posOffset>-4465320</wp:posOffset>
            </wp:positionV>
            <wp:extent cx="603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59" w:lineRule="exact"/>
        <w:rPr>
          <w:sz w:val="20"/>
          <w:szCs w:val="20"/>
          <w:color w:val="auto"/>
        </w:rPr>
      </w:pPr>
    </w:p>
    <w:p>
      <w:pPr>
        <w:ind w:left="300" w:right="3159"/>
        <w:spacing w:after="0" w:line="385" w:lineRule="auto"/>
        <w:rPr>
          <w:sz w:val="20"/>
          <w:szCs w:val="20"/>
          <w:color w:val="auto"/>
        </w:rPr>
      </w:pPr>
      <w:r>
        <w:rPr>
          <w:rFonts w:ascii="Arial" w:cs="Arial" w:eastAsia="Arial" w:hAnsi="Arial"/>
          <w:sz w:val="18"/>
          <w:szCs w:val="18"/>
          <w:b w:val="1"/>
          <w:bCs w:val="1"/>
          <w:color w:val="auto"/>
        </w:rPr>
        <w:t xml:space="preserve">NOTE 3. 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accompanying consolidated financial statements are presented in conformity with accounting principles generally accepted in the United States of America (“GAAP”) and pursuant to the rules and regulations of the SEC.</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84" w:name="page185"/>
    <w:bookmarkEnd w:id="18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 and December 31, 2019.</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At December 31, 2020, the assets held in the Trust Account were held in money market funds, which primarily invest in U.S. Treasury securities and U.S. Treasury Bills. At December 31, 2019, the assets held in the Trust Account were substantially held in U.S. Treasury Bills.</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 (Restated)</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Transaction Costs and Related Compensation</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accounts for transaction costs associated with the issuance of equity and equity-like instruments depending on the nature of the instruments themselves. Transaction costs related to equity instruments of the company are charged against the aggregate offering proceeds. Transaction costs related to the issuance of equity-like instruments which the Company classifies as derivative liabilities are immediately expensed concurrent with the offering. In the event that the issuance two or more instruments are deemed to constitute one in the same transaction, the Company allocates the transaction costs between the constituent components pro rata according to the fair value of each component.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5" w:name="page186"/>
    <w:bookmarkEnd w:id="18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To the extent that the aggregate proceeds from the issuance of an instrument which is classified by the Company as a derivative liability is less than the fair market value determination of such liability, the amount of such liability in excess of the aggregate issuance proceeds is immediately recorded as compensation expense.</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and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Net Income (Loss) Per Ordinary Share (Restated)</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Net income (loss) per ordinary share is computed by dividing net income by the weighted-average number of ordinary shares outstanding during the period. The Company has not considered the effect of the warrants sold in the Public Offering and Private Placement to purchase an aggregate of 19,500,000 shares in the calculation of diluted loss per share, since the exercise of the warrants are contingent upon the occurrence of future events and the inclusion of such warrants would be anti-dilutive.</w:t>
      </w:r>
    </w:p>
    <w:p>
      <w:pPr>
        <w:spacing w:after="0" w:line="80"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5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4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6" w:name="page187"/>
    <w:bookmarkEnd w:id="18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from June 7, 2019</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For year ended</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58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94"/>
              </w:rPr>
              <w:t>through</w:t>
            </w:r>
          </w:p>
        </w:tc>
        <w:tc>
          <w:tcPr>
            <w:tcW w:w="0" w:type="dxa"/>
            <w:vAlign w:val="bottom"/>
          </w:tcPr>
          <w:p>
            <w:pPr>
              <w:spacing w:after="0"/>
              <w:rPr>
                <w:sz w:val="1"/>
                <w:szCs w:val="1"/>
                <w:color w:val="auto"/>
              </w:rPr>
            </w:pPr>
          </w:p>
        </w:tc>
      </w:tr>
      <w:tr>
        <w:trPr>
          <w:trHeight w:val="186"/>
        </w:trPr>
        <w:tc>
          <w:tcPr>
            <w:tcW w:w="5860" w:type="dxa"/>
            <w:vAlign w:val="bottom"/>
          </w:tcPr>
          <w:p>
            <w:pPr>
              <w:spacing w:after="0"/>
              <w:rPr>
                <w:sz w:val="16"/>
                <w:szCs w:val="16"/>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1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53"/>
        </w:trPr>
        <w:tc>
          <w:tcPr>
            <w:tcW w:w="58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Ordinary shares subject to possible redemption</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Numerator: Earnings allocable to Ordinary shares subject to possible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1,545,139</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1,721,223</w:t>
            </w:r>
          </w:p>
        </w:tc>
        <w:tc>
          <w:tcPr>
            <w:tcW w:w="0" w:type="dxa"/>
            <w:vAlign w:val="bottom"/>
          </w:tcPr>
          <w:p>
            <w:pPr>
              <w:spacing w:after="0"/>
              <w:rPr>
                <w:sz w:val="1"/>
                <w:szCs w:val="1"/>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2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3,235</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106,750</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1,548,374</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1,827,973</w:t>
            </w:r>
          </w:p>
        </w:tc>
        <w:tc>
          <w:tcPr>
            <w:tcW w:w="0" w:type="dxa"/>
            <w:vAlign w:val="bottom"/>
          </w:tcPr>
          <w:p>
            <w:pPr>
              <w:spacing w:after="0"/>
              <w:rPr>
                <w:sz w:val="1"/>
                <w:szCs w:val="1"/>
                <w:color w:val="auto"/>
              </w:rPr>
            </w:pPr>
          </w:p>
        </w:tc>
      </w:tr>
      <w:tr>
        <w:trPr>
          <w:trHeight w:val="256"/>
        </w:trPr>
        <w:tc>
          <w:tcPr>
            <w:tcW w:w="5860" w:type="dxa"/>
            <w:vAlign w:val="bottom"/>
          </w:tcPr>
          <w:p>
            <w:pPr>
              <w:spacing w:after="0"/>
              <w:rPr>
                <w:sz w:val="20"/>
                <w:szCs w:val="20"/>
                <w:color w:val="auto"/>
              </w:rPr>
            </w:pPr>
            <w:r>
              <w:rPr>
                <w:rFonts w:ascii="Arial" w:cs="Arial" w:eastAsia="Arial" w:hAnsi="Arial"/>
                <w:sz w:val="18"/>
                <w:szCs w:val="18"/>
                <w:color w:val="auto"/>
              </w:rPr>
              <w:t>Denominator: Weighted Average Ordinary shares subject to possible</w:t>
            </w: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22,226,328</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21,936,952</w:t>
            </w: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0.07</w:t>
            </w:r>
          </w:p>
        </w:tc>
        <w:tc>
          <w:tcPr>
            <w:tcW w:w="220" w:type="dxa"/>
            <w:vAlign w:val="bottom"/>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5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$(52,021,521)</w:t>
            </w:r>
          </w:p>
        </w:tc>
        <w:tc>
          <w:tcPr>
            <w:tcW w:w="220" w:type="dxa"/>
            <w:vAlign w:val="bottom"/>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5,352,568</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(1,548,374)</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(1,827,973)</w:t>
            </w:r>
          </w:p>
        </w:tc>
        <w:tc>
          <w:tcPr>
            <w:tcW w:w="0" w:type="dxa"/>
            <w:vAlign w:val="bottom"/>
          </w:tcPr>
          <w:p>
            <w:pPr>
              <w:spacing w:after="0"/>
              <w:rPr>
                <w:sz w:val="1"/>
                <w:szCs w:val="1"/>
                <w:color w:val="auto"/>
              </w:rPr>
            </w:pPr>
          </w:p>
        </w:tc>
      </w:tr>
      <w:tr>
        <w:trPr>
          <w:trHeight w:val="270"/>
        </w:trPr>
        <w:tc>
          <w:tcPr>
            <w:tcW w:w="5860" w:type="dxa"/>
            <w:vAlign w:val="bottom"/>
          </w:tcPr>
          <w:p>
            <w:pPr>
              <w:ind w:left="360"/>
              <w:spacing w:after="0"/>
              <w:rPr>
                <w:sz w:val="20"/>
                <w:szCs w:val="20"/>
                <w:color w:val="auto"/>
              </w:rPr>
            </w:pPr>
            <w:r>
              <w:rPr>
                <w:rFonts w:ascii="Arial" w:cs="Arial" w:eastAsia="Arial" w:hAnsi="Arial"/>
                <w:sz w:val="18"/>
                <w:szCs w:val="18"/>
                <w:color w:val="auto"/>
              </w:rPr>
              <w:t>Non-Redeemable Net (Loss) Income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$(53,569,895)</w:t>
            </w:r>
          </w:p>
        </w:tc>
        <w:tc>
          <w:tcPr>
            <w:tcW w:w="220" w:type="dxa"/>
            <w:vAlign w:val="bottom"/>
          </w:tcPr>
          <w:p>
            <w:pPr>
              <w:spacing w:after="0"/>
              <w:rPr>
                <w:sz w:val="23"/>
                <w:szCs w:val="23"/>
                <w:color w:val="auto"/>
              </w:rPr>
            </w:pP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3,524,595</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2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2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9,023,672</w:t>
            </w: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w w:val="97"/>
              </w:rPr>
              <w:t>8,367,106</w:t>
            </w:r>
          </w:p>
        </w:tc>
        <w:tc>
          <w:tcPr>
            <w:tcW w:w="0" w:type="dxa"/>
            <w:vAlign w:val="bottom"/>
          </w:tcPr>
          <w:p>
            <w:pPr>
              <w:spacing w:after="0"/>
              <w:rPr>
                <w:sz w:val="1"/>
                <w:szCs w:val="1"/>
                <w:color w:val="auto"/>
              </w:rPr>
            </w:pPr>
          </w:p>
        </w:tc>
      </w:tr>
      <w:tr>
        <w:trPr>
          <w:trHeight w:val="54"/>
        </w:trPr>
        <w:tc>
          <w:tcPr>
            <w:tcW w:w="5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54"/>
        </w:trPr>
        <w:tc>
          <w:tcPr>
            <w:tcW w:w="58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-3788410</wp:posOffset>
            </wp:positionV>
            <wp:extent cx="1371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-3788410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 (Restated)</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68" w:lineRule="exact"/>
        <w:rPr>
          <w:sz w:val="20"/>
          <w:szCs w:val="20"/>
          <w:color w:val="auto"/>
        </w:rPr>
      </w:pPr>
    </w:p>
    <w:p>
      <w:pPr>
        <w:ind w:left="1000" w:right="319" w:hanging="348"/>
        <w:spacing w:after="0" w:line="277"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7" w:name="page188"/>
    <w:bookmarkEnd w:id="18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Derivative Financial Instruments (Restated)</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consolidated financial statements.</w:t>
      </w:r>
    </w:p>
    <w:p>
      <w:pPr>
        <w:spacing w:after="0" w:line="315"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4.</w:t>
        <w:tab/>
        <w:t>INITIAL PUBLIC OFFERING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331"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5.</w:t>
        <w:tab/>
        <w:t>PRIVATE PLACEMENT</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8).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296"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RELATED PARTY TRANSACTIONS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8.</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84"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8" w:name="page189"/>
    <w:bookmarkEnd w:id="18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year ended December 31, 2020 and for the period from June 7, 2019 through December 31, 2019, the Company incurred $240,000 and $92,903 of such fees, of which $279,879 and $82,228 of such fees are included in accounts payable and accrued expenses in the accompanying consolidated balance sheets at December 31, 2020 and 2019, respectively.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177"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7.</w:t>
        <w:tab/>
        <w:t>COMMITMENTS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9" w:name="page190"/>
    <w:bookmarkEnd w:id="18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Merger Agreement, Merger Sub will merge with and into WMH with WMH continuing as the surviving entity and a subsidiary of the Company (refer to as “Surviving Pubco” following the Business Combination) (the “Merger” and the other transactions contemplated by the Merger Agreement, the “Business Combination”).</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As a result of the Business Combination, each issued and outstanding Class A ordinary share and Class B ordinary share of the Company will convert into a share of Class A common stock of Surviving Pubco, and each issued and outstanding warrant to purchase Class A ordinary shares of the Company will be exercisable by its terms to purchase an equal number of shares of Class A common stock of Surviving Pubco.</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merger consideration (the “Merger Consideration”) to be paid to holders of the limited liability company interests of WMH (each, a “WMH Equity Holder”) at the closing of the Business Combination (the “Closing”) pursuant to the Merger Agreement will be equal to $1.31 billion and will be paid in a mix of cash and equity consideration.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Merger Agreement contains customary representations, warranties and covenants by the parties thereto and the closing is subject to certain conditions as further described in the Merger Agreement.</w:t>
      </w:r>
    </w:p>
    <w:p>
      <w:pPr>
        <w:spacing w:after="0" w:line="166"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SHAREHOLDERS’ EQUITY (RESTATED)</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Preferred Shares </w:t>
      </w:r>
      <w:r>
        <w:rPr>
          <w:rFonts w:ascii="Arial" w:cs="Arial" w:eastAsia="Arial" w:hAnsi="Arial"/>
          <w:sz w:val="17"/>
          <w:szCs w:val="17"/>
          <w:color w:val="auto"/>
        </w:rPr>
        <w:t>— The Company is authorized to issue 1,000,000 preference shares with a par value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December 31, 2020 and December 31, 2019, there were no preference shares issued or outstanding.</w:t>
      </w:r>
    </w:p>
    <w:p>
      <w:pPr>
        <w:spacing w:after="0" w:line="69"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200,000,000 Class A ordinary shares,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 value of $0.0001 per share. Holders of Class A ordinary shares are entitled to one vote for each share. At December 31, 2020 and December 31, 2019, there were 7,891,750 and 2,575,687 shares of Class A ordinary shares issued or outstanding, excluding 17,108,250 and 22,424,313 Class A ordinary shares subject to possible redemption, respectively.</w:t>
      </w:r>
    </w:p>
    <w:p>
      <w:pPr>
        <w:spacing w:after="0" w:line="80"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20,000,000 Class B ordinary shares,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 value of $0.0001 per share. Holders of the Class B ordinary shares are entitled to one vote for each share. At December 31, 2020 and December 31, 2019, there were 6,250,000 Class B ordinary shares issued and outstanding.</w:t>
      </w:r>
    </w:p>
    <w:p>
      <w:pPr>
        <w:spacing w:after="0" w:line="4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8" w:lineRule="exact"/>
        <w:rPr>
          <w:sz w:val="20"/>
          <w:szCs w:val="20"/>
          <w:color w:val="auto"/>
        </w:rPr>
      </w:pPr>
    </w:p>
    <w:p>
      <w:pPr>
        <w:ind w:left="300"/>
        <w:spacing w:after="0"/>
        <w:tabs>
          <w:tab w:leader="none" w:pos="1140" w:val="left"/>
        </w:tabs>
        <w:rPr>
          <w:sz w:val="20"/>
          <w:szCs w:val="20"/>
          <w:color w:val="auto"/>
        </w:rPr>
      </w:pPr>
      <w:r>
        <w:rPr>
          <w:rFonts w:ascii="Arial" w:cs="Arial" w:eastAsia="Arial" w:hAnsi="Arial"/>
          <w:sz w:val="18"/>
          <w:szCs w:val="18"/>
          <w:b w:val="1"/>
          <w:bCs w:val="1"/>
          <w:color w:val="auto"/>
        </w:rPr>
        <w:t>NOTE 9.</w:t>
        <w:tab/>
        <w:t>WARRANT LIABILITY</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 shares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0" w:name="page191"/>
    <w:bookmarkEnd w:id="19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70"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reasonable best efforts to file with the SEC a registration statement 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Once the Public Warrants become exercisable, the Company may redeem the Public Warrants for redemption:</w:t>
      </w:r>
    </w:p>
    <w:p>
      <w:pPr>
        <w:spacing w:after="0" w:line="140" w:lineRule="exact"/>
        <w:rPr>
          <w:sz w:val="20"/>
          <w:szCs w:val="20"/>
          <w:color w:val="auto"/>
        </w:rPr>
      </w:pPr>
    </w:p>
    <w:p>
      <w:pPr>
        <w:ind w:left="1000" w:hanging="348"/>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1" w:name="page192"/>
    <w:bookmarkEnd w:id="19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01" w:lineRule="auto"/>
        <w:rPr>
          <w:sz w:val="20"/>
          <w:szCs w:val="20"/>
          <w:color w:val="auto"/>
        </w:rPr>
      </w:pPr>
      <w:r>
        <w:rPr>
          <w:rFonts w:ascii="Arial" w:cs="Arial" w:eastAsia="Arial" w:hAnsi="Arial"/>
          <w:sz w:val="16"/>
          <w:szCs w:val="16"/>
          <w:color w:val="auto"/>
        </w:rPr>
        <w:t>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4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09" w:lineRule="exact"/>
        <w:rPr>
          <w:sz w:val="20"/>
          <w:szCs w:val="20"/>
          <w:color w:val="auto"/>
        </w:rPr>
      </w:pPr>
    </w:p>
    <w:p>
      <w:pPr>
        <w:ind w:left="300"/>
        <w:spacing w:after="0"/>
        <w:tabs>
          <w:tab w:leader="none" w:pos="12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FAIR VALUE MEASUREMENTS (RESTATED)</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December 31, 2019, and indicates the fair value hierarchy of the valuation inputs the Company utilized to determine such fair value:</w:t>
      </w:r>
    </w:p>
    <w:p>
      <w:pPr>
        <w:spacing w:after="0" w:line="13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7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Level</w:t>
            </w:r>
          </w:p>
        </w:tc>
        <w:tc>
          <w:tcPr>
            <w:tcW w:w="14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Pr>
          <w:p>
            <w:pPr>
              <w:jc w:val="right"/>
              <w:ind w:right="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18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6"/>
                <w:szCs w:val="16"/>
                <w:color w:val="auto"/>
              </w:rPr>
            </w:pPr>
          </w:p>
        </w:tc>
        <w:tc>
          <w:tcPr>
            <w:tcW w:w="1040" w:type="dxa"/>
            <w:vAlign w:val="bottom"/>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476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4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87"/>
              </w:rPr>
              <w:t>$254,187,706</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$251,924,993</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1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41,000,000</w:t>
            </w:r>
          </w:p>
        </w:tc>
        <w:tc>
          <w:tcPr>
            <w:tcW w:w="4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54"/>
        </w:trPr>
        <w:tc>
          <w:tcPr>
            <w:tcW w:w="4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22,680,000</w:t>
            </w: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8,260,000</w:t>
            </w:r>
          </w:p>
        </w:tc>
        <w:tc>
          <w:tcPr>
            <w:tcW w:w="0" w:type="dxa"/>
            <w:vAlign w:val="bottom"/>
          </w:tcPr>
          <w:p>
            <w:pPr>
              <w:spacing w:after="0"/>
              <w:rPr>
                <w:sz w:val="1"/>
                <w:szCs w:val="1"/>
                <w:color w:val="auto"/>
              </w:rPr>
            </w:pPr>
          </w:p>
        </w:tc>
      </w:tr>
      <w:tr>
        <w:trPr>
          <w:trHeight w:val="54"/>
        </w:trPr>
        <w:tc>
          <w:tcPr>
            <w:tcW w:w="47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-1045210</wp:posOffset>
            </wp:positionV>
            <wp:extent cx="27432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3700145</wp:posOffset>
            </wp:positionH>
            <wp:positionV relativeFrom="paragraph">
              <wp:posOffset>-1045210</wp:posOffset>
            </wp:positionV>
            <wp:extent cx="27432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-1045210</wp:posOffset>
            </wp:positionV>
            <wp:extent cx="27432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2" w:name="page193"/>
    <w:bookmarkEnd w:id="19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4" w:lineRule="auto"/>
        <w:rPr>
          <w:sz w:val="20"/>
          <w:szCs w:val="20"/>
          <w:color w:val="auto"/>
        </w:rPr>
      </w:pPr>
      <w:r>
        <w:rPr>
          <w:rFonts w:ascii="Arial" w:cs="Arial" w:eastAsia="Arial" w:hAnsi="Arial"/>
          <w:sz w:val="18"/>
          <w:szCs w:val="18"/>
          <w:color w:val="auto"/>
        </w:rPr>
        <w:t>expected volatility as of the IPO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was used as the fair value as of each relevant date.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Private</w:t>
            </w:r>
          </w:p>
        </w:tc>
        <w:tc>
          <w:tcPr>
            <w:tcW w:w="10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Public</w:t>
            </w:r>
          </w:p>
        </w:tc>
        <w:tc>
          <w:tcPr>
            <w:tcW w:w="100" w:type="dxa"/>
            <w:vAlign w:val="bottom"/>
          </w:tcPr>
          <w:p>
            <w:pPr>
              <w:spacing w:after="0"/>
              <w:rPr>
                <w:sz w:val="14"/>
                <w:szCs w:val="14"/>
                <w:color w:val="auto"/>
              </w:rPr>
            </w:pPr>
          </w:p>
        </w:tc>
        <w:tc>
          <w:tcPr>
            <w:tcW w:w="880" w:type="dxa"/>
            <w:vAlign w:val="bottom"/>
          </w:tcPr>
          <w:p>
            <w:pPr>
              <w:jc w:val="right"/>
              <w:ind w:right="139"/>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86"/>
        </w:trPr>
        <w:tc>
          <w:tcPr>
            <w:tcW w:w="4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Placement</w:t>
            </w:r>
          </w:p>
        </w:tc>
        <w:tc>
          <w:tcPr>
            <w:tcW w:w="1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3"/>
        </w:trPr>
        <w:tc>
          <w:tcPr>
            <w:tcW w:w="4220" w:type="dxa"/>
            <w:vAlign w:val="bottom"/>
            <w:tcBorders>
              <w:bottom w:val="single" w:sz="8" w:color="CCEEFF"/>
            </w:tcBorders>
          </w:tcPr>
          <w:p>
            <w:pPr>
              <w:spacing w:after="0"/>
              <w:rPr>
                <w:sz w:val="4"/>
                <w:szCs w:val="4"/>
                <w:color w:val="auto"/>
              </w:rPr>
            </w:pPr>
          </w:p>
        </w:tc>
        <w:tc>
          <w:tcPr>
            <w:tcW w:w="7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June 7, 2019</w:t>
            </w: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Initial measurement on August 12, 2019</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7,280,000</w:t>
            </w: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5"/>
              </w:rPr>
              <w:t>10,625,000</w:t>
            </w:r>
          </w:p>
        </w:tc>
        <w:tc>
          <w:tcPr>
            <w:tcW w:w="3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17,905,000</w:t>
            </w: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980,000</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(5,625,000)</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(4,645,000)</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Fair value as of December 31, 2019</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8,260,000</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5,000,000</w:t>
            </w:r>
          </w:p>
        </w:tc>
        <w:tc>
          <w:tcPr>
            <w:tcW w:w="3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7"/>
              </w:rPr>
              <w:t>13,260,000</w:t>
            </w: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6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14,420,000</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36,000,000</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50,420,000</w:t>
            </w:r>
          </w:p>
        </w:tc>
        <w:tc>
          <w:tcPr>
            <w:tcW w:w="0" w:type="dxa"/>
            <w:vAlign w:val="bottom"/>
          </w:tcPr>
          <w:p>
            <w:pPr>
              <w:spacing w:after="0"/>
              <w:rPr>
                <w:sz w:val="1"/>
                <w:szCs w:val="1"/>
                <w:color w:val="auto"/>
              </w:rPr>
            </w:pPr>
          </w:p>
        </w:tc>
      </w:tr>
      <w:tr>
        <w:trPr>
          <w:trHeight w:val="270"/>
        </w:trPr>
        <w:tc>
          <w:tcPr>
            <w:tcW w:w="4220" w:type="dxa"/>
            <w:vAlign w:val="bottom"/>
          </w:tcPr>
          <w:p>
            <w:pPr>
              <w:spacing w:after="0"/>
              <w:rPr>
                <w:sz w:val="20"/>
                <w:szCs w:val="20"/>
                <w:color w:val="auto"/>
              </w:rPr>
            </w:pPr>
            <w:r>
              <w:rPr>
                <w:rFonts w:ascii="Arial" w:cs="Arial" w:eastAsia="Arial" w:hAnsi="Arial"/>
                <w:sz w:val="18"/>
                <w:szCs w:val="18"/>
                <w:color w:val="auto"/>
              </w:rPr>
              <w:t>Fair value as of December 31, 2020</w:t>
            </w:r>
          </w:p>
        </w:tc>
        <w:tc>
          <w:tcPr>
            <w:tcW w:w="1660" w:type="dxa"/>
            <w:vAlign w:val="bottom"/>
            <w:gridSpan w:val="3"/>
          </w:tcPr>
          <w:p>
            <w:pPr>
              <w:jc w:val="right"/>
              <w:spacing w:after="0"/>
              <w:rPr>
                <w:sz w:val="20"/>
                <w:szCs w:val="20"/>
                <w:color w:val="auto"/>
              </w:rPr>
            </w:pPr>
            <w:r>
              <w:rPr>
                <w:rFonts w:ascii="Arial" w:cs="Arial" w:eastAsia="Arial" w:hAnsi="Arial"/>
                <w:sz w:val="18"/>
                <w:szCs w:val="18"/>
                <w:color w:val="auto"/>
              </w:rPr>
              <w:t>$22,680,000</w:t>
            </w:r>
          </w:p>
        </w:tc>
        <w:tc>
          <w:tcPr>
            <w:tcW w:w="30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87"/>
              </w:rPr>
              <w:t>$41,000,000</w:t>
            </w:r>
          </w:p>
        </w:tc>
        <w:tc>
          <w:tcPr>
            <w:tcW w:w="300" w:type="dxa"/>
            <w:vAlign w:val="bottom"/>
          </w:tcPr>
          <w:p>
            <w:pPr>
              <w:spacing w:after="0"/>
              <w:rPr>
                <w:sz w:val="23"/>
                <w:szCs w:val="23"/>
                <w:color w:val="auto"/>
              </w:rPr>
            </w:pPr>
          </w:p>
        </w:tc>
        <w:tc>
          <w:tcPr>
            <w:tcW w:w="980" w:type="dxa"/>
            <w:vAlign w:val="bottom"/>
            <w:gridSpan w:val="2"/>
          </w:tcPr>
          <w:p>
            <w:pPr>
              <w:spacing w:after="0"/>
              <w:rPr>
                <w:sz w:val="20"/>
                <w:szCs w:val="20"/>
                <w:color w:val="auto"/>
              </w:rPr>
            </w:pPr>
            <w:r>
              <w:rPr>
                <w:rFonts w:ascii="Arial" w:cs="Arial" w:eastAsia="Arial" w:hAnsi="Arial"/>
                <w:sz w:val="18"/>
                <w:szCs w:val="18"/>
                <w:color w:val="auto"/>
                <w:w w:val="95"/>
              </w:rPr>
              <w:t>$63,680,000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4728845</wp:posOffset>
            </wp:positionH>
            <wp:positionV relativeFrom="paragraph">
              <wp:posOffset>-1216660</wp:posOffset>
            </wp:positionV>
            <wp:extent cx="18859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-1216660</wp:posOffset>
            </wp:positionV>
            <wp:extent cx="18859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3254375</wp:posOffset>
            </wp:positionH>
            <wp:positionV relativeFrom="paragraph">
              <wp:posOffset>-1216660</wp:posOffset>
            </wp:positionV>
            <wp:extent cx="939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300"/>
        <w:spacing w:after="0"/>
        <w:tabs>
          <w:tab w:leader="none" w:pos="12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consolidated financial statements were issued. Based upon this review, other than as describe below, the Company did not identify any subsequent events that would have required adjustment or disclosure in the consolidated financial statements.</w:t>
      </w:r>
    </w:p>
    <w:p>
      <w:pPr>
        <w:spacing w:after="0" w:line="79"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On January 13, 2021, the Company held an Extraordinary General Meeting pursuant to which the Company’s shareholders approved extending the Extension Date. In connection with the approval of the extension, shareholders elected to redeem an aggregate of 1,425 Class A ordinary shares. As a result, an aggregate of $14,489 (or approximately $10.17 per share) was released from the Company’s Trust Account to pay such shareholders.</w:t>
      </w:r>
    </w:p>
    <w:p>
      <w:pPr>
        <w:spacing w:after="0" w:line="4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Beginning on January 27, 2021, purported stockholders of the Company filed or threatened to file lawsuits in connection with the Company’s prospective merger with WMH,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prospective Merger omits material information related to the proposed transaction, and asserts claims for breach of fiduciary duty against certain of the Company’s current officers and directors and for aiding and abetting breach of fiduciary duty against the Company. The Stout complaint also asserts aiding and abetting claims against WMH and Merger Sub. Plaintiffs seek injunctive relief to enjoin the proposed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the company,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proposed Merger, pending dissemination of supplemental disclosures, unspecified damages and attorneys’ fees and costs. The Company believes that these allegations are without merit. These matters are in the early stages and the Company is unable to reasonably determine the outcome or estimate the loss, if any, and as such, has not recorded a loss contingency.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3" w:name="page194"/>
    <w:bookmarkEnd w:id="19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BALANCE SHEETS</w:t>
      </w:r>
    </w:p>
    <w:p>
      <w:pPr>
        <w:spacing w:after="0" w:line="175" w:lineRule="exact"/>
        <w:rPr>
          <w:sz w:val="20"/>
          <w:szCs w:val="20"/>
          <w:color w:val="auto"/>
        </w:rPr>
      </w:pPr>
    </w:p>
    <w:p>
      <w:pPr>
        <w:ind w:left="6460"/>
        <w:spacing w:after="0"/>
        <w:tabs>
          <w:tab w:leader="none" w:pos="7600" w:val="left"/>
        </w:tabs>
        <w:rPr>
          <w:sz w:val="20"/>
          <w:szCs w:val="20"/>
          <w:color w:val="auto"/>
        </w:rPr>
      </w:pPr>
      <w:r>
        <w:rPr>
          <w:rFonts w:ascii="Arial" w:cs="Arial" w:eastAsia="Arial" w:hAnsi="Arial"/>
          <w:sz w:val="14"/>
          <w:szCs w:val="14"/>
          <w:b w:val="1"/>
          <w:bCs w:val="1"/>
          <w:color w:val="auto"/>
        </w:rPr>
        <w:t>March 31,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49530</wp:posOffset>
            </wp:positionV>
            <wp:extent cx="15259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100,608</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101,730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30,833</w:t>
            </w:r>
          </w:p>
        </w:tc>
        <w:tc>
          <w:tcPr>
            <w:tcW w:w="80" w:type="dxa"/>
            <w:vAlign w:val="bottom"/>
          </w:tcPr>
          <w:p>
            <w:pPr>
              <w:spacing w:after="0"/>
              <w:rPr>
                <w:sz w:val="22"/>
                <w:szCs w:val="22"/>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202,338</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343,540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254,202,898</w:t>
            </w:r>
          </w:p>
        </w:tc>
        <w:tc>
          <w:tcPr>
            <w:tcW w:w="260" w:type="dxa"/>
            <w:vAlign w:val="bottom"/>
          </w:tcPr>
          <w:p>
            <w:pPr>
              <w:spacing w:after="0"/>
              <w:rPr>
                <w:sz w:val="22"/>
                <w:szCs w:val="2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254,187,706</w:t>
            </w:r>
          </w:p>
        </w:tc>
        <w:tc>
          <w:tcPr>
            <w:tcW w:w="80" w:type="dxa"/>
            <w:vAlign w:val="bottom"/>
          </w:tcPr>
          <w:p>
            <w:pPr>
              <w:spacing w:after="0"/>
              <w:rPr>
                <w:sz w:val="22"/>
                <w:szCs w:val="22"/>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r>
      <w:tr>
        <w:trPr>
          <w:trHeight w:val="358"/>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254,405,236</w:t>
            </w:r>
          </w:p>
        </w:tc>
        <w:tc>
          <w:tcPr>
            <w:tcW w:w="2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80" w:type="dxa"/>
            <w:vAlign w:val="bottom"/>
            <w:shd w:val="clear" w:color="auto" w:fill="CCEEFF"/>
          </w:tcPr>
          <w:p>
            <w:pPr>
              <w:spacing w:after="0"/>
              <w:rPr>
                <w:sz w:val="24"/>
                <w:szCs w:val="24"/>
                <w:color w:val="auto"/>
              </w:rPr>
            </w:pPr>
          </w:p>
        </w:tc>
      </w:tr>
      <w:tr>
        <w:trPr>
          <w:trHeight w:val="311"/>
        </w:trPr>
        <w:tc>
          <w:tcPr>
            <w:tcW w:w="6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60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3,549,523</w:t>
            </w:r>
          </w:p>
        </w:tc>
        <w:tc>
          <w:tcPr>
            <w:tcW w:w="26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3,152,970</w:t>
            </w:r>
          </w:p>
        </w:tc>
        <w:tc>
          <w:tcPr>
            <w:tcW w:w="80" w:type="dxa"/>
            <w:vAlign w:val="bottom"/>
          </w:tcPr>
          <w:p>
            <w:pPr>
              <w:spacing w:after="0"/>
              <w:rPr>
                <w:sz w:val="23"/>
                <w:szCs w:val="23"/>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party promissory note</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61"/>
        </w:trPr>
        <w:tc>
          <w:tcPr>
            <w:tcW w:w="6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60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3,749,523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3,152,970</w:t>
            </w:r>
          </w:p>
        </w:tc>
        <w:tc>
          <w:tcPr>
            <w:tcW w:w="80" w:type="dxa"/>
            <w:vAlign w:val="bottom"/>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141,900,000</w:t>
            </w: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63,680,000</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600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8,750,000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8,750,000</w:t>
            </w:r>
          </w:p>
        </w:tc>
        <w:tc>
          <w:tcPr>
            <w:tcW w:w="80" w:type="dxa"/>
            <w:vAlign w:val="bottom"/>
          </w:tcPr>
          <w:p>
            <w:pPr>
              <w:spacing w:after="0"/>
              <w:rPr>
                <w:sz w:val="22"/>
                <w:szCs w:val="22"/>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70"/>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154,399,523</w:t>
            </w: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75,582,970</w:t>
            </w:r>
          </w:p>
        </w:tc>
        <w:tc>
          <w:tcPr>
            <w:tcW w:w="80" w:type="dxa"/>
            <w:vAlign w:val="bottom"/>
            <w:shd w:val="clear" w:color="auto" w:fill="CCEEFF"/>
          </w:tcPr>
          <w:p>
            <w:pPr>
              <w:spacing w:after="0"/>
              <w:rPr>
                <w:sz w:val="23"/>
                <w:szCs w:val="23"/>
                <w:color w:val="auto"/>
              </w:rPr>
            </w:pPr>
          </w:p>
        </w:tc>
      </w:tr>
      <w:tr>
        <w:trPr>
          <w:trHeight w:val="61"/>
        </w:trPr>
        <w:tc>
          <w:tcPr>
            <w:tcW w:w="6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84"/>
        </w:trPr>
        <w:tc>
          <w:tcPr>
            <w:tcW w:w="6000" w:type="dxa"/>
            <w:vAlign w:val="bottom"/>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0"/>
              </w:rPr>
              <w:t>Class A ordinary shares subject to possible redemption, 9,342,960 and 17,108,250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at redemption value at March 31, 2021 and December 31, 2020,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7"/>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95,005,712</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173,948,273</w:t>
            </w:r>
          </w:p>
        </w:tc>
        <w:tc>
          <w:tcPr>
            <w:tcW w:w="80" w:type="dxa"/>
            <w:vAlign w:val="bottom"/>
            <w:tcBorders>
              <w:bottom w:val="single" w:sz="8" w:color="CCEEFF"/>
            </w:tcBorders>
            <w:shd w:val="clear" w:color="auto" w:fill="CCEEFF"/>
          </w:tcPr>
          <w:p>
            <w:pPr>
              <w:spacing w:after="0"/>
              <w:rPr>
                <w:sz w:val="18"/>
                <w:szCs w:val="18"/>
                <w:color w:val="auto"/>
              </w:rPr>
            </w:pPr>
          </w:p>
        </w:tc>
      </w:tr>
      <w:tr>
        <w:trPr>
          <w:trHeight w:val="61"/>
        </w:trPr>
        <w:tc>
          <w:tcPr>
            <w:tcW w:w="60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40" w:type="dxa"/>
            <w:vAlign w:val="bottom"/>
            <w:tcBorders>
              <w:right w:val="single" w:sz="8" w:color="CCEEFF"/>
            </w:tcBorders>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tcBorders>
              <w:right w:val="single" w:sz="8" w:color="CCEEFF"/>
            </w:tcBorders>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4"/>
        </w:trPr>
        <w:tc>
          <w:tcPr>
            <w:tcW w:w="6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2"/>
              </w:rPr>
              <w:t>Preference shares, $0.0001 par value; 1,000,000 shares authorized; none issued</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64"/>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outstanding</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56"/>
        </w:trPr>
        <w:tc>
          <w:tcPr>
            <w:tcW w:w="6000" w:type="dxa"/>
            <w:vAlign w:val="bottom"/>
          </w:tcPr>
          <w:p>
            <w:pPr>
              <w:spacing w:after="0"/>
              <w:rPr>
                <w:sz w:val="20"/>
                <w:szCs w:val="20"/>
                <w:color w:val="auto"/>
              </w:rPr>
            </w:pPr>
            <w:r>
              <w:rPr>
                <w:rFonts w:ascii="Arial" w:cs="Arial" w:eastAsia="Arial" w:hAnsi="Arial"/>
                <w:sz w:val="18"/>
                <w:szCs w:val="18"/>
                <w:color w:val="auto"/>
                <w:w w:val="98"/>
              </w:rPr>
              <w:t>Class A ordinary shares, $0.0001 par value; 200,000,000 shares authorized;</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w w:val="91"/>
              </w:rPr>
              <w:t>15,655,615 and 7,891,750 shares issued and outstanding (excluding 9,342,960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w w:val="93"/>
              </w:rPr>
              <w:t>and 17,108,250 shares subject to possible redemption) at March 31, 2021 and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00" w:type="dxa"/>
            <w:vAlign w:val="bottom"/>
          </w:tcPr>
          <w:p>
            <w:pPr>
              <w:ind w:left="180"/>
              <w:spacing w:after="0"/>
              <w:rPr>
                <w:sz w:val="20"/>
                <w:szCs w:val="20"/>
                <w:color w:val="auto"/>
              </w:rPr>
            </w:pPr>
            <w:r>
              <w:rPr>
                <w:rFonts w:ascii="Arial" w:cs="Arial" w:eastAsia="Arial" w:hAnsi="Arial"/>
                <w:sz w:val="18"/>
                <w:szCs w:val="18"/>
                <w:color w:val="auto"/>
              </w:rPr>
              <w:t>December 31, 2020, respectively</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w:t>
            </w:r>
          </w:p>
        </w:tc>
        <w:tc>
          <w:tcPr>
            <w:tcW w:w="80" w:type="dxa"/>
            <w:vAlign w:val="bottom"/>
          </w:tcPr>
          <w:p>
            <w:pPr>
              <w:spacing w:after="0"/>
              <w:rPr>
                <w:sz w:val="20"/>
                <w:szCs w:val="20"/>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B ordinary shares, $0.0001 par value; 20,000,000 shares authorized;</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6,250,000 shares issued and outstanding at March 31, 2021 and December 31,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6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89"/>
              </w:rPr>
              <w:t>130,948,287</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52,020,992</w:t>
            </w:r>
          </w:p>
        </w:tc>
        <w:tc>
          <w:tcPr>
            <w:tcW w:w="80" w:type="dxa"/>
            <w:vAlign w:val="bottom"/>
          </w:tcPr>
          <w:p>
            <w:pPr>
              <w:spacing w:after="0"/>
              <w:rPr>
                <w:sz w:val="23"/>
                <w:szCs w:val="23"/>
                <w:color w:val="auto"/>
              </w:rPr>
            </w:pPr>
          </w:p>
        </w:tc>
      </w:tr>
      <w:tr>
        <w:trPr>
          <w:trHeight w:val="54"/>
        </w:trPr>
        <w:tc>
          <w:tcPr>
            <w:tcW w:w="6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(125,950,477)</w:t>
            </w:r>
          </w:p>
        </w:tc>
        <w:tc>
          <w:tcPr>
            <w:tcW w:w="10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(47,022,403)</w:t>
            </w:r>
          </w:p>
        </w:tc>
      </w:tr>
      <w:tr>
        <w:trPr>
          <w:trHeight w:val="61"/>
        </w:trPr>
        <w:tc>
          <w:tcPr>
            <w:tcW w:w="60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940" w:type="dxa"/>
            <w:vAlign w:val="bottom"/>
            <w:tcBorders>
              <w:top w:val="single" w:sz="8" w:color="auto"/>
              <w:right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900" w:type="dxa"/>
            <w:vAlign w:val="bottom"/>
            <w:tcBorders>
              <w:top w:val="single" w:sz="8" w:color="auto"/>
              <w:right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5,000,001</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23"/>
                <w:szCs w:val="23"/>
                <w:color w:val="auto"/>
              </w:rPr>
            </w:pPr>
          </w:p>
        </w:tc>
      </w:tr>
      <w:tr>
        <w:trPr>
          <w:trHeight w:val="61"/>
        </w:trPr>
        <w:tc>
          <w:tcPr>
            <w:tcW w:w="6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1"/>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254,405,236</w:t>
            </w:r>
          </w:p>
        </w:tc>
        <w:tc>
          <w:tcPr>
            <w:tcW w:w="260" w:type="dxa"/>
            <w:vAlign w:val="bottom"/>
            <w:shd w:val="clear" w:color="auto" w:fill="CCEEFF"/>
          </w:tcPr>
          <w:p>
            <w:pPr>
              <w:spacing w:after="0"/>
              <w:rPr>
                <w:sz w:val="24"/>
                <w:szCs w:val="24"/>
                <w:color w:val="auto"/>
              </w:rPr>
            </w:pP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254,531,246</w:t>
            </w:r>
          </w:p>
        </w:tc>
        <w:tc>
          <w:tcPr>
            <w:tcW w:w="80" w:type="dxa"/>
            <w:vAlign w:val="bottom"/>
            <w:shd w:val="clear" w:color="auto" w:fill="CCEEFF"/>
          </w:tcPr>
          <w:p>
            <w:pPr>
              <w:spacing w:after="0"/>
              <w:rPr>
                <w:sz w:val="24"/>
                <w:szCs w:val="24"/>
                <w:color w:val="auto"/>
              </w:rPr>
            </w:pPr>
          </w:p>
        </w:tc>
      </w:tr>
      <w:tr>
        <w:trPr>
          <w:trHeight w:val="27"/>
        </w:trPr>
        <w:tc>
          <w:tcPr>
            <w:tcW w:w="60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940" w:type="dxa"/>
            <w:vAlign w:val="bottom"/>
            <w:tcBorders>
              <w:top w:val="single" w:sz="8" w:color="auto"/>
              <w:right w:val="single" w:sz="8" w:color="CCEEFF"/>
            </w:tcBorders>
            <w:shd w:val="clear" w:color="auto" w:fill="000000"/>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90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4" w:name="page195"/>
    <w:bookmarkEnd w:id="19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2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53"/>
        </w:trPr>
        <w:tc>
          <w:tcPr>
            <w:tcW w:w="61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6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9"/>
                <w:szCs w:val="19"/>
                <w:color w:val="auto"/>
              </w:rPr>
            </w:pPr>
          </w:p>
        </w:tc>
      </w:tr>
      <w:tr>
        <w:trPr>
          <w:trHeight w:val="53"/>
        </w:trPr>
        <w:tc>
          <w:tcPr>
            <w:tcW w:w="6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63"/>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737,755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457,616</w:t>
            </w:r>
          </w:p>
        </w:tc>
        <w:tc>
          <w:tcPr>
            <w:tcW w:w="80" w:type="dxa"/>
            <w:vAlign w:val="bottom"/>
            <w:tcBorders>
              <w:bottom w:val="single" w:sz="8" w:color="CCEEFF"/>
            </w:tcBorders>
            <w:shd w:val="clear" w:color="auto" w:fill="CCEEFF"/>
          </w:tcPr>
          <w:p>
            <w:pPr>
              <w:spacing w:after="0"/>
              <w:rPr>
                <w:sz w:val="22"/>
                <w:szCs w:val="22"/>
                <w:color w:val="auto"/>
              </w:rPr>
            </w:pPr>
          </w:p>
        </w:tc>
      </w:tr>
      <w:tr>
        <w:trPr>
          <w:trHeight w:val="61"/>
        </w:trPr>
        <w:tc>
          <w:tcPr>
            <w:tcW w:w="6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r>
      <w:tr>
        <w:trPr>
          <w:trHeight w:val="283"/>
        </w:trPr>
        <w:tc>
          <w:tcPr>
            <w:tcW w:w="618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(737,755)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(457,616)</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2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7"/>
              </w:rPr>
              <w:t>(78,220,000)</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195,000</w:t>
            </w: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Interest income on marketable securities held in Trust Account</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29,681</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932,037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7"/>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20" w:type="dxa"/>
            <w:vAlign w:val="bottom"/>
            <w:shd w:val="clear" w:color="auto" w:fill="CCEEFF"/>
          </w:tcPr>
          <w:p>
            <w:pPr>
              <w:spacing w:after="0"/>
              <w:rPr>
                <w:sz w:val="22"/>
                <w:szCs w:val="22"/>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1,152,686</w:t>
            </w: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(78,190,319)</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2,279,723</w:t>
            </w:r>
          </w:p>
        </w:tc>
      </w:tr>
      <w:tr>
        <w:trPr>
          <w:trHeight w:val="61"/>
        </w:trPr>
        <w:tc>
          <w:tcPr>
            <w:tcW w:w="61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38"/>
        </w:trPr>
        <w:tc>
          <w:tcPr>
            <w:tcW w:w="6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57"/>
        </w:trPr>
        <w:tc>
          <w:tcPr>
            <w:tcW w:w="61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(78,928,074)</w:t>
            </w:r>
          </w:p>
        </w:tc>
        <w:tc>
          <w:tcPr>
            <w:tcW w:w="2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1,822,107</w:t>
            </w:r>
          </w:p>
        </w:tc>
        <w:tc>
          <w:tcPr>
            <w:tcW w:w="80" w:type="dxa"/>
            <w:vAlign w:val="bottom"/>
          </w:tcPr>
          <w:p>
            <w:pPr>
              <w:spacing w:after="0"/>
              <w:rPr>
                <w:sz w:val="22"/>
                <w:szCs w:val="22"/>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65"/>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56"/>
        </w:trPr>
        <w:tc>
          <w:tcPr>
            <w:tcW w:w="6180" w:type="dxa"/>
            <w:vAlign w:val="bottom"/>
          </w:tcPr>
          <w:p>
            <w:pPr>
              <w:spacing w:after="0"/>
              <w:rPr>
                <w:sz w:val="20"/>
                <w:szCs w:val="20"/>
                <w:color w:val="auto"/>
              </w:rPr>
            </w:pPr>
            <w:r>
              <w:rPr>
                <w:rFonts w:ascii="Arial" w:cs="Arial" w:eastAsia="Arial" w:hAnsi="Arial"/>
                <w:sz w:val="18"/>
                <w:szCs w:val="18"/>
                <w:color w:val="auto"/>
                <w:w w:val="93"/>
              </w:rPr>
              <w:t>Basic and diluted weighted average shares outstanding, Ordinary shares subject to</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17"/>
        </w:trPr>
        <w:tc>
          <w:tcPr>
            <w:tcW w:w="61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17,108,013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22,424,313</w:t>
            </w:r>
          </w:p>
        </w:tc>
        <w:tc>
          <w:tcPr>
            <w:tcW w:w="80" w:type="dxa"/>
            <w:vAlign w:val="bottom"/>
          </w:tcPr>
          <w:p>
            <w:pPr>
              <w:spacing w:after="0"/>
              <w:rPr>
                <w:sz w:val="18"/>
                <w:szCs w:val="18"/>
                <w:color w:val="auto"/>
              </w:rPr>
            </w:pPr>
          </w:p>
        </w:tc>
      </w:tr>
      <w:tr>
        <w:trPr>
          <w:trHeight w:val="20"/>
        </w:trPr>
        <w:tc>
          <w:tcPr>
            <w:tcW w:w="6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8"/>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92"/>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net income per share, Ordinary shares subject to</w:t>
            </w: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r>
      <w:tr>
        <w:trPr>
          <w:trHeight w:val="221"/>
        </w:trPr>
        <w:tc>
          <w:tcPr>
            <w:tcW w:w="61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redemption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80" w:type="dxa"/>
            <w:vAlign w:val="bottom"/>
            <w:shd w:val="clear" w:color="auto" w:fill="CCEEFF"/>
          </w:tcPr>
          <w:p>
            <w:pPr>
              <w:spacing w:after="0"/>
              <w:rPr>
                <w:sz w:val="19"/>
                <w:szCs w:val="19"/>
                <w:color w:val="auto"/>
              </w:rPr>
            </w:pPr>
          </w:p>
        </w:tc>
      </w:tr>
      <w:tr>
        <w:trPr>
          <w:trHeight w:val="61"/>
        </w:trPr>
        <w:tc>
          <w:tcPr>
            <w:tcW w:w="61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r>
      <w:tr>
        <w:trPr>
          <w:trHeight w:val="338"/>
        </w:trPr>
        <w:tc>
          <w:tcPr>
            <w:tcW w:w="6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5"/>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ordinary shares</w:t>
            </w: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14,141,750</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8,825,687</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97"/>
        </w:trPr>
        <w:tc>
          <w:tcPr>
            <w:tcW w:w="61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Ordinary shares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(5.58)</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(0.02)</w:t>
            </w:r>
          </w:p>
        </w:tc>
      </w:tr>
      <w:tr>
        <w:trPr>
          <w:trHeight w:val="20"/>
        </w:trPr>
        <w:tc>
          <w:tcPr>
            <w:tcW w:w="6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-3796665</wp:posOffset>
            </wp:positionV>
            <wp:extent cx="13716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-3796665</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5" w:name="page196"/>
    <w:bookmarkEnd w:id="19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Class A Ordinary</w:t>
            </w:r>
          </w:p>
        </w:tc>
        <w:tc>
          <w:tcPr>
            <w:tcW w:w="80" w:type="dxa"/>
            <w:vAlign w:val="bottom"/>
          </w:tcPr>
          <w:p>
            <w:pPr>
              <w:spacing w:after="0"/>
              <w:rPr>
                <w:sz w:val="14"/>
                <w:szCs w:val="14"/>
                <w:color w:val="auto"/>
              </w:rPr>
            </w:pPr>
          </w:p>
        </w:tc>
        <w:tc>
          <w:tcPr>
            <w:tcW w:w="13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Class B Ordinary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jc w:val="right"/>
              <w:ind w:right="414"/>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320" w:type="dxa"/>
            <w:vAlign w:val="bottom"/>
            <w:gridSpan w:val="4"/>
          </w:tcPr>
          <w:p>
            <w:pPr>
              <w:jc w:val="right"/>
              <w:ind w:right="440"/>
              <w:spacing w:after="0" w:line="149"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restart"/>
          </w:tcPr>
          <w:p>
            <w:pPr>
              <w:jc w:val="right"/>
              <w:ind w:right="95"/>
              <w:spacing w:after="0" w:line="149"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3"/>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2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3"/>
                <w:szCs w:val="3"/>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79"/>
              </w:rPr>
              <w:t>Amount</w:t>
            </w: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Paid-in Capital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Deficit</w:t>
            </w:r>
          </w:p>
        </w:tc>
        <w:tc>
          <w:tcPr>
            <w:tcW w:w="120" w:type="dxa"/>
            <w:vAlign w:val="bottom"/>
          </w:tcPr>
          <w:p>
            <w:pPr>
              <w:spacing w:after="0"/>
              <w:rPr>
                <w:sz w:val="16"/>
                <w:szCs w:val="16"/>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1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Balance – January 1, 2021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(restated)</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7,891,750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  789</w:t>
            </w:r>
          </w:p>
        </w:tc>
        <w:tc>
          <w:tcPr>
            <w:tcW w:w="82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6,250,000</w:t>
            </w:r>
          </w:p>
        </w:tc>
        <w:tc>
          <w:tcPr>
            <w:tcW w:w="14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$625</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52,020,992</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(47,022,403)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95"/>
              </w:rPr>
              <w:t>Change in value of ordinary</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4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shares subject to possible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7,763,865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78,927,295</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78,928,072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1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2"/>
                <w:szCs w:val="22"/>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5"/>
              </w:rPr>
              <w:t>(78,928,074)</w:t>
            </w:r>
          </w:p>
        </w:tc>
        <w:tc>
          <w:tcPr>
            <w:tcW w:w="80" w:type="dxa"/>
            <w:vAlign w:val="bottom"/>
          </w:tcPr>
          <w:p>
            <w:pPr>
              <w:spacing w:after="0"/>
              <w:rPr>
                <w:sz w:val="22"/>
                <w:szCs w:val="22"/>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(78,928,074)</w:t>
            </w:r>
          </w:p>
        </w:tc>
        <w:tc>
          <w:tcPr>
            <w:tcW w:w="0" w:type="dxa"/>
            <w:vAlign w:val="bottom"/>
          </w:tcPr>
          <w:p>
            <w:pPr>
              <w:spacing w:after="0"/>
              <w:rPr>
                <w:sz w:val="1"/>
                <w:szCs w:val="1"/>
                <w:color w:val="auto"/>
              </w:rPr>
            </w:pPr>
          </w:p>
        </w:tc>
      </w:tr>
      <w:tr>
        <w:trPr>
          <w:trHeight w:val="61"/>
        </w:trPr>
        <w:tc>
          <w:tcPr>
            <w:tcW w:w="2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10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shd w:val="clear" w:color="auto" w:fill="CCEEFF"/>
              </w:rPr>
              <w:t>Balance – March 31, 2021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shd w:val="clear" w:color="auto" w:fill="CCEEFF"/>
              </w:rPr>
              <w:t>15,655,615</w:t>
            </w:r>
          </w:p>
        </w:tc>
        <w:tc>
          <w:tcPr>
            <w:tcW w:w="100" w:type="dxa"/>
            <w:vAlign w:val="bottom"/>
            <w:shd w:val="clear" w:color="auto" w:fill="CCEEFF"/>
          </w:tcPr>
          <w:p>
            <w:pPr>
              <w:spacing w:after="0"/>
              <w:rPr>
                <w:sz w:val="24"/>
                <w:szCs w:val="24"/>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3"/>
                <w:shd w:val="clear" w:color="auto" w:fill="CCEEFF"/>
              </w:rPr>
              <w:t>$</w:t>
            </w:r>
            <w:r>
              <w:rPr>
                <w:rFonts w:ascii="Arial" w:cs="Arial" w:eastAsia="Arial" w:hAnsi="Arial"/>
                <w:sz w:val="18"/>
                <w:szCs w:val="18"/>
                <w:b w:val="1"/>
                <w:bCs w:val="1"/>
                <w:color w:val="auto"/>
                <w:w w:val="83"/>
                <w:shd w:val="clear" w:color="auto" w:fill="CCEEFF"/>
              </w:rPr>
              <w:t>1,566</w:t>
            </w:r>
          </w:p>
        </w:tc>
        <w:tc>
          <w:tcPr>
            <w:tcW w:w="8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shd w:val="clear" w:color="auto" w:fill="CCEEFF"/>
              </w:rPr>
              <w:t>6,250,000</w:t>
            </w:r>
          </w:p>
        </w:tc>
        <w:tc>
          <w:tcPr>
            <w:tcW w:w="14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shd w:val="clear" w:color="auto" w:fill="CCEEFF"/>
              </w:rPr>
              <w:t>$</w:t>
            </w:r>
            <w:r>
              <w:rPr>
                <w:rFonts w:ascii="Arial" w:cs="Arial" w:eastAsia="Arial" w:hAnsi="Arial"/>
                <w:sz w:val="18"/>
                <w:szCs w:val="18"/>
                <w:b w:val="1"/>
                <w:bCs w:val="1"/>
                <w:color w:val="auto"/>
                <w:w w:val="84"/>
                <w:shd w:val="clear" w:color="auto" w:fill="CCEEFF"/>
              </w:rPr>
              <w:t>625</w:t>
            </w:r>
          </w:p>
        </w:tc>
        <w:tc>
          <w:tcPr>
            <w:tcW w:w="80" w:type="dxa"/>
            <w:vAlign w:val="bottom"/>
            <w:shd w:val="clear" w:color="auto" w:fill="CCEEFF"/>
          </w:tcPr>
          <w:p>
            <w:pPr>
              <w:spacing w:after="0"/>
              <w:rPr>
                <w:sz w:val="24"/>
                <w:szCs w:val="24"/>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6"/>
                <w:shd w:val="clear" w:color="auto" w:fill="CCEEFF"/>
              </w:rPr>
              <w:t>$</w:t>
            </w:r>
            <w:r>
              <w:rPr>
                <w:rFonts w:ascii="Arial" w:cs="Arial" w:eastAsia="Arial" w:hAnsi="Arial"/>
                <w:sz w:val="18"/>
                <w:szCs w:val="18"/>
                <w:b w:val="1"/>
                <w:bCs w:val="1"/>
                <w:color w:val="auto"/>
                <w:w w:val="96"/>
                <w:shd w:val="clear" w:color="auto" w:fill="CCEEFF"/>
              </w:rPr>
              <w:t>130,948,287</w:t>
            </w:r>
          </w:p>
        </w:tc>
        <w:tc>
          <w:tcPr>
            <w:tcW w:w="140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9"/>
                <w:shd w:val="clear" w:color="auto" w:fill="CCEEFF"/>
              </w:rPr>
              <w:t>$</w:t>
            </w:r>
            <w:r>
              <w:rPr>
                <w:rFonts w:ascii="Arial" w:cs="Arial" w:eastAsia="Arial" w:hAnsi="Arial"/>
                <w:sz w:val="18"/>
                <w:szCs w:val="18"/>
                <w:b w:val="1"/>
                <w:bCs w:val="1"/>
                <w:color w:val="auto"/>
                <w:w w:val="99"/>
                <w:shd w:val="clear" w:color="auto" w:fill="CCEEFF"/>
              </w:rPr>
              <w:t>(125,950,477)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5,000,001</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auto"/>
              <w:right w:val="single" w:sz="8" w:color="CCEEFF"/>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auto"/>
            </w:tcBorders>
            <w:shd w:val="clear" w:color="auto" w:fill="000000"/>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100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-1464945</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-1464945</wp:posOffset>
            </wp:positionV>
            <wp:extent cx="514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-1464945</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1574165</wp:posOffset>
            </wp:positionH>
            <wp:positionV relativeFrom="paragraph">
              <wp:posOffset>-1464945</wp:posOffset>
            </wp:positionV>
            <wp:extent cx="2540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4831715</wp:posOffset>
            </wp:positionH>
            <wp:positionV relativeFrom="paragraph">
              <wp:posOffset>-1464945</wp:posOffset>
            </wp:positionV>
            <wp:extent cx="5143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-1464945</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-1464945</wp:posOffset>
            </wp:positionV>
            <wp:extent cx="51435"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2020</w:t>
      </w:r>
    </w:p>
    <w:p>
      <w:pPr>
        <w:spacing w:after="0" w:line="18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500" w:type="dxa"/>
            <w:vAlign w:val="bottom"/>
            <w:gridSpan w:val="5"/>
          </w:tcPr>
          <w:p>
            <w:pPr>
              <w:ind w:left="140"/>
              <w:spacing w:after="0"/>
              <w:rPr>
                <w:sz w:val="20"/>
                <w:szCs w:val="20"/>
                <w:color w:val="auto"/>
              </w:rPr>
            </w:pPr>
            <w:r>
              <w:rPr>
                <w:rFonts w:ascii="Arial" w:cs="Arial" w:eastAsia="Arial" w:hAnsi="Arial"/>
                <w:sz w:val="14"/>
                <w:szCs w:val="14"/>
                <w:b w:val="1"/>
                <w:bCs w:val="1"/>
                <w:color w:val="auto"/>
              </w:rPr>
              <w:t>Class A Ordinary</w:t>
            </w: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95"/>
              </w:rPr>
              <w:t>Class B Ordinary</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2320" w:type="dxa"/>
            <w:vAlign w:val="bottom"/>
          </w:tcPr>
          <w:p>
            <w:pPr>
              <w:spacing w:after="0"/>
              <w:rPr>
                <w:sz w:val="12"/>
                <w:szCs w:val="12"/>
                <w:color w:val="auto"/>
              </w:rPr>
            </w:pPr>
          </w:p>
        </w:tc>
        <w:tc>
          <w:tcPr>
            <w:tcW w:w="1500" w:type="dxa"/>
            <w:vAlign w:val="bottom"/>
            <w:gridSpan w:val="5"/>
          </w:tcPr>
          <w:p>
            <w:pPr>
              <w:ind w:left="480"/>
              <w:spacing w:after="0" w:line="149" w:lineRule="exact"/>
              <w:rPr>
                <w:sz w:val="20"/>
                <w:szCs w:val="20"/>
                <w:color w:val="auto"/>
              </w:rPr>
            </w:pPr>
            <w:r>
              <w:rPr>
                <w:rFonts w:ascii="Arial" w:cs="Arial" w:eastAsia="Arial" w:hAnsi="Arial"/>
                <w:sz w:val="14"/>
                <w:szCs w:val="14"/>
                <w:b w:val="1"/>
                <w:bCs w:val="1"/>
                <w:color w:val="auto"/>
              </w:rPr>
              <w:t>Shares</w:t>
            </w:r>
          </w:p>
        </w:tc>
        <w:tc>
          <w:tcPr>
            <w:tcW w:w="1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4"/>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20" w:type="dxa"/>
            <w:vAlign w:val="bottom"/>
            <w:vMerge w:val="restart"/>
          </w:tcPr>
          <w:p>
            <w:pPr>
              <w:jc w:val="right"/>
              <w:ind w:right="116"/>
              <w:spacing w:after="0" w:line="149" w:lineRule="exact"/>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7"/>
                <w:szCs w:val="7"/>
                <w:color w:val="auto"/>
              </w:rPr>
            </w:pPr>
          </w:p>
        </w:tc>
        <w:tc>
          <w:tcPr>
            <w:tcW w:w="9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38"/>
        </w:trPr>
        <w:tc>
          <w:tcPr>
            <w:tcW w:w="2320" w:type="dxa"/>
            <w:vAlign w:val="bottom"/>
          </w:tcPr>
          <w:p>
            <w:pPr>
              <w:spacing w:after="0"/>
              <w:rPr>
                <w:sz w:val="3"/>
                <w:szCs w:val="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23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580" w:type="dxa"/>
            <w:vAlign w:val="bottom"/>
            <w:gridSpan w:val="3"/>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5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Paid-in Capital</w:t>
            </w:r>
          </w:p>
        </w:tc>
        <w:tc>
          <w:tcPr>
            <w:tcW w:w="920" w:type="dxa"/>
            <w:vAlign w:val="bottom"/>
          </w:tcPr>
          <w:p>
            <w:pPr>
              <w:jc w:val="right"/>
              <w:ind w:right="96"/>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232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January 1, 2020</w:t>
            </w:r>
          </w:p>
        </w:tc>
        <w:tc>
          <w:tcPr>
            <w:tcW w:w="720" w:type="dxa"/>
            <w:vAlign w:val="bottom"/>
            <w:tcBorders>
              <w:right w:val="single" w:sz="8" w:color="CCEEFF"/>
            </w:tcBorders>
            <w:shd w:val="clear" w:color="auto" w:fill="CCEEFF"/>
          </w:tcPr>
          <w:p>
            <w:pPr>
              <w:spacing w:after="0"/>
              <w:rPr>
                <w:sz w:val="21"/>
                <w:szCs w:val="21"/>
                <w:color w:val="auto"/>
              </w:rPr>
            </w:pPr>
          </w:p>
        </w:tc>
        <w:tc>
          <w:tcPr>
            <w:tcW w:w="200" w:type="dxa"/>
            <w:vAlign w:val="bottom"/>
            <w:tcBorders>
              <w:right w:val="single" w:sz="8" w:color="CCEEFF"/>
            </w:tcBorders>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(restated)</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2,575,687</w:t>
            </w:r>
          </w:p>
        </w:tc>
        <w:tc>
          <w:tcPr>
            <w:tcW w:w="200" w:type="dxa"/>
            <w:vAlign w:val="bottom"/>
            <w:tcBorders>
              <w:bottom w:val="single" w:sz="8" w:color="CCEEFF"/>
              <w:right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6,250,000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$625</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$ 4,999,118</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$ 5,000,001</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24"/>
        </w:trPr>
        <w:tc>
          <w:tcPr>
            <w:tcW w:w="2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ordinary</w:t>
            </w:r>
          </w:p>
        </w:tc>
        <w:tc>
          <w:tcPr>
            <w:tcW w:w="720" w:type="dxa"/>
            <w:vAlign w:val="bottom"/>
            <w:tcBorders>
              <w:right w:val="single" w:sz="8" w:color="CCEEFF"/>
            </w:tcBorders>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subject to possible</w:t>
            </w:r>
          </w:p>
        </w:tc>
        <w:tc>
          <w:tcPr>
            <w:tcW w:w="7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20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(1,822,104)</w:t>
            </w:r>
          </w:p>
        </w:tc>
        <w:tc>
          <w:tcPr>
            <w:tcW w:w="10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(1,822,104)</w:t>
            </w:r>
          </w:p>
        </w:tc>
        <w:tc>
          <w:tcPr>
            <w:tcW w:w="0" w:type="dxa"/>
            <w:vAlign w:val="bottom"/>
          </w:tcPr>
          <w:p>
            <w:pPr>
              <w:spacing w:after="0"/>
              <w:rPr>
                <w:sz w:val="1"/>
                <w:szCs w:val="1"/>
                <w:color w:val="auto"/>
              </w:rPr>
            </w:pPr>
          </w:p>
        </w:tc>
      </w:tr>
      <w:tr>
        <w:trPr>
          <w:trHeight w:val="257"/>
        </w:trPr>
        <w:tc>
          <w:tcPr>
            <w:tcW w:w="232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080" w:type="dxa"/>
            <w:vAlign w:val="bottom"/>
            <w:gridSpan w:val="4"/>
          </w:tcPr>
          <w:p>
            <w:pPr>
              <w:jc w:val="center"/>
              <w:ind w:right="1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1,822,107</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1,822,107</w:t>
            </w:r>
          </w:p>
        </w:tc>
        <w:tc>
          <w:tcPr>
            <w:tcW w:w="0" w:type="dxa"/>
            <w:vAlign w:val="bottom"/>
          </w:tcPr>
          <w:p>
            <w:pPr>
              <w:spacing w:after="0"/>
              <w:rPr>
                <w:sz w:val="1"/>
                <w:szCs w:val="1"/>
                <w:color w:val="auto"/>
              </w:rPr>
            </w:pPr>
          </w:p>
        </w:tc>
      </w:tr>
      <w:tr>
        <w:trPr>
          <w:trHeight w:val="61"/>
        </w:trPr>
        <w:tc>
          <w:tcPr>
            <w:tcW w:w="2320" w:type="dxa"/>
            <w:vAlign w:val="bottom"/>
          </w:tcPr>
          <w:p>
            <w:pPr>
              <w:spacing w:after="0"/>
              <w:rPr>
                <w:sz w:val="5"/>
                <w:szCs w:val="5"/>
                <w:color w:val="auto"/>
              </w:rPr>
            </w:pPr>
          </w:p>
        </w:tc>
        <w:tc>
          <w:tcPr>
            <w:tcW w:w="720" w:type="dxa"/>
            <w:vAlign w:val="bottom"/>
            <w:tcBorders>
              <w:top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March 31, 2020</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2,580,395</w:t>
            </w:r>
          </w:p>
        </w:tc>
        <w:tc>
          <w:tcPr>
            <w:tcW w:w="200" w:type="dxa"/>
            <w:vAlign w:val="bottom"/>
            <w:tcBorders>
              <w:right w:val="single" w:sz="8" w:color="CCEEFF"/>
            </w:tcBorders>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258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6,250,000</w:t>
            </w:r>
          </w:p>
        </w:tc>
        <w:tc>
          <w:tcPr>
            <w:tcW w:w="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625</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$ 4,999,121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$ 5,000,004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auto"/>
              <w:right w:val="single" w:sz="8" w:color="CCEEFF"/>
            </w:tcBorders>
            <w:shd w:val="clear" w:color="auto" w:fill="000000"/>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right w:val="single" w:sz="8" w:color="CCEEFF"/>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auto"/>
              <w:right w:val="single" w:sz="8" w:color="CCEEFF"/>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-1464945</wp:posOffset>
            </wp:positionV>
            <wp:extent cx="8572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-1464945</wp:posOffset>
            </wp:positionV>
            <wp:extent cx="857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2122805</wp:posOffset>
            </wp:positionH>
            <wp:positionV relativeFrom="paragraph">
              <wp:posOffset>-1464945</wp:posOffset>
            </wp:positionV>
            <wp:extent cx="8572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-1464945</wp:posOffset>
            </wp:positionV>
            <wp:extent cx="431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-1464945</wp:posOffset>
            </wp:positionV>
            <wp:extent cx="857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-1464945</wp:posOffset>
            </wp:positionV>
            <wp:extent cx="857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-1464945</wp:posOffset>
            </wp:positionV>
            <wp:extent cx="857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6" w:name="page197"/>
    <w:bookmarkEnd w:id="19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1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34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Ended March 31,</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6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center"/>
              <w:ind w:right="11"/>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(restated)</w:t>
            </w:r>
          </w:p>
        </w:tc>
        <w:tc>
          <w:tcPr>
            <w:tcW w:w="0" w:type="dxa"/>
            <w:vAlign w:val="bottom"/>
          </w:tcPr>
          <w:p>
            <w:pPr>
              <w:spacing w:after="0"/>
              <w:rPr>
                <w:sz w:val="1"/>
                <w:szCs w:val="1"/>
                <w:color w:val="auto"/>
              </w:rPr>
            </w:pPr>
          </w:p>
        </w:tc>
      </w:tr>
      <w:tr>
        <w:trPr>
          <w:trHeight w:val="53"/>
        </w:trPr>
        <w:tc>
          <w:tcPr>
            <w:tcW w:w="6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$(78,928,074)</w:t>
            </w:r>
          </w:p>
        </w:tc>
        <w:tc>
          <w:tcPr>
            <w:tcW w:w="3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1,822,107</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78,220,000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(29,681)</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(932,037)</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Unrealized loss (gain) on marketable securities held in Trust Account</w:t>
            </w:r>
          </w:p>
        </w:tc>
        <w:tc>
          <w:tcPr>
            <w:tcW w:w="120" w:type="dxa"/>
            <w:vAlign w:val="bottom"/>
          </w:tcPr>
          <w:p>
            <w:pPr>
              <w:spacing w:after="0"/>
              <w:rPr>
                <w:sz w:val="23"/>
                <w:szCs w:val="23"/>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w w:val="97"/>
              </w:rPr>
              <w:t>(1,152,686)</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(70,897)</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41,195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396,553</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316,825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(412,099)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(99,596)</w:t>
            </w:r>
          </w:p>
        </w:tc>
        <w:tc>
          <w:tcPr>
            <w:tcW w:w="0" w:type="dxa"/>
            <w:vAlign w:val="bottom"/>
          </w:tcPr>
          <w:p>
            <w:pPr>
              <w:spacing w:after="0"/>
              <w:rPr>
                <w:sz w:val="1"/>
                <w:szCs w:val="1"/>
                <w:color w:val="auto"/>
              </w:rPr>
            </w:pPr>
          </w:p>
        </w:tc>
      </w:tr>
      <w:tr>
        <w:trPr>
          <w:trHeight w:val="61"/>
        </w:trPr>
        <w:tc>
          <w:tcPr>
            <w:tcW w:w="6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 of cash in Trust Account</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Cash withdrawn from Trust Account for redemptions</w:t>
            </w: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14,489</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6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14,489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614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120" w:type="dxa"/>
            <w:vAlign w:val="bottom"/>
          </w:tcPr>
          <w:p>
            <w:pPr>
              <w:spacing w:after="0"/>
              <w:rPr>
                <w:sz w:val="23"/>
                <w:szCs w:val="23"/>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from sale of Private Placement Warrants</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promissory note – related party</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23"/>
                <w:szCs w:val="23"/>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Redemption of common shares</w:t>
            </w:r>
          </w:p>
        </w:tc>
        <w:tc>
          <w:tcPr>
            <w:tcW w:w="1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(14,489)</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1"/>
        </w:trPr>
        <w:tc>
          <w:tcPr>
            <w:tcW w:w="6140" w:type="dxa"/>
            <w:vAlign w:val="bottom"/>
            <w:tcBorders>
              <w:top w:val="single" w:sz="8" w:color="CCEEFF"/>
              <w:right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84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6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185,511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614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7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6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20" w:type="dxa"/>
            <w:vAlign w:val="bottom"/>
          </w:tcPr>
          <w:p>
            <w:pPr>
              <w:spacing w:after="0"/>
              <w:rPr>
                <w:sz w:val="23"/>
                <w:szCs w:val="23"/>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(212,099)</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(99,596)</w:t>
            </w: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614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312,707</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894,589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6140" w:type="dxa"/>
            <w:vAlign w:val="bottom"/>
            <w:tcBorders>
              <w:right w:val="single" w:sz="8" w:color="CCEEFF"/>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Cash – Ending</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100,608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794,993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6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6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140" w:type="dxa"/>
            <w:vAlign w:val="bottom"/>
          </w:tcPr>
          <w:p>
            <w:pPr>
              <w:spacing w:after="0"/>
              <w:rPr>
                <w:sz w:val="4"/>
                <w:szCs w:val="4"/>
                <w:color w:val="auto"/>
              </w:rPr>
            </w:pPr>
          </w:p>
        </w:tc>
        <w:tc>
          <w:tcPr>
            <w:tcW w:w="96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6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value of ordinary shares subject to possible redemption</w:t>
            </w: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(78,928,072)</w:t>
            </w: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1,822,104</w:t>
            </w:r>
          </w:p>
        </w:tc>
        <w:tc>
          <w:tcPr>
            <w:tcW w:w="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140" w:type="dxa"/>
            <w:vAlign w:val="bottom"/>
            <w:tcBorders>
              <w:top w:val="single" w:sz="8" w:color="CCEEFF"/>
              <w:right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84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auto"/>
            </w:tcBorders>
            <w:shd w:val="clear" w:color="auto" w:fill="000000"/>
          </w:tcPr>
          <w:p>
            <w:pPr>
              <w:spacing w:after="0"/>
              <w:rPr>
                <w:sz w:val="2"/>
                <w:szCs w:val="2"/>
                <w:color w:val="auto"/>
              </w:rPr>
            </w:pPr>
          </w:p>
        </w:tc>
        <w:tc>
          <w:tcPr>
            <w:tcW w:w="76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4745990</wp:posOffset>
            </wp:positionH>
            <wp:positionV relativeFrom="paragraph">
              <wp:posOffset>-6565900</wp:posOffset>
            </wp:positionV>
            <wp:extent cx="18859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3957320</wp:posOffset>
            </wp:positionH>
            <wp:positionV relativeFrom="paragraph">
              <wp:posOffset>-6565900</wp:posOffset>
            </wp:positionV>
            <wp:extent cx="946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7" w:name="page198"/>
    <w:bookmarkEnd w:id="19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SILVER SPIKE ACQUISITION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Silver Spike Acquisition Corp. (the “Company”) is a blank check company incorporated as a Cayman Islands exempted company on June 7, 2019. The Company was formed for the purpose of effecting a merger, amalgamation, share exchange, asset acquisition, share purchase, reorganization or similar business combination with one or more businesses (“Business Combination”).</w:t>
      </w:r>
    </w:p>
    <w:p>
      <w:pPr>
        <w:spacing w:after="0" w:line="7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has one subsidiary, Silver Spike Merger Sub LLC, a wholly-owned subsidiary of the Company incorporated in Delaware on December 7, 2020 (“Merger Sub”).</w:t>
      </w:r>
    </w:p>
    <w:p>
      <w:pPr>
        <w:spacing w:after="0" w:line="62" w:lineRule="exact"/>
        <w:rPr>
          <w:sz w:val="20"/>
          <w:szCs w:val="20"/>
          <w:color w:val="auto"/>
        </w:rPr>
      </w:pPr>
    </w:p>
    <w:p>
      <w:pPr>
        <w:jc w:val="both"/>
        <w:ind w:left="300" w:right="319" w:firstLine="360"/>
        <w:spacing w:after="0" w:line="254" w:lineRule="auto"/>
        <w:rPr>
          <w:sz w:val="20"/>
          <w:szCs w:val="20"/>
          <w:color w:val="auto"/>
        </w:rPr>
      </w:pPr>
      <w:r>
        <w:rPr>
          <w:rFonts w:ascii="Arial" w:cs="Arial" w:eastAsia="Arial" w:hAnsi="Arial"/>
          <w:sz w:val="18"/>
          <w:szCs w:val="18"/>
          <w:color w:val="auto"/>
        </w:rPr>
        <w:t>As of March 31, 2021, the Company had not commenced any operations. All activity through March 31, 2021 relates to the Company’s formation, the initial public offering (“Initial Public Offering”), which is described below, identifying a target company for a Business Combination, activities in connection with the proposed acquisition of WM Holding Company, LLC, a Delaware limited liability company (“WMH”) (see Note 6).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7, 2019. On August 12, 2019, the Company consummated the Initial Public Offering of 25,000,000 units (the “Units” and, with respect to the Class A ordinary shares included in the Units sold, the “Public Shares”) at $10.00 per unit, generating gross proceeds of $250,000,000, which is described in Note 3.</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7,000,000 warrants (the “Private Placement Warrants”) at a price of $1.00 per Private Placement Warrant in a private placement to Silver Spike Sponsor, LLC (the “Sponsor”), generating gross proceeds of $7,000,000, which is described in Note 4.</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Transaction costs amounted to $14,413,362, consisting of $5,000,000 of underwriting fees, $8,750,000 of deferred underwriting fees and $663,362 of other offering costs.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Following the closing of the Initial Public Offering on August 12, 2019, an amount of $250,000,000 ($10.00 per Unit) from the net proceeds of the sale of the Units in the Initial Public Offering and the sale of the Private Placement Warrants was placed in a trust account (the “Trust Account”) and invested in U.S. government securities, within the meaning set forth in Section 2(a)(16) of the Investment Company Act of 1940, as amended (the “Investment Company Act”), with a maturity of 180 days or less or in any open-ended investment company that holds itself out as a money market fund meeting the conditions of Rule 2a-7 of the Investment Company Act, as determined by the Company, until the earlier of: (i) the consummation of the Business Combination and (ii) the distribution of the funds in the Trust Account to the Company’s shareholders, as described below.</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sale of the Private Placement Warrants, although substantially all of the net proceeds are intended to be applied generally toward consummating a Business Combination. Nasdaq rules provide that the Business Combination must be with one or more target businesses that together have an aggregate fair market value of at least 80% of the assets held in the Trust Account (excluding any deferred underwriting commissions and taxes payable on the income earned on the Trust Account) at the time of the agreement to enter into a Business Combination.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8" w:name="page199"/>
    <w:bookmarkEnd w:id="198"/>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Company will provide its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shares for a pro rata portion of the amount held in the Trust Account (initially $10.00 per share) as of two business days prior to the completion of a Business Combination, including any pro rata interest earned on the funds held in the Trust Account and not previously released to the Company to pay its tax obligations. The per-share amount to be distributed to shareholders who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74"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The Company will proceed with a Business Combination only if the Company has net tangible assets, after payment of the deferred underwriting commission, of at least $5,000,001 upon such completion of a Business Combination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Company’s Sponsor has agreed to vote its Founder Shares (as defined in Note 5) and any Public Shares purchased during or after the Initial Public Offering in favor of approving a Business Combination and to waive its redemption rights with respect to any such shares in connection with a shareholder vote to approve a Business Combination or seek to sell any shares to the Company in a tender offer in connection with a Business Combination. Additionally, subject to the immediately succeeding paragraph, each public shareholder may elect to redeem their Public Shares, without voting, and if they do vote, irrespective of whether they vote for or against a proposed Business Combination.</w:t>
      </w:r>
    </w:p>
    <w:p>
      <w:pPr>
        <w:spacing w:after="0" w:line="8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If the Company seeks shareholder approval of a Business Combination and it does not conduct redemptions pursuant to the tender offer rules, the Company’s Amended and Restated Memorandum and Articles of Association provides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15% or more of the Public Shares without the Company’s prior written consent.</w:t>
      </w:r>
    </w:p>
    <w:p>
      <w:pPr>
        <w:spacing w:after="0" w:line="7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not seek to sell its shares to the Company in any tender offer the Company undertakes in connection with its initial Business Combination) and</w:t>
      </w:r>
    </w:p>
    <w:p>
      <w:pPr>
        <w:spacing w:after="0" w:line="2" w:lineRule="exact"/>
        <w:rPr>
          <w:sz w:val="20"/>
          <w:szCs w:val="20"/>
          <w:color w:val="auto"/>
        </w:rPr>
      </w:pPr>
    </w:p>
    <w:p>
      <w:pPr>
        <w:jc w:val="both"/>
        <w:ind w:left="300" w:right="299" w:hanging="8"/>
        <w:spacing w:after="0" w:line="268" w:lineRule="auto"/>
        <w:tabs>
          <w:tab w:leader="none" w:pos="591" w:val="left"/>
        </w:tabs>
        <w:numPr>
          <w:ilvl w:val="0"/>
          <w:numId w:val="123"/>
        </w:numPr>
        <w:rPr>
          <w:rFonts w:ascii="Arial" w:cs="Arial" w:eastAsia="Arial" w:hAnsi="Arial"/>
          <w:sz w:val="17"/>
          <w:szCs w:val="17"/>
          <w:color w:val="auto"/>
        </w:rPr>
      </w:pPr>
      <w:r>
        <w:rPr>
          <w:rFonts w:ascii="Arial" w:cs="Arial" w:eastAsia="Arial" w:hAnsi="Arial"/>
          <w:sz w:val="17"/>
          <w:szCs w:val="17"/>
          <w:color w:val="auto"/>
        </w:rPr>
        <w:t>not to propose an amendment to the Amended and Restated Certificate of Incorporation (i) to modify the substance or timing of the Company’s obligation to redeem 100% of the Public Shares if the Company does not complete a Business Combination within 18 months from the closing of the Public Offering or (ii) with respect to any other provision relating to shareholders’ rights or pre-initial business combination activity, unless the Company provides the public shareholders with the opportunity to redeem their Public Shares in conjunction with any such amendment and (c) that the Founder Shares shall not participate in any liquidating distributions upon winding up if a Business Combination is not consummated. However, the Sponsor will be entitled to liquidating distributions from the Trust Account with respect to any Public Shares purchased during or after the Initial Public Offering if the Company fails to complete its Business Combination.</w:t>
      </w:r>
    </w:p>
    <w:p>
      <w:pPr>
        <w:spacing w:after="0" w:line="73"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Company initially had until February 12, 2021 (the “Combination Period”) to consummate a Business Combination. If the Company is unable to complete a Business Combination within the Combination Period, the Company will (i) cease all operations except for the purpose of winding up, (ii) as promptly as reasonably possible but no more than 10 business days thereafter, redeem 100% of the outstanding Public Shares, at a per-share price, payable in cash, equal to the aggregate amount then on deposit in the Trust Account, including interest earned (less up to $100,000 of interest to pay dissolution expenses and which interest shall be net of taxes payable), divided by the number of then outstanding Public Shares, which redemption will completely extinguish public shareholders’ rights as shareholders (including the right to receive further liquidation distributions, if any), and (iii) as promptly 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9" w:name="page200"/>
    <w:bookmarkEnd w:id="19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reasonably possible following such redemption, subject to the approval of the remaining shareholders and the Company’s board of directors, dissolve and liquidate, subject in each case to its obligations under Cayman Islands law to provide for claims of creditors and the requirements of other applicable law. The underwriters have agreed to waive their rights to the deferred underwriting commission held in the Trust Account in the event the Company does not complete a Business Combination within the Combination Period and, in such event, such amounts will be included with the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7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On January 13, 2021, the Company held an Extraordinary General Meeting in Lieu of an Annual General Meeting (the “Extraordinary General Meeting”) pursuant to which the Company’s shareholders approved extending the Combination Period from February 12, 2021 to July 10, 2021 (the “Extension Date”).</w:t>
      </w:r>
    </w:p>
    <w:p>
      <w:pPr>
        <w:spacing w:after="0" w:line="5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Sponsor has agreed that it will be liable to the Company, if and to the extent any claims by a third party (other than the Company’s independent auditors) for services rendered or products sold to the Company, or a prospective target business with which the Company has discussed entering into a transaction agreement, reduce the amount of funds in the Trust Account to below (1) $10.00 per Public Share or (2) such lesser amount per Public Share held in the Trust Account as of the date of the liquidation of the Trust Account due to reductions in the value of trust assets, in each case net of the interest which may be withdrawn to pay taxes, except as to any claims by a third party who executed a waiver of any and all rights to seek access to the Trust Account and except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auditors), prospective target businesses or other entities with which the Company does business, execute agreements with the Company waiving any right, title, interest or claim of any kind in or to monies held in the Trust Account.</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Liquidity and Going Concern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March 31, 2021, the Company had $100,608 in its operating bank accounts, $254,202,898 in securities held in the Trust Account to be used for a Business Combination or to repurchase or redeem its ordinary shares in connection therewith and working capital deficit of $3,547,185. As of March 31, 2021, approximately $4,217,387 of the amount on deposit in the Trust Account represented interest income, which is available to pay the Company’s tax obligations.</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On February 18, 2021, the Company issued an unsecured promissory note (the “Note”) in the amount of up to $750,000 to the Sponsor for general working capital purposes (see Note 5).</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will need to raise additional capital through loans or additional investments from its Sponsor, shareholders,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These conditions raise substantial doubt about the Company’s ability to continue as a going concern through July 10, 2021, the date that the Company will be required to cease all operations, except for the purpose of winding up, if a Business Combination is not consummated. These financial statements do not include any adjustments relating to the recovery of the recorded assets or the classification of the liabilities that might be necessary should the Company be unable to continue as a going concern.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0" w:name="page201"/>
    <w:bookmarkEnd w:id="20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184" w:lineRule="exact"/>
        <w:rPr>
          <w:sz w:val="20"/>
          <w:szCs w:val="20"/>
          <w:color w:val="auto"/>
        </w:rPr>
      </w:pPr>
    </w:p>
    <w:p>
      <w:pPr>
        <w:ind w:left="300" w:right="3299"/>
        <w:spacing w:after="0" w:line="393" w:lineRule="auto"/>
        <w:rPr>
          <w:sz w:val="20"/>
          <w:szCs w:val="20"/>
          <w:color w:val="auto"/>
        </w:rPr>
      </w:pPr>
      <w:r>
        <w:rPr>
          <w:rFonts w:ascii="Arial" w:cs="Arial" w:eastAsia="Arial" w:hAnsi="Arial"/>
          <w:sz w:val="18"/>
          <w:szCs w:val="18"/>
          <w:b w:val="1"/>
          <w:bCs w:val="1"/>
          <w:color w:val="auto"/>
        </w:rPr>
        <w:t>NOTE 2. SUMMARY OF SIGNIFICANT ACCOUNTING POLICIES Basis of Presentation</w:t>
      </w:r>
    </w:p>
    <w:p>
      <w:pPr>
        <w:spacing w:after="0" w:line="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consolidated financial statements include all adjustments, consisting of a normal recurring nature, which are necessary for a fair presentation of the financial position, operating results and cash flows for the periods presented.</w:t>
      </w:r>
    </w:p>
    <w:p>
      <w:pPr>
        <w:spacing w:after="0" w:line="7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accompanying unaudited consolidated financial statements should be read in conjunction with the Company’s Annual Report as amended on Form 10-K/A for the year ended December 31, 2020 as filed with the SEC on May 12, 2021, which contains the audited financial statements and notes thereto. The financial information as of December 31, 2020 is derived from the audited financial statements presented in the Company’s Annual Report as amended on Form 10-K/A for the year ended December 31, 2020 as filed with the SEC on May 12, 2021. The interim results for the three months ended March 31, 2021 are not necessarily indicative of the results to be expected for the year ending December 31, 2021 or for any future interim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accompanying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consolidated financial statements.</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1" w:name="page202"/>
    <w:bookmarkEnd w:id="20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expenses during the reporting period.</w:t>
      </w:r>
    </w:p>
    <w:p>
      <w:pPr>
        <w:spacing w:after="0" w:line="79"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events. Accordingly, the actual results could differ significantly from those estimates.</w:t>
      </w:r>
    </w:p>
    <w:p>
      <w:pPr>
        <w:spacing w:after="0" w:line="1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Marketable Securities Held in Trust Account</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March 31, 2021 and December 31, 2020, the assets held in the Trust Account were held in money market funds, which primarily invest in U.S. Treasury Bills.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 Liability</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6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5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For the three months ended March 31, 2021, the change in the fair market value of our warrant liability was $78,220,000.</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Transaction Costs and Related Compensation</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Company accounts for transaction costs associated with the issuance of equity and equity-like instruments depending on the nature of the instruments themselves. Transaction costs related to equity instruments of the company are charged against the aggregate offering proceeds. Transaction costs related to the issuance of equity-like instruments which the Company classifies as derivative liabilities are immediately expensed concurrent with the offering. In the event that the issuance two or more instruments are deemed to constitute one in the same transaction, the Company allocates the transaction costs between the constituent components pro rata according to the fair value of each component.</w:t>
      </w:r>
    </w:p>
    <w:p>
      <w:pPr>
        <w:spacing w:after="0" w:line="8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To the extent that the aggregate proceeds from the issuance of an instrument which is classified by the Company as a derivative liability is less than the fair market value determination of such liability, the amount of such liability in excess of the aggregate issuance proceeds is immediately recorded as compensation expense.</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Ordinary Shares Subject to Possible Redemption</w:t>
      </w:r>
    </w:p>
    <w:p>
      <w:pPr>
        <w:spacing w:after="0" w:line="121"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2" w:name="page203"/>
    <w:bookmarkEnd w:id="20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Class A ordinary shares feature certain redemption rights that are considered to be outside of the Company’s control and subject to occurrence of uncertain future events. Accordingly, Class A ordinary shares subject to possible redemption are presented at redemption value as temporary equity, outside of the shareholders’ equity section of the Company’s consolidated balance sheets.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73"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was zero for the periods presented.</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Net Income (Loss) Per Ordinary Share</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Net income (loss) per ordinary share is computed by dividing net income (loss) by the weighted average number of ordinary shares outstanding for the period. The Company has not considered the effect of warrants sold in the Initial Public Offering and the private placement to purchase 19,500,000 ordinary shares in the calculation of diluted loss per share, since the exercise of the warrants into ordinary shares is contingent upon the occurrence of future events and the inclusion of such warrants would be anti-dilutive.</w:t>
      </w:r>
    </w:p>
    <w:p>
      <w:pPr>
        <w:spacing w:after="0" w:line="68"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 similar to the two-class method of income (loss) per ordinary share. Net income (loss) per ordinary share, basic and diluted, for Ordinary shares subject to possible redemption is calculated by dividing the proportionate share of income or loss on marketable securities held by the Trust Account, by the weighted average number of Ordinary shares subject to possible redemption outstanding since original issuance.</w:t>
      </w:r>
    </w:p>
    <w:p>
      <w:pPr>
        <w:spacing w:after="0" w:line="5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income (loss) per share, basic and diluted, for non-redeemable ordinary shares is calculated by dividing the net loss, adjusted for income or loss on marketable securities attributable to Ordinary shares subject to possible redemption, by the weighted average number of non-redeemable ordinary shares outstanding for the period.</w:t>
      </w:r>
    </w:p>
    <w:p>
      <w:pPr>
        <w:spacing w:after="0" w:line="4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Non-redeemable ordinary shares include Founder Shares and non-redeemable ordinary shares as these shares do not have any redemption features. Non-redeemable ordinary shares participate in the income or loss on marketable securities based on non-redeemable ordinary shares’ proportionate interest.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3" w:name="page204"/>
    <w:bookmarkEnd w:id="20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135"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4111625</wp:posOffset>
            </wp:positionH>
            <wp:positionV relativeFrom="paragraph">
              <wp:posOffset>49530</wp:posOffset>
            </wp:positionV>
            <wp:extent cx="14230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72"/>
              <w:spacing w:after="0"/>
              <w:rPr>
                <w:sz w:val="20"/>
                <w:szCs w:val="20"/>
                <w:color w:val="auto"/>
              </w:rPr>
            </w:pPr>
            <w:r>
              <w:rPr>
                <w:rFonts w:ascii="Arial" w:cs="Arial" w:eastAsia="Arial" w:hAnsi="Arial"/>
                <w:sz w:val="14"/>
                <w:szCs w:val="14"/>
                <w:b w:val="1"/>
                <w:bCs w:val="1"/>
                <w:color w:val="auto"/>
              </w:rPr>
              <w:t>2020</w:t>
            </w:r>
          </w:p>
        </w:tc>
      </w:tr>
      <w:tr>
        <w:trPr>
          <w:trHeight w:val="53"/>
        </w:trPr>
        <w:tc>
          <w:tcPr>
            <w:tcW w:w="61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311"/>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Ordinary shares subject to possible redemption</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w w:val="95"/>
              </w:rPr>
              <w:t>Numerator: Earnings allocable to Ordinary shares subject to possible redemption</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883,757</w:t>
            </w:r>
          </w:p>
        </w:tc>
      </w:tr>
      <w:tr>
        <w:trPr>
          <w:trHeight w:val="270"/>
        </w:trPr>
        <w:tc>
          <w:tcPr>
            <w:tcW w:w="6180" w:type="dxa"/>
            <w:vAlign w:val="bottom"/>
          </w:tcPr>
          <w:p>
            <w:pPr>
              <w:ind w:left="180"/>
              <w:spacing w:after="0"/>
              <w:rPr>
                <w:sz w:val="20"/>
                <w:szCs w:val="20"/>
                <w:color w:val="auto"/>
              </w:rPr>
            </w:pPr>
            <w:r>
              <w:rPr>
                <w:rFonts w:ascii="Arial" w:cs="Arial" w:eastAsia="Arial" w:hAnsi="Arial"/>
                <w:sz w:val="18"/>
                <w:szCs w:val="18"/>
                <w:color w:val="auto"/>
              </w:rPr>
              <w:t>Unrealized gain on investments held in Trust Account</w:t>
            </w:r>
          </w:p>
        </w:tc>
        <w:tc>
          <w:tcPr>
            <w:tcW w:w="120" w:type="dxa"/>
            <w:vAlign w:val="bottom"/>
          </w:tcPr>
          <w:p>
            <w:pPr>
              <w:spacing w:after="0"/>
              <w:rPr>
                <w:sz w:val="23"/>
                <w:szCs w:val="23"/>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1,092,977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1,976,734</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w w:val="95"/>
              </w:rPr>
              <w:t>Denominator: Weighted Average Ordinary shares subject to possible redemption</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gridSpan w:val="2"/>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17,108,013</w:t>
            </w:r>
          </w:p>
        </w:tc>
        <w:tc>
          <w:tcPr>
            <w:tcW w:w="2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22,424,313</w:t>
            </w: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Basic and diluted net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24"/>
        </w:trPr>
        <w:tc>
          <w:tcPr>
            <w:tcW w:w="6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i w:val="1"/>
                <w:iCs w:val="1"/>
                <w:color w:val="auto"/>
              </w:rPr>
              <w:t>Non-Redeemable Ordinary Shares</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Net (loss) income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9"/>
              </w:rPr>
              <w:t>$(78,928,074)</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1,822,107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allocable to Ordinary shares subject to possible redemption</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(11,092)</w:t>
            </w: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(1,976,734)</w:t>
            </w:r>
          </w:p>
        </w:tc>
      </w:tr>
      <w:tr>
        <w:trPr>
          <w:trHeight w:val="270"/>
        </w:trPr>
        <w:tc>
          <w:tcPr>
            <w:tcW w:w="6180" w:type="dxa"/>
            <w:vAlign w:val="bottom"/>
          </w:tcPr>
          <w:p>
            <w:pPr>
              <w:ind w:left="360"/>
              <w:spacing w:after="0"/>
              <w:rPr>
                <w:sz w:val="20"/>
                <w:szCs w:val="20"/>
                <w:color w:val="auto"/>
              </w:rPr>
            </w:pPr>
            <w:r>
              <w:rPr>
                <w:rFonts w:ascii="Arial" w:cs="Arial" w:eastAsia="Arial" w:hAnsi="Arial"/>
                <w:sz w:val="18"/>
                <w:szCs w:val="18"/>
                <w:color w:val="auto"/>
              </w:rPr>
              <w:t>Non-Redeemable 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89"/>
              </w:rPr>
              <w:t>$(78,939,166)</w:t>
            </w:r>
          </w:p>
        </w:tc>
        <w:tc>
          <w:tcPr>
            <w:tcW w:w="2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(154,627)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304"/>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Weighted Average Non-Redeemable Ordinary Shares</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r>
      <w:tr>
        <w:trPr>
          <w:trHeight w:val="270"/>
        </w:trPr>
        <w:tc>
          <w:tcPr>
            <w:tcW w:w="61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14,141,750</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8,825,687</w:t>
            </w:r>
          </w:p>
        </w:tc>
      </w:tr>
      <w:tr>
        <w:trPr>
          <w:trHeight w:val="54"/>
        </w:trPr>
        <w:tc>
          <w:tcPr>
            <w:tcW w:w="6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income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54"/>
        </w:trPr>
        <w:tc>
          <w:tcPr>
            <w:tcW w:w="61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-3514090</wp:posOffset>
            </wp:positionV>
            <wp:extent cx="13716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-3514090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Concentration of Credit Risk</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consolidated financial statements, primarily due to their short-term nature.</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68" w:lineRule="exact"/>
        <w:rPr>
          <w:sz w:val="20"/>
          <w:szCs w:val="20"/>
          <w:color w:val="auto"/>
        </w:rPr>
      </w:pPr>
    </w:p>
    <w:p>
      <w:pPr>
        <w:ind w:left="1000" w:right="319" w:hanging="348"/>
        <w:spacing w:after="0" w:line="277"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6"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4" w:name="page205"/>
    <w:bookmarkEnd w:id="20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consolidated financial statements.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Initial Public Offering, the Company sold 25,000,000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7).</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Simultaneously with the closing of the Initial Public Offering, the Sponsor purchased an aggregate of 7,000,000 Private Placement Warrants at a purchase price of $1.00 per Private Placement Warrant, for an aggregate purchase price of $7,000,000. The proceeds from the sale of the Private Placement Warrants were added to the net proceeds from the Initial Public Offering held in the Trust Account. Each Private Placement Warrant is exercisable for one Class A Share at a price of $11.50 per share, subject to adjustment (see Note 7). If the Company does not complete a Business Combination within the Combination Period, the proceeds from the sale of the Private Placement Warrants held in the Trust Account will be used to fund the redemption of the Public Shares (subject to the requirements of applicable law) and the Private Placement Warrants will expire worthless.</w:t>
      </w:r>
    </w:p>
    <w:p>
      <w:pPr>
        <w:spacing w:after="0" w:line="1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5. RELATED PARTY TRANSACTIONS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Founder Shares</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June 2019, the Company issued an aggregate of 7,187,500 Class B ordinary shares (the “Founder Shares”) to the Sponsor for an aggregate purchase price of $25,000. The Founder Shares will automatically convert into Class A ordinary shares on the first business day following the completion of a Business Combination on a one-for-one basis, subject to certain adjustments, as described in Note 7.</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Founder Shares included an aggregate of up to 937,500 shares subject to forfeiture by the Sponsor to the extent that the underwriters’ over-allotment was not exercised in full or in part, so that the number of Founder Shares would collectively represent 20% of the Company’s issued and outstanding shares upon the completion of the Initial Public Offering. The underwriters’ over-allotment option expired unexercised on September 26, 2019 and, as a result, 937,500 Founder Shares were forfeited, resulting in the Sponsor holding an aggregate of 6,250,000 Founder Shares.</w:t>
      </w:r>
    </w:p>
    <w:p>
      <w:pPr>
        <w:spacing w:after="0" w:line="84"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of: (A) one year after the completion of a Business Combination and (B) subsequent to a Business Combination, (x) if the last reported sale price of the Class A ordinary shares equals or exceeds $12.00 per share (as adjusted for share splits, share dividends, rights issuances, subdivisions, reorganizations, recapitalizations and the like) for any 20 trading days within any 30-trading day period commencing at least 150 days after a Business Combination, or (y) the date on which the Company completes a liquidation, merger, amalgamation, share exchange, reorganization or other similar transaction that results in all of the Company’s shareholders having the right to exchange their Class A ordinary shares for cash, securities or other property.</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Administrative Services Agreement</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entered into an agreement whereby, commencing on August 7, 2019, the Company will pay the Sponsor up to $20,000 per month for office space, administrative and support services. Upon completion of a Business Combination or its liquidation, the Company will cease paying these monthly fees. For the three months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5" w:name="page206"/>
    <w:bookmarkEnd w:id="20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11" w:lineRule="auto"/>
        <w:rPr>
          <w:sz w:val="20"/>
          <w:szCs w:val="20"/>
          <w:color w:val="auto"/>
        </w:rPr>
      </w:pPr>
      <w:r>
        <w:rPr>
          <w:rFonts w:ascii="Arial" w:cs="Arial" w:eastAsia="Arial" w:hAnsi="Arial"/>
          <w:sz w:val="16"/>
          <w:szCs w:val="16"/>
          <w:color w:val="auto"/>
        </w:rPr>
        <w:t>ended March 31, 2021 and for the year ended December 31, 2020, the Company incurred $60,000 and $240,000, respectively, in fees for these services. At March 31, 2021 and December 31, 2020, fees of $60,000 and $279,879, respectively, are included in accrued expenses in the accompanying consolidated balance sheets.</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Promissory Note – Related Party</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On June 10, 2019, the Company issued an unsecured promissory note to the Sponsor, pursuant to which the Company borrowed an aggregate principal amount of $237,470. The note was non-interest bearing and payable on the earlier of (i) January 31, 2020 and (ii) the completion of the Initial Public Offering. The note was repaid in full upon the consummation of the Initial Public Offering on August 12, 2019.</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On February 18, 2021, the Company issued a Note in the amount of up to $750,000 to the Sponsor for general working capital purposes. The Note is non-interest bearing and payable upon the earlier to occur of (i) June 10, 2021 or (ii) the consummation of a Business Combination. If the Company does not consummate a Business Combination, the Company may use a portion of any funds held outside the Trust Account to repay the Note; however, no proceeds from the Trust Account may be used for such repayment. As of March 31, 2021, the Company had drawn down $200,000 under the Note.</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Loans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6. COMMITMENTS</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Pursuant to a registration rights agreement entered into on August 7, 2019, the holders of the Founder Shares, Private Placement Warrants and any warrants that may be issued on conversion of the Working Capital Loans (and any Class A ordinary shares issuable upon the exercise of the Private Placement Warrants or warrants that may be issued upon conversion of Working Capital Loans and upon conversion of the Founder Shares) are entitled to registration rights requiring the Company to register such securities for resale. The holders of these securities will be entitled to make up to three demands, excluding short form registration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However, the registration rights agreement provides that the Company will not permit any registration statement filed under the Securities Act to become effective until termination of the applicable lock-up period. The Company will bear the expenses incurred in connection with the filing of any such registration statements.</w:t>
      </w:r>
    </w:p>
    <w:p>
      <w:pPr>
        <w:spacing w:after="0" w:line="2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Underwriting Agreement</w:t>
      </w:r>
    </w:p>
    <w:p>
      <w:pPr>
        <w:spacing w:after="0" w:line="12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underwriters were paid a cash underwriting discount of $0.20 per Unit, or $5,000,000 in the aggregate. In addition, the underwriters are entitled to a deferred fee of $0.35 per Unit, or $8,750,000 in the aggregate, which will become payable to the underwriters from the amounts held in the Trust Account solely in the event that the Company completes a Business Combination, subject to the terms of the underwriting agreement.</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Merger Agreement</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December 10, 2020, the Company entered into an Agreement and Plan of Merger (the “Merger Agreement”) with Merger Sub, WMH and Ghost Media Group, LLC, a Nevada limited liability company, solely in its capacity as the securityholder representative thereunder (the “Holder Representative”).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6" w:name="page207"/>
    <w:bookmarkEnd w:id="206"/>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7. SHAREHOLDERS’ EQUITY</w:t>
      </w:r>
    </w:p>
    <w:p>
      <w:pPr>
        <w:spacing w:after="0" w:line="14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Shares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 is authorized to issue 1,000,000 preference shares with a par value of $0.0001. The Company’s board of directors will be authorized to fix the voting rights, if any, designations, powers, preferences, the relative, participating, optional or other special rights and any qualifications, limitations and restrictions thereof, applicable to the shares of each series. The board of directors will be able to, without shareholder approval, issue preferred shares with voting and other rights that could adversely affect the voting power and other rights of the holders of the ordinary shares and could have anti-takeover effects. At March 31, 2021 and December 31, 2020, there were no preference shares issued or outstanding.</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A Ordinary Shares</w:t>
      </w:r>
    </w:p>
    <w:p>
      <w:pPr>
        <w:spacing w:after="0" w:line="121"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The Company is authorized to issue 200,000,000 Class A ordinary shares, with a par value of $0.0001 per share. Holders of Class A ordinary shares are entitled to one vote for each share. At March 31, 2021 and December 31, 2020, there were 15,655,615 and 7,891,750 shares of Class A ordinary shares issued or outstanding, excluding 9,342,960 and 17,108,250 Class A ordinary shares subject to possible redemption, respectively.</w:t>
      </w:r>
    </w:p>
    <w:p>
      <w:pPr>
        <w:spacing w:after="0" w:line="1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Class B Ordinary Shares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The Company is authorized to issue 20,000,000 Class B ordinary shares, with a par value of $0.0001 per share. Holders of the Class B ordinary shares are entitled to one vote for each share. At March 31, 2021 and December 31, 2020, there were 6,250,000 Class B ordinary shares issued and outstanding.</w:t>
      </w:r>
    </w:p>
    <w:p>
      <w:pPr>
        <w:spacing w:after="0" w:line="5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Only holders of the Class B ordinary shares will have the right to vote on the election of directors prior to the Business Combination. Holders of Class A ordinary shares and holders of Class B ordinary shares will vote together as a single class on all matters submitted to a vote of our shareholders except as otherwise required by law.</w:t>
      </w:r>
    </w:p>
    <w:p>
      <w:pPr>
        <w:spacing w:after="0" w:line="4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Class B Shares will automatically convert into Class A ordinary shares on the first business day following the completion of the Business Combination, on a one-for-one basis, subject to adjustment. In the case that additional Class A ordinary shares, or equity-linked securities, are issued or deemed issued in excess of the amounts issued in the Initial Public Offering and related to the closing of a Business Combination, the ratio at which Founder Shares will convert into Class A ordinary shares will be adjusted (subject to waiver by holders of a majority of the Class B ordinary shares) so that the number of Class A ordinary shares issuable upon conversion of all Founder Shares will equal, in the aggregate, on an as-converted basis, 20% of the sum of the ordinary shares issued and outstanding upon completion of the Initial Public Offering plus the number of Class A ordinary shares and equity-linked securities issued or deemed issued in connection with a Business Combination (net of redemptions), excluding any Class A ordinary shares or equity-linked securities issued, or to be issued, to any seller in a Business Combination and any Private Placement Warrants issued to the Sponsor.</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8. WARRANT LIABILITY</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Public Warrants may only be exercised for a whole number of shares. No fractional shares will be issued upon exercise of the Public Warrants. The Public Warrants will become exercisable on the later of (a) 30 days after the completion of a Business Combination and (b) 12 months from the closing of the Initial Public Offering. The Public Warrants will expire five years from the completion of a Business Combination or earlier upon redemption or liquidation.</w:t>
      </w:r>
    </w:p>
    <w:p>
      <w:pPr>
        <w:spacing w:after="0" w:line="80"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Company will not be obligated to deliver any Class A ordinary shares pursuant to the exercise of a Public Warrant and will have no obligation to settle such Public Warrant exercise unless a registration statement under the Securities Act covering the issuance of the Class A ordinary shares issuable upon exercise of the Public Warrants is then effective and a prospectus relating thereto is current, subject to the Company satisfying its obligations with respect to registration. No Public Warrant will be exercisable for cash or on a cashless basis, and the Company will not be obligated to issue any shares to holders seeking to exercise their Public Warrants, unless the issuance of the shares upon such exercise is registered or qualified under the securities laws of the state of the exercising holder, or an exemption from registration is available.</w:t>
      </w:r>
    </w:p>
    <w:p>
      <w:pPr>
        <w:spacing w:after="0" w:line="70"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it will use its reasonable best efforts to file with the SEC a registration statement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7" w:name="page208"/>
    <w:bookmarkEnd w:id="207"/>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registering the issuance, under the Securities Act, of the Class A ordinary shares issuable upon exercise of the Public Warrants. The Company will use its reasonable best efforts to cause the same to become effective within 60 business days after the closing of the Business Combination and to maintain the effectiveness of such registration statement, and a current prospectus relating thereto, until the expiration of the Public Warrants in accordance with the provisions of the warrant agreement. Notwithstanding the above, if the Class A ordinary shares are, at the time of any exercise of a Public Warrant, not listed on a national securities exchange such that it satisfies the definition of a “covered security” under Section 18(b)(1) of the Securities Act, the Company may, at its option, require holders of Public Warrants who exercise their Public Warrants to do so on a “cashless basis” in accordance with Section 3(a)(9) of the Securities Act and, in the event the Company so elects, the Company will not be required to file or maintain in effect a registration statement, but will use its reasonable best efforts to qualify the shares under applicable blue sky laws to the extent an exemption is not available.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Once the Public Warrants become exercisable, the Company may redeem the Public Warrants for redemption:</w:t>
      </w:r>
    </w:p>
    <w:p>
      <w:pPr>
        <w:spacing w:after="0" w:line="140" w:lineRule="exact"/>
        <w:rPr>
          <w:sz w:val="20"/>
          <w:szCs w:val="20"/>
          <w:color w:val="auto"/>
        </w:rPr>
      </w:pPr>
    </w:p>
    <w:p>
      <w:pPr>
        <w:ind w:left="1000" w:hanging="348"/>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and only if, the reported last sale price of the Class A ordinary shares equals or exceeds $18.00 per share (as adjusted for share splits, share dividends, rights issuances, subdivisions, reorganizations, recapitalizations and the like) for any 20 trading days within a 30-trading day period ending on the third trading day prior to the notice of redemption to the warrant holders.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and when the Public Warrants become redeemable by the Company, the Company may exercise its redemption right even if it is unable to register or qualify the underlying securities for sale under all applicable state securities laws.</w:t>
      </w:r>
    </w:p>
    <w:p>
      <w:pPr>
        <w:spacing w:after="0" w:line="76"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completion of a Business Combination (net of redemptions), and (z) the volume weighted average trading price of the Company’s ordinary shares during the 20 trading day period starting on the trading day prior to the day on which the Company consummates a Business Combination (such price, the “Market Value”) is below $9.20 per share, the exercise price of the Public Warrants will be adjusted (to the nearest cent) to be equal to 115% of the higher of the Market Value and the newly issued price, and the $18.00 per share redemption trigger price described above will be adjusted (to the nearest cent) to be equal to 180% of the higher of the Market Value and the newly issued price.</w:t>
      </w:r>
    </w:p>
    <w:p>
      <w:pPr>
        <w:spacing w:after="0" w:line="7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8" w:name="page209"/>
    <w:bookmarkEnd w:id="208"/>
    <w:p>
      <w:pPr>
        <w:ind w:left="1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300" w:right="1300"/>
        <w:spacing w:after="0" w:line="263" w:lineRule="auto"/>
        <w:rPr>
          <w:sz w:val="20"/>
          <w:szCs w:val="20"/>
          <w:color w:val="auto"/>
        </w:rPr>
      </w:pPr>
      <w:r>
        <w:rPr>
          <w:rFonts w:ascii="Arial" w:cs="Arial" w:eastAsia="Arial" w:hAnsi="Arial"/>
          <w:sz w:val="18"/>
          <w:szCs w:val="18"/>
          <w:color w:val="auto"/>
        </w:rPr>
        <w:t>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34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NOTE 9. FAIR VALUE MEASUREMENTS</w:t>
      </w:r>
    </w:p>
    <w:p>
      <w:pPr>
        <w:spacing w:after="0" w:line="121" w:lineRule="exact"/>
        <w:rPr>
          <w:sz w:val="20"/>
          <w:szCs w:val="20"/>
          <w:color w:val="auto"/>
        </w:rPr>
      </w:pPr>
    </w:p>
    <w:p>
      <w:pPr>
        <w:jc w:val="both"/>
        <w:ind w:left="1300" w:right="1320" w:firstLine="360"/>
        <w:spacing w:after="0" w:line="263" w:lineRule="auto"/>
        <w:rPr>
          <w:sz w:val="20"/>
          <w:szCs w:val="20"/>
          <w:color w:val="auto"/>
        </w:rPr>
      </w:pPr>
      <w:r>
        <w:rPr>
          <w:rFonts w:ascii="Arial" w:cs="Arial" w:eastAsia="Arial" w:hAnsi="Arial"/>
          <w:sz w:val="18"/>
          <w:szCs w:val="18"/>
          <w:color w:val="auto"/>
        </w:rPr>
        <w:t>The Company follows the guidance in ASC Topic 820 for its financial assets and liabilities that are re-measured and reported at fair value at each reporting period, and non-financial assets and liabilities that are re-measured and reported at fair value at least annually.</w:t>
      </w:r>
    </w:p>
    <w:p>
      <w:pPr>
        <w:spacing w:after="0" w:line="76"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2000" w:right="1300" w:hanging="348"/>
        <w:spacing w:after="0" w:line="263" w:lineRule="auto"/>
        <w:tabs>
          <w:tab w:leader="none" w:pos="2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2000" w:right="1320" w:hanging="348"/>
        <w:spacing w:after="0" w:line="263" w:lineRule="auto"/>
        <w:tabs>
          <w:tab w:leader="none" w:pos="2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2000" w:right="1300" w:hanging="348"/>
        <w:spacing w:after="0" w:line="277" w:lineRule="auto"/>
        <w:tabs>
          <w:tab w:leader="none" w:pos="2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62" w:lineRule="exact"/>
        <w:rPr>
          <w:sz w:val="20"/>
          <w:szCs w:val="20"/>
          <w:color w:val="auto"/>
        </w:rPr>
      </w:pPr>
    </w:p>
    <w:p>
      <w:pPr>
        <w:jc w:val="both"/>
        <w:ind w:left="1300" w:right="1300"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at March 31, 2021 and December 31, 2020, and indicates the fair value hierarchy of the valuation inputs the Company utilized to determine such fair value:</w:t>
      </w:r>
    </w:p>
    <w:p>
      <w:pPr>
        <w:spacing w:after="0" w:line="135" w:lineRule="exact"/>
        <w:rPr>
          <w:sz w:val="20"/>
          <w:szCs w:val="20"/>
          <w:color w:val="auto"/>
        </w:rPr>
      </w:pPr>
    </w:p>
    <w:tbl>
      <w:tblPr>
        <w:tblLayout w:type="fixed"/>
        <w:tblInd w:w="1300" w:type="dxa"/>
        <w:tblCellMar>
          <w:top w:w="0" w:type="dxa"/>
          <w:left w:w="0" w:type="dxa"/>
          <w:bottom w:w="0" w:type="dxa"/>
          <w:right w:w="0" w:type="dxa"/>
        </w:tblCellMar>
      </w:tblPr>
      <w:tr>
        <w:trPr>
          <w:trHeight w:val="186"/>
        </w:trPr>
        <w:tc>
          <w:tcPr>
            <w:tcW w:w="54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 2021</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w w:val="91"/>
              </w:rPr>
              <w:t>December 31, 2020</w:t>
            </w:r>
          </w:p>
        </w:tc>
      </w:tr>
      <w:tr>
        <w:trPr>
          <w:trHeight w:val="53"/>
        </w:trPr>
        <w:tc>
          <w:tcPr>
            <w:tcW w:w="52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11"/>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$254,202,898</w:t>
            </w:r>
          </w:p>
        </w:tc>
        <w:tc>
          <w:tcPr>
            <w:tcW w:w="2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w w:val="98"/>
              </w:rPr>
              <w:t>$254,187,706</w:t>
            </w: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24"/>
        </w:trPr>
        <w:tc>
          <w:tcPr>
            <w:tcW w:w="5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54"/>
        </w:trPr>
        <w:tc>
          <w:tcPr>
            <w:tcW w:w="5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304"/>
        </w:trPr>
        <w:tc>
          <w:tcPr>
            <w:tcW w:w="5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88,000,000</w:t>
            </w:r>
          </w:p>
        </w:tc>
        <w:tc>
          <w:tcPr>
            <w:tcW w:w="2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41,000,000</w:t>
            </w:r>
          </w:p>
        </w:tc>
      </w:tr>
      <w:tr>
        <w:trPr>
          <w:trHeight w:val="270"/>
        </w:trPr>
        <w:tc>
          <w:tcPr>
            <w:tcW w:w="5440" w:type="dxa"/>
            <w:vAlign w:val="bottom"/>
            <w:gridSpan w:val="2"/>
          </w:tcPr>
          <w:p>
            <w:pPr>
              <w:spacing w:after="0"/>
              <w:rPr>
                <w:sz w:val="20"/>
                <w:szCs w:val="20"/>
                <w:color w:val="auto"/>
              </w:rPr>
            </w:pPr>
            <w:r>
              <w:rPr>
                <w:rFonts w:ascii="Arial" w:cs="Arial" w:eastAsia="Arial" w:hAnsi="Arial"/>
                <w:sz w:val="18"/>
                <w:szCs w:val="18"/>
                <w:color w:val="auto"/>
              </w:rPr>
              <w:t>Warrant Liability – Private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53,900,000</w:t>
            </w:r>
          </w:p>
        </w:tc>
        <w:tc>
          <w:tcPr>
            <w:tcW w:w="200" w:type="dxa"/>
            <w:vAlign w:val="bottom"/>
          </w:tcPr>
          <w:p>
            <w:pPr>
              <w:spacing w:after="0"/>
              <w:rPr>
                <w:sz w:val="23"/>
                <w:szCs w:val="23"/>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22,680,000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5278120</wp:posOffset>
            </wp:positionH>
            <wp:positionV relativeFrom="paragraph">
              <wp:posOffset>-1216660</wp:posOffset>
            </wp:positionV>
            <wp:extent cx="13716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-1216660</wp:posOffset>
            </wp:positionV>
            <wp:extent cx="137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-1216660</wp:posOffset>
            </wp:positionV>
            <wp:extent cx="13716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1"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The following tables summarize the changes in the fair value of the warrant liabilities: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40" w:type="dxa"/>
            <w:vAlign w:val="bottom"/>
            <w:gridSpan w:val="12"/>
          </w:tcPr>
          <w:p>
            <w:pPr>
              <w:ind w:left="700"/>
              <w:spacing w:after="0"/>
              <w:rPr>
                <w:sz w:val="20"/>
                <w:szCs w:val="20"/>
                <w:color w:val="auto"/>
              </w:rPr>
            </w:pPr>
            <w:r>
              <w:rPr>
                <w:rFonts w:ascii="Arial" w:cs="Arial" w:eastAsia="Arial" w:hAnsi="Arial"/>
                <w:sz w:val="14"/>
                <w:szCs w:val="14"/>
                <w:b w:val="1"/>
                <w:bCs w:val="1"/>
                <w:color w:val="auto"/>
              </w:rPr>
              <w:t>Three months ended March 31, 2021</w:t>
            </w:r>
          </w:p>
        </w:tc>
      </w:tr>
      <w:tr>
        <w:trPr>
          <w:trHeight w:val="53"/>
        </w:trPr>
        <w:tc>
          <w:tcPr>
            <w:tcW w:w="1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Public Warrants</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Private Warrants</w:t>
            </w:r>
          </w:p>
        </w:tc>
        <w:tc>
          <w:tcPr>
            <w:tcW w:w="25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7"/>
              </w:rPr>
              <w:t>Warrant Liabilities</w:t>
            </w:r>
          </w:p>
        </w:tc>
      </w:tr>
      <w:tr>
        <w:trPr>
          <w:trHeight w:val="53"/>
        </w:trPr>
        <w:tc>
          <w:tcPr>
            <w:tcW w:w="1300" w:type="dxa"/>
            <w:vAlign w:val="bottom"/>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86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$41,000,000</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$22,680,000</w:t>
            </w: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$ 63,680,000</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57"/>
        </w:trPr>
        <w:tc>
          <w:tcPr>
            <w:tcW w:w="1300" w:type="dxa"/>
            <w:vAlign w:val="bottom"/>
          </w:tcPr>
          <w:p>
            <w:pPr>
              <w:spacing w:after="0"/>
              <w:rPr>
                <w:sz w:val="22"/>
                <w:szCs w:val="22"/>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Change in valuation inputs or other assumptions</w:t>
            </w: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47,000,000</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31,220,000</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78,220,000</w:t>
            </w: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290"/>
        </w:trPr>
        <w:tc>
          <w:tcPr>
            <w:tcW w:w="130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920" w:type="dxa"/>
            <w:vAlign w:val="bottom"/>
            <w:tcBorders>
              <w:right w:val="single" w:sz="8" w:color="CCEEFF"/>
            </w:tcBorders>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88,000,000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53,900,000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 w:type="dxa"/>
            <w:vAlign w:val="bottom"/>
            <w:tcBorders>
              <w:right w:val="single" w:sz="8" w:color="CCEEFF"/>
            </w:tcBorders>
            <w:shd w:val="clear" w:color="auto" w:fill="CCEEFF"/>
          </w:tcPr>
          <w:p>
            <w:pPr>
              <w:spacing w:after="0"/>
              <w:rPr>
                <w:sz w:val="24"/>
                <w:szCs w:val="24"/>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141,900,000</w:t>
            </w: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
        </w:trPr>
        <w:tc>
          <w:tcPr>
            <w:tcW w:w="1300" w:type="dxa"/>
            <w:vAlign w:val="bottom"/>
          </w:tcPr>
          <w:p>
            <w:pPr>
              <w:spacing w:after="0"/>
              <w:rPr>
                <w:sz w:val="2"/>
                <w:szCs w:val="2"/>
                <w:color w:val="auto"/>
              </w:rPr>
            </w:pPr>
          </w:p>
        </w:tc>
        <w:tc>
          <w:tcPr>
            <w:tcW w:w="37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auto"/>
            </w:tcBorders>
            <w:shd w:val="clear" w:color="auto" w:fill="CCEEFF"/>
          </w:tcPr>
          <w:p>
            <w:pPr>
              <w:spacing w:after="0"/>
              <w:rPr>
                <w:sz w:val="2"/>
                <w:szCs w:val="2"/>
                <w:color w:val="auto"/>
              </w:rPr>
            </w:pPr>
          </w:p>
        </w:tc>
        <w:tc>
          <w:tcPr>
            <w:tcW w:w="80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right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84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960" w:type="dxa"/>
            <w:vAlign w:val="bottom"/>
            <w:tcBorders>
              <w:top w:val="single" w:sz="8" w:color="auto"/>
              <w:right w:val="single" w:sz="8" w:color="auto"/>
            </w:tcBorders>
            <w:shd w:val="clear" w:color="auto" w:fill="000000"/>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339"/>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40" w:type="dxa"/>
            <w:vAlign w:val="bottom"/>
            <w:gridSpan w:val="12"/>
          </w:tcPr>
          <w:p>
            <w:pPr>
              <w:ind w:left="700"/>
              <w:spacing w:after="0"/>
              <w:rPr>
                <w:sz w:val="20"/>
                <w:szCs w:val="20"/>
                <w:color w:val="auto"/>
              </w:rPr>
            </w:pPr>
            <w:r>
              <w:rPr>
                <w:rFonts w:ascii="Arial" w:cs="Arial" w:eastAsia="Arial" w:hAnsi="Arial"/>
                <w:sz w:val="14"/>
                <w:szCs w:val="14"/>
                <w:b w:val="1"/>
                <w:bCs w:val="1"/>
                <w:color w:val="auto"/>
              </w:rPr>
              <w:t>Three months ended March 31, 2020</w:t>
            </w:r>
          </w:p>
        </w:tc>
      </w:tr>
      <w:tr>
        <w:trPr>
          <w:trHeight w:val="53"/>
        </w:trPr>
        <w:tc>
          <w:tcPr>
            <w:tcW w:w="1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Public Warrants</w:t>
            </w:r>
          </w:p>
        </w:tc>
        <w:tc>
          <w:tcPr>
            <w:tcW w:w="13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Private Warrants</w:t>
            </w:r>
          </w:p>
        </w:tc>
        <w:tc>
          <w:tcPr>
            <w:tcW w:w="25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w w:val="97"/>
              </w:rPr>
              <w:t>Warrant Liabilities</w:t>
            </w:r>
          </w:p>
        </w:tc>
      </w:tr>
      <w:tr>
        <w:trPr>
          <w:trHeight w:val="52"/>
        </w:trPr>
        <w:tc>
          <w:tcPr>
            <w:tcW w:w="1300" w:type="dxa"/>
            <w:vAlign w:val="bottom"/>
          </w:tcPr>
          <w:p>
            <w:pPr>
              <w:spacing w:after="0"/>
              <w:rPr>
                <w:sz w:val="4"/>
                <w:szCs w:val="4"/>
                <w:color w:val="auto"/>
              </w:rPr>
            </w:pPr>
          </w:p>
        </w:tc>
        <w:tc>
          <w:tcPr>
            <w:tcW w:w="3760" w:type="dxa"/>
            <w:vAlign w:val="bottom"/>
            <w:tcBorders>
              <w:bottom w:val="single" w:sz="8" w:color="CCEEFF"/>
            </w:tcBorders>
          </w:tcPr>
          <w:p>
            <w:pPr>
              <w:spacing w:after="0"/>
              <w:rPr>
                <w:sz w:val="4"/>
                <w:szCs w:val="4"/>
                <w:color w:val="auto"/>
              </w:rPr>
            </w:pPr>
          </w:p>
        </w:tc>
        <w:tc>
          <w:tcPr>
            <w:tcW w:w="92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1780" w:type="dxa"/>
            <w:vAlign w:val="bottom"/>
            <w:tcBorders>
              <w:bottom w:val="single" w:sz="8" w:color="CCEEFF"/>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$5,000,000</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right w:val="single" w:sz="8" w:color="CCEEFF"/>
            </w:tcBorders>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90"/>
              </w:rPr>
              <w:t>$8,260,000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right w:val="single" w:sz="8" w:color="CCEEFF"/>
            </w:tcBorders>
            <w:gridSpan w:val="2"/>
            <w:shd w:val="clear" w:color="auto" w:fill="CCEEFF"/>
          </w:tcPr>
          <w:p>
            <w:pPr>
              <w:jc w:val="center"/>
              <w:ind w:left="35"/>
              <w:spacing w:after="0"/>
              <w:rPr>
                <w:sz w:val="20"/>
                <w:szCs w:val="20"/>
                <w:color w:val="auto"/>
              </w:rPr>
            </w:pPr>
            <w:r>
              <w:rPr>
                <w:rFonts w:ascii="Arial" w:cs="Arial" w:eastAsia="Arial" w:hAnsi="Arial"/>
                <w:sz w:val="18"/>
                <w:szCs w:val="18"/>
                <w:color w:val="auto"/>
                <w:w w:val="89"/>
              </w:rPr>
              <w:t>$13,260,000</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760" w:type="dxa"/>
            <w:vAlign w:val="bottom"/>
          </w:tcPr>
          <w:p>
            <w:pPr>
              <w:spacing w:after="0"/>
              <w:rPr>
                <w:sz w:val="20"/>
                <w:szCs w:val="20"/>
                <w:color w:val="auto"/>
              </w:rPr>
            </w:pPr>
            <w:r>
              <w:rPr>
                <w:rFonts w:ascii="Arial" w:cs="Arial" w:eastAsia="Arial" w:hAnsi="Arial"/>
                <w:sz w:val="18"/>
                <w:szCs w:val="18"/>
                <w:color w:val="auto"/>
                <w:w w:val="97"/>
              </w:rPr>
              <w:t>Change in valuation inputs or other assumptions</w:t>
            </w:r>
          </w:p>
        </w:tc>
        <w:tc>
          <w:tcPr>
            <w:tcW w:w="1860" w:type="dxa"/>
            <w:vAlign w:val="bottom"/>
            <w:gridSpan w:val="4"/>
          </w:tcPr>
          <w:p>
            <w:pPr>
              <w:jc w:val="right"/>
              <w:ind w:right="60"/>
              <w:spacing w:after="0"/>
              <w:rPr>
                <w:sz w:val="20"/>
                <w:szCs w:val="20"/>
                <w:color w:val="auto"/>
              </w:rPr>
            </w:pPr>
            <w:r>
              <w:rPr>
                <w:rFonts w:ascii="Arial" w:cs="Arial" w:eastAsia="Arial" w:hAnsi="Arial"/>
                <w:sz w:val="18"/>
                <w:szCs w:val="18"/>
                <w:color w:val="auto"/>
              </w:rPr>
              <w:t>(125,000)</w:t>
            </w:r>
          </w:p>
        </w:tc>
        <w:tc>
          <w:tcPr>
            <w:tcW w:w="240" w:type="dxa"/>
            <w:vAlign w:val="bottom"/>
          </w:tcPr>
          <w:p>
            <w:pPr>
              <w:spacing w:after="0"/>
              <w:rPr>
                <w:sz w:val="23"/>
                <w:szCs w:val="23"/>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(70,000)</w:t>
            </w:r>
          </w:p>
        </w:tc>
        <w:tc>
          <w:tcPr>
            <w:tcW w:w="240" w:type="dxa"/>
            <w:vAlign w:val="bottom"/>
          </w:tcPr>
          <w:p>
            <w:pPr>
              <w:spacing w:after="0"/>
              <w:rPr>
                <w:sz w:val="23"/>
                <w:szCs w:val="23"/>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(195,000)</w:t>
            </w:r>
          </w:p>
        </w:tc>
        <w:tc>
          <w:tcPr>
            <w:tcW w:w="1300" w:type="dxa"/>
            <w:vAlign w:val="bottom"/>
          </w:tcPr>
          <w:p>
            <w:pPr>
              <w:spacing w:after="0"/>
              <w:rPr>
                <w:sz w:val="23"/>
                <w:szCs w:val="23"/>
                <w:color w:val="auto"/>
              </w:rPr>
            </w:pPr>
          </w:p>
        </w:tc>
      </w:tr>
      <w:tr>
        <w:trPr>
          <w:trHeight w:val="48"/>
        </w:trPr>
        <w:tc>
          <w:tcPr>
            <w:tcW w:w="1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Fair value, end of period</w:t>
            </w:r>
          </w:p>
        </w:tc>
        <w:tc>
          <w:tcPr>
            <w:tcW w:w="920" w:type="dxa"/>
            <w:vAlign w:val="bottom"/>
            <w:tcBorders>
              <w:right w:val="single" w:sz="8" w:color="CCEEFF"/>
            </w:tcBorders>
            <w:shd w:val="clear" w:color="auto" w:fill="CCEEFF"/>
          </w:tcPr>
          <w:p>
            <w:pPr>
              <w:spacing w:after="0"/>
              <w:rPr>
                <w:sz w:val="24"/>
                <w:szCs w:val="24"/>
                <w:color w:val="auto"/>
              </w:rPr>
            </w:pPr>
          </w:p>
        </w:tc>
        <w:tc>
          <w:tcPr>
            <w:tcW w:w="8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4,875,000</w:t>
            </w:r>
          </w:p>
        </w:tc>
        <w:tc>
          <w:tcPr>
            <w:tcW w:w="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8,190,000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13,065,000</w:t>
            </w:r>
          </w:p>
        </w:tc>
        <w:tc>
          <w:tcPr>
            <w:tcW w:w="12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ind w:left="280"/>
              <w:spacing w:after="0"/>
              <w:rPr>
                <w:sz w:val="20"/>
                <w:szCs w:val="20"/>
                <w:color w:val="auto"/>
              </w:rPr>
            </w:pPr>
            <w:r>
              <w:rPr>
                <w:rFonts w:ascii="Arial" w:cs="Arial" w:eastAsia="Arial" w:hAnsi="Arial"/>
                <w:sz w:val="18"/>
                <w:szCs w:val="18"/>
                <w:color w:val="auto"/>
              </w:rPr>
              <w:t>F-67</w:t>
            </w:r>
          </w:p>
        </w:tc>
        <w:tc>
          <w:tcPr>
            <w:tcW w:w="80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gridSpan w:val="3"/>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5243830</wp:posOffset>
            </wp:positionH>
            <wp:positionV relativeFrom="paragraph">
              <wp:posOffset>-2150745</wp:posOffset>
            </wp:positionV>
            <wp:extent cx="15430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-2150745</wp:posOffset>
            </wp:positionV>
            <wp:extent cx="15430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-2150745</wp:posOffset>
            </wp:positionV>
            <wp:extent cx="7747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-1062355</wp:posOffset>
            </wp:positionV>
            <wp:extent cx="15430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-1062355</wp:posOffset>
            </wp:positionV>
            <wp:extent cx="15430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-1062355</wp:posOffset>
            </wp:positionV>
            <wp:extent cx="7747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209" w:name="page210"/>
    <w:bookmarkEnd w:id="209"/>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our consolidated balance sheet. The warrant liabilities are measured at fair value at inception and on a recurring basis, with changes in fair value presented within change in fair value of warrant liabilities in the consolidated statement of operations.</w:t>
      </w:r>
    </w:p>
    <w:p>
      <w:pPr>
        <w:spacing w:after="0" w:line="7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Private Warrants were initially valued using a Modified Black Scholes Option Pricing Model, which is considered to be a Level 3 fair value measurement. The Modified Black Scholes model’s primary unobservable input utilized in determining the fair value of the Private Warrants is the expected volatility of the common stock. The expected volatility as of the IPO date was derived from observable public warrant pricing on comparable ‘blank-check’ companies without an identified target. The expected volatility as of subsequent valuation dates was implied from the Company’s own public warrant pricing. A Monte Carlo simulation methodology was used in estimating the fair value of the public warrants for periods where no observable traded price was available, using the same expected volatility as was used in measuring the fair value of the Private Warrants. For periods subsequent to the detachment of the warrants from the Units, the close price of the public warrant price was used as the fair value as of each relevant date.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3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NOTE 10. SUBSEQUENT EVENTS</w:t>
      </w:r>
    </w:p>
    <w:p>
      <w:pPr>
        <w:spacing w:after="0" w:line="12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The Company evaluated subsequent events and transactions that occurred after the balance sheet date up to the date that the consolidated financial statements were issued. Based upon this review, the Company did not identify any subsequent events that would have required adjustment or disclosure in the consolidated financial statements.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0" w:name="page211"/>
    <w:bookmarkEnd w:id="210"/>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53"/>
        </w:trPr>
        <w:tc>
          <w:tcPr>
            <w:tcW w:w="77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$401,800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250,000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6"/>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r>
      <w:tr>
        <w:trPr>
          <w:trHeight w:val="61"/>
        </w:trPr>
        <w:tc>
          <w:tcPr>
            <w:tcW w:w="7740" w:type="dxa"/>
            <w:vAlign w:val="bottom"/>
          </w:tcPr>
          <w:p>
            <w:pPr>
              <w:spacing w:after="0"/>
              <w:rPr>
                <w:sz w:val="5"/>
                <w:szCs w:val="5"/>
                <w:color w:val="auto"/>
              </w:rPr>
            </w:pPr>
          </w:p>
        </w:tc>
        <w:tc>
          <w:tcPr>
            <w:tcW w:w="680" w:type="dxa"/>
            <w:vAlign w:val="bottom"/>
          </w:tcPr>
          <w:p>
            <w:pPr>
              <w:spacing w:after="0"/>
              <w:rPr>
                <w:sz w:val="5"/>
                <w:szCs w:val="5"/>
                <w:color w:val="auto"/>
              </w:rPr>
            </w:pPr>
          </w:p>
        </w:tc>
      </w:tr>
      <w:tr>
        <w:trPr>
          <w:trHeight w:val="318"/>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732,000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-1062355</wp:posOffset>
            </wp:positionV>
            <wp:extent cx="12001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1" w:name="page212"/>
    <w:bookmarkEnd w:id="211"/>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June 2019, Silver Spike issued an aggregate of 7,187,500 Class B Ordinary Shares to Silver Spike Sponsor for an aggregate purchase price of $25,000. On September 23, 2019, in connection with the expiration of the underwriter’s over-allotment option, Silver Spike Sponsor surrendered 937,500 Class B Ordinary Shares. Upon the consummation of the Domestication, each of Silver Spike’s then issued and outstanding Class A Ordinary Shares and Class B Ordinary Shares automatically converted by operation of law, on a one-for-one basis, into shares of Class A Common Stock of Silver Spike. The issuance of Class A Common Stock upon automatic conversion of Class A Ordinary Shares and Class B Ordinary Shares at the Closing has not been registered under the Securities Act in reliance on the exemption from registration provided by Section 3(a)(9) of the Securities Act.</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purchased 7,000,000 Private Placement Warrants at a price of $1.00 per warrant in a private placement that occurred concurrently with the closing of Silver Spike’s initial public offering and generated gross proceeds of $7,000,000. Each Private Placement Warrant is exercisable for one share of Class A Common Stock at a price of $11.50 per share. The Private Placement Warrants are non-redeemable and exercisable on a cashless basis so long as they are held by Silver Spike Sponsor or its permitted transferees. The sale of the Private Placement Warrants was made pursuant to the exemption from registration contained in Section 4(a)(2) of the Securities Act.</w:t>
      </w:r>
    </w:p>
    <w:p>
      <w:pPr>
        <w:spacing w:after="0" w:line="3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pursuant to the exemption from registration contained in Section 4(a)(2) of the Securities Act.</w:t>
      </w:r>
    </w:p>
    <w:p>
      <w:pPr>
        <w:spacing w:after="0" w:line="16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94" w:lineRule="exact"/>
        <w:rPr>
          <w:sz w:val="20"/>
          <w:szCs w:val="20"/>
          <w:color w:val="auto"/>
        </w:rPr>
      </w:pPr>
    </w:p>
    <w:p>
      <w:pPr>
        <w:ind w:left="480"/>
        <w:spacing w:after="0"/>
        <w:tabs>
          <w:tab w:leader="none" w:pos="4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49720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349240" cy="497205"/>
                    </a:xfrm>
                    <a:prstGeom prst="rect">
                      <a:avLst/>
                    </a:prstGeom>
                    <a:noFill/>
                  </pic:spPr>
                </pic:pic>
              </a:graphicData>
            </a:graphic>
          </wp:anchor>
        </w:drawing>
      </w:r>
    </w:p>
    <w:p>
      <w:pPr>
        <w:spacing w:after="0" w:line="124" w:lineRule="exact"/>
        <w:rPr>
          <w:sz w:val="20"/>
          <w:szCs w:val="20"/>
          <w:color w:val="auto"/>
        </w:rPr>
      </w:pPr>
    </w:p>
    <w:p>
      <w:pPr>
        <w:jc w:val="both"/>
        <w:ind w:left="1480" w:right="299" w:hanging="810"/>
        <w:spacing w:after="0" w:line="263" w:lineRule="auto"/>
        <w:tabs>
          <w:tab w:leader="none" w:pos="1460" w:val="left"/>
        </w:tabs>
        <w:rPr>
          <w:rFonts w:ascii="Arial" w:cs="Arial" w:eastAsia="Arial" w:hAnsi="Arial"/>
          <w:sz w:val="18"/>
          <w:szCs w:val="18"/>
          <w:color w:val="0000EE"/>
        </w:rPr>
      </w:pPr>
      <w:hyperlink r:id="rId537">
        <w:r>
          <w:rPr>
            <w:rFonts w:ascii="Arial" w:cs="Arial" w:eastAsia="Arial" w:hAnsi="Arial"/>
            <w:sz w:val="18"/>
            <w:szCs w:val="18"/>
            <w:u w:val="single" w:color="auto"/>
            <w:color w:val="0000EE"/>
          </w:rPr>
          <w:t>2.1</w:t>
        </w:r>
      </w:hyperlink>
      <w:r>
        <w:rPr>
          <w:rFonts w:ascii="Arial" w:cs="Arial" w:eastAsia="Arial" w:hAnsi="Arial"/>
          <w:sz w:val="18"/>
          <w:szCs w:val="18"/>
          <w:color w:val="000000"/>
        </w:rPr>
        <w:t>+</w:t>
      </w:r>
      <w:r>
        <w:rPr>
          <w:rFonts w:ascii="Arial" w:cs="Arial" w:eastAsia="Arial" w:hAnsi="Arial"/>
          <w:sz w:val="18"/>
          <w:szCs w:val="18"/>
          <w:color w:val="0000EE"/>
        </w:rPr>
        <w:tab/>
        <w:t>Agreement and Plan of Merger, dated December 10, 2020, by and among Silver Spike, Merger Sub, WMH, and the Holder Representative named therein (incorporated by reference to Exhibit 2.1 to the Current Report on Form 8-K filed on December 10, 2020).</w:t>
      </w:r>
    </w:p>
    <w:p>
      <w:pPr>
        <w:spacing w:after="0" w:line="76" w:lineRule="exact"/>
        <w:rPr>
          <w:sz w:val="20"/>
          <w:szCs w:val="20"/>
          <w:color w:val="auto"/>
        </w:rPr>
      </w:pPr>
    </w:p>
    <w:p>
      <w:pPr>
        <w:ind w:left="1480" w:right="699" w:hanging="759"/>
        <w:spacing w:after="0" w:line="277" w:lineRule="auto"/>
        <w:tabs>
          <w:tab w:leader="none" w:pos="1460" w:val="left"/>
        </w:tabs>
        <w:rPr>
          <w:rFonts w:ascii="Arial" w:cs="Arial" w:eastAsia="Arial" w:hAnsi="Arial"/>
          <w:sz w:val="18"/>
          <w:szCs w:val="18"/>
          <w:color w:val="0000EE"/>
        </w:rPr>
      </w:pPr>
      <w:hyperlink r:id="rId538">
        <w:r>
          <w:rPr>
            <w:rFonts w:ascii="Arial" w:cs="Arial" w:eastAsia="Arial" w:hAnsi="Arial"/>
            <w:sz w:val="18"/>
            <w:szCs w:val="18"/>
            <w:u w:val="single" w:color="auto"/>
            <w:color w:val="0000EE"/>
          </w:rPr>
          <w:t>3.1</w:t>
        </w:r>
      </w:hyperlink>
      <w:r>
        <w:rPr>
          <w:rFonts w:ascii="Arial" w:cs="Arial" w:eastAsia="Arial" w:hAnsi="Arial"/>
          <w:sz w:val="18"/>
          <w:szCs w:val="18"/>
          <w:color w:val="0000EE"/>
        </w:rPr>
        <w:tab/>
        <w:t>Certificate of Incorporation of the Company, dated June 15, 2021 (incorporated by reference to Exhibit 3.1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ind w:left="1480" w:right="419" w:hanging="759"/>
        <w:spacing w:after="0" w:line="277" w:lineRule="auto"/>
        <w:tabs>
          <w:tab w:leader="none" w:pos="1460" w:val="left"/>
        </w:tabs>
        <w:rPr>
          <w:rFonts w:ascii="Arial" w:cs="Arial" w:eastAsia="Arial" w:hAnsi="Arial"/>
          <w:sz w:val="18"/>
          <w:szCs w:val="18"/>
          <w:color w:val="0000EE"/>
        </w:rPr>
      </w:pPr>
      <w:hyperlink r:id="rId540">
        <w:r>
          <w:rPr>
            <w:rFonts w:ascii="Arial" w:cs="Arial" w:eastAsia="Arial" w:hAnsi="Arial"/>
            <w:sz w:val="18"/>
            <w:szCs w:val="18"/>
            <w:u w:val="single" w:color="auto"/>
            <w:color w:val="0000EE"/>
          </w:rPr>
          <w:t>3.2</w:t>
        </w:r>
      </w:hyperlink>
      <w:r>
        <w:rPr>
          <w:rFonts w:ascii="Arial" w:cs="Arial" w:eastAsia="Arial" w:hAnsi="Arial"/>
          <w:sz w:val="18"/>
          <w:szCs w:val="18"/>
          <w:color w:val="0000EE"/>
        </w:rPr>
        <w:tab/>
        <w:t>Amended and Restated Bylaws of the Company, dated June 16, 2021 (incorporated by reference to Exhibit 3.2 to the Current Report on Form 8-K filed on June 21, 2021).</w:t>
      </w:r>
    </w:p>
    <w:p>
      <w:pPr>
        <w:spacing w:after="0" w:line="62" w:lineRule="exact"/>
        <w:rPr>
          <w:sz w:val="20"/>
          <w:szCs w:val="20"/>
          <w:color w:val="auto"/>
        </w:rPr>
      </w:pPr>
    </w:p>
    <w:p>
      <w:pPr>
        <w:ind w:left="1480" w:right="339" w:hanging="759"/>
        <w:spacing w:after="0" w:line="277" w:lineRule="auto"/>
        <w:tabs>
          <w:tab w:leader="none" w:pos="1460" w:val="left"/>
        </w:tabs>
        <w:rPr>
          <w:rFonts w:ascii="Arial" w:cs="Arial" w:eastAsia="Arial" w:hAnsi="Arial"/>
          <w:sz w:val="18"/>
          <w:szCs w:val="18"/>
          <w:color w:val="0000EE"/>
        </w:rPr>
      </w:pPr>
      <w:hyperlink r:id="rId541">
        <w:r>
          <w:rPr>
            <w:rFonts w:ascii="Arial" w:cs="Arial" w:eastAsia="Arial" w:hAnsi="Arial"/>
            <w:sz w:val="18"/>
            <w:szCs w:val="18"/>
            <w:u w:val="single" w:color="auto"/>
            <w:color w:val="0000EE"/>
          </w:rPr>
          <w:t>4.1</w:t>
        </w:r>
      </w:hyperlink>
      <w:r>
        <w:rPr>
          <w:rFonts w:ascii="Arial" w:cs="Arial" w:eastAsia="Arial" w:hAnsi="Arial"/>
          <w:sz w:val="18"/>
          <w:szCs w:val="18"/>
          <w:color w:val="0000EE"/>
        </w:rPr>
        <w:tab/>
        <w:t>Form of Common Stock Certificate of the Company (incorporated by reference to Exhibit 4.1 to the Current Report on Form 8-K filed on June 21, 2021).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2" w:name="page213"/>
    <w:bookmarkEnd w:id="212"/>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p>
      <w:pPr>
        <w:ind w:left="480"/>
        <w:spacing w:after="0"/>
        <w:tabs>
          <w:tab w:leader="none" w:pos="47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3600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3">
                      <a:extLst>
                        <a:ext uri="{28A0092B-C50C-407E-A947-70E740481C1C}"/>
                      </a:extLst>
                    </a:blip>
                    <a:srcRect/>
                    <a:stretch>
                      <a:fillRect/>
                    </a:stretch>
                  </pic:blipFill>
                  <pic:spPr bwMode="auto">
                    <a:xfrm>
                      <a:off x="0" y="0"/>
                      <a:ext cx="5349240" cy="360045"/>
                    </a:xfrm>
                    <a:prstGeom prst="rect">
                      <a:avLst/>
                    </a:prstGeom>
                    <a:noFill/>
                  </pic:spPr>
                </pic:pic>
              </a:graphicData>
            </a:graphic>
          </wp:anchor>
        </w:drawing>
      </w:r>
    </w:p>
    <w:p>
      <w:pPr>
        <w:spacing w:after="0" w:line="124" w:lineRule="exact"/>
        <w:rPr>
          <w:sz w:val="20"/>
          <w:szCs w:val="20"/>
          <w:color w:val="auto"/>
        </w:rPr>
      </w:pPr>
    </w:p>
    <w:p>
      <w:pPr>
        <w:ind w:left="1480" w:right="899" w:hanging="759"/>
        <w:spacing w:after="0" w:line="277" w:lineRule="auto"/>
        <w:tabs>
          <w:tab w:leader="none" w:pos="1460" w:val="left"/>
        </w:tabs>
        <w:rPr>
          <w:rFonts w:ascii="Arial" w:cs="Arial" w:eastAsia="Arial" w:hAnsi="Arial"/>
          <w:sz w:val="18"/>
          <w:szCs w:val="18"/>
          <w:color w:val="0000EE"/>
        </w:rPr>
      </w:pPr>
      <w:hyperlink r:id="rId544">
        <w:r>
          <w:rPr>
            <w:rFonts w:ascii="Arial" w:cs="Arial" w:eastAsia="Arial" w:hAnsi="Arial"/>
            <w:sz w:val="18"/>
            <w:szCs w:val="18"/>
            <w:u w:val="single" w:color="auto"/>
            <w:color w:val="0000EE"/>
          </w:rPr>
          <w:t>4.2</w:t>
        </w:r>
      </w:hyperlink>
      <w:r>
        <w:rPr>
          <w:rFonts w:ascii="Arial" w:cs="Arial" w:eastAsia="Arial" w:hAnsi="Arial"/>
          <w:sz w:val="18"/>
          <w:szCs w:val="18"/>
          <w:color w:val="0000EE"/>
        </w:rPr>
        <w:tab/>
        <w:t>Form of Warrant Certificate of the Company (incorporated by reference to Exhibit 4.2 to the Current Report on Form 8-K filed on June 21, 2021).</w:t>
      </w:r>
    </w:p>
    <w:p>
      <w:pPr>
        <w:spacing w:after="0" w:line="62" w:lineRule="exact"/>
        <w:rPr>
          <w:sz w:val="20"/>
          <w:szCs w:val="20"/>
          <w:color w:val="auto"/>
        </w:rPr>
      </w:pPr>
    </w:p>
    <w:p>
      <w:pPr>
        <w:ind w:left="1480" w:right="319" w:hanging="759"/>
        <w:spacing w:after="0" w:line="263" w:lineRule="auto"/>
        <w:tabs>
          <w:tab w:leader="none" w:pos="1460" w:val="left"/>
        </w:tabs>
        <w:rPr>
          <w:rFonts w:ascii="Arial" w:cs="Arial" w:eastAsia="Arial" w:hAnsi="Arial"/>
          <w:sz w:val="18"/>
          <w:szCs w:val="18"/>
          <w:color w:val="0000EE"/>
        </w:rPr>
      </w:pPr>
      <w:hyperlink r:id="rId545">
        <w:r>
          <w:rPr>
            <w:rFonts w:ascii="Arial" w:cs="Arial" w:eastAsia="Arial" w:hAnsi="Arial"/>
            <w:sz w:val="18"/>
            <w:szCs w:val="18"/>
            <w:u w:val="single" w:color="auto"/>
            <w:color w:val="0000EE"/>
          </w:rPr>
          <w:t>4.3</w:t>
        </w:r>
      </w:hyperlink>
      <w:r>
        <w:rPr>
          <w:rFonts w:ascii="Arial" w:cs="Arial" w:eastAsia="Arial" w:hAnsi="Arial"/>
          <w:sz w:val="18"/>
          <w:szCs w:val="18"/>
          <w:color w:val="0000EE"/>
        </w:rPr>
        <w:tab/>
        <w:t>Warrant Agreement, dated August 7, 2019, between the Company and Continental Stock Transfer &amp; Trust Company, as warrant agent (incorporated by reference to Exhibit 4.1 filed on Silver Spike’s Current Report on Form 8-K, filed by the Company on August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057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56" w:lineRule="exact"/>
        <w:rPr>
          <w:sz w:val="20"/>
          <w:szCs w:val="20"/>
          <w:color w:val="auto"/>
        </w:rPr>
      </w:pPr>
    </w:p>
    <w:p>
      <w:pPr>
        <w:ind w:left="720"/>
        <w:spacing w:after="0"/>
        <w:tabs>
          <w:tab w:leader="none" w:pos="1460" w:val="left"/>
        </w:tabs>
        <w:rPr>
          <w:rFonts w:ascii="Arial" w:cs="Arial" w:eastAsia="Arial" w:hAnsi="Arial"/>
          <w:sz w:val="18"/>
          <w:szCs w:val="18"/>
          <w:color w:val="0000EE"/>
        </w:rPr>
      </w:pPr>
      <w:hyperlink w:anchor="page217">
        <w:r>
          <w:rPr>
            <w:rFonts w:ascii="Arial" w:cs="Arial" w:eastAsia="Arial" w:hAnsi="Arial"/>
            <w:sz w:val="18"/>
            <w:szCs w:val="18"/>
            <w:u w:val="single" w:color="auto"/>
            <w:color w:val="0000EE"/>
          </w:rPr>
          <w:t>5.1</w:t>
        </w:r>
      </w:hyperlink>
      <w:r>
        <w:rPr>
          <w:rFonts w:ascii="Arial" w:cs="Arial" w:eastAsia="Arial" w:hAnsi="Arial"/>
          <w:sz w:val="18"/>
          <w:szCs w:val="18"/>
          <w:color w:val="0000EE"/>
        </w:rPr>
        <w:tab/>
      </w:r>
      <w:r>
        <w:rPr>
          <w:rFonts w:ascii="Arial" w:cs="Arial" w:eastAsia="Arial" w:hAnsi="Arial"/>
          <w:sz w:val="17"/>
          <w:szCs w:val="17"/>
          <w:color w:val="0000EE"/>
        </w:rPr>
        <w:t>Opinion of Cooley LLP</w:t>
      </w:r>
    </w:p>
    <w:p>
      <w:pPr>
        <w:spacing w:after="0" w:line="117" w:lineRule="exact"/>
        <w:rPr>
          <w:sz w:val="20"/>
          <w:szCs w:val="20"/>
          <w:color w:val="auto"/>
        </w:rPr>
      </w:pPr>
    </w:p>
    <w:p>
      <w:pPr>
        <w:ind w:left="1480" w:right="359" w:hanging="804"/>
        <w:spacing w:after="0" w:line="263" w:lineRule="auto"/>
        <w:tabs>
          <w:tab w:leader="none" w:pos="1460" w:val="left"/>
        </w:tabs>
        <w:rPr>
          <w:rFonts w:ascii="Arial" w:cs="Arial" w:eastAsia="Arial" w:hAnsi="Arial"/>
          <w:sz w:val="18"/>
          <w:szCs w:val="18"/>
          <w:color w:val="0000EE"/>
        </w:rPr>
      </w:pPr>
      <w:hyperlink r:id="rId547">
        <w:r>
          <w:rPr>
            <w:rFonts w:ascii="Arial" w:cs="Arial" w:eastAsia="Arial" w:hAnsi="Arial"/>
            <w:sz w:val="18"/>
            <w:szCs w:val="18"/>
            <w:u w:val="single" w:color="auto"/>
            <w:color w:val="0000EE"/>
          </w:rPr>
          <w:t>10.1</w:t>
        </w:r>
      </w:hyperlink>
      <w:r>
        <w:rPr>
          <w:rFonts w:ascii="Arial" w:cs="Arial" w:eastAsia="Arial" w:hAnsi="Arial"/>
          <w:sz w:val="18"/>
          <w:szCs w:val="18"/>
          <w:color w:val="0000EE"/>
        </w:rPr>
        <w:tab/>
        <w:t>Exchange Agreement, dated as of June 16, 2021, by and among the Company, Silver Spike Sponsor and the other parties thereto (incorporated by reference to Exhibit 10.1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48006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56" w:lineRule="exact"/>
        <w:rPr>
          <w:sz w:val="20"/>
          <w:szCs w:val="20"/>
          <w:color w:val="auto"/>
        </w:rPr>
      </w:pPr>
    </w:p>
    <w:p>
      <w:pPr>
        <w:jc w:val="both"/>
        <w:ind w:left="1480" w:right="499" w:hanging="804"/>
        <w:spacing w:after="0" w:line="263" w:lineRule="auto"/>
        <w:tabs>
          <w:tab w:leader="none" w:pos="1460" w:val="left"/>
        </w:tabs>
        <w:rPr>
          <w:rFonts w:ascii="Arial" w:cs="Arial" w:eastAsia="Arial" w:hAnsi="Arial"/>
          <w:sz w:val="18"/>
          <w:szCs w:val="18"/>
          <w:color w:val="0000EE"/>
        </w:rPr>
      </w:pPr>
      <w:hyperlink r:id="rId549">
        <w:r>
          <w:rPr>
            <w:rFonts w:ascii="Arial" w:cs="Arial" w:eastAsia="Arial" w:hAnsi="Arial"/>
            <w:sz w:val="18"/>
            <w:szCs w:val="18"/>
            <w:u w:val="single" w:color="auto"/>
            <w:color w:val="0000EE"/>
          </w:rPr>
          <w:t>10.2</w:t>
        </w:r>
      </w:hyperlink>
      <w:r>
        <w:rPr>
          <w:rFonts w:ascii="Arial" w:cs="Arial" w:eastAsia="Arial" w:hAnsi="Arial"/>
          <w:sz w:val="18"/>
          <w:szCs w:val="18"/>
          <w:color w:val="0000EE"/>
        </w:rPr>
        <w:tab/>
        <w:t>Tax Receivable Agreement, dated as of June 16, 2021, by and among the Company and the other parties thereto (incorporated by reference to Exhibit 10.2 to the Current Report on Form 8-K filed on June 21, 2021).</w:t>
      </w:r>
    </w:p>
    <w:p>
      <w:pPr>
        <w:spacing w:after="0" w:line="76" w:lineRule="exact"/>
        <w:rPr>
          <w:sz w:val="20"/>
          <w:szCs w:val="20"/>
          <w:color w:val="auto"/>
        </w:rPr>
      </w:pPr>
    </w:p>
    <w:p>
      <w:pPr>
        <w:jc w:val="both"/>
        <w:ind w:left="1480" w:right="519" w:hanging="804"/>
        <w:spacing w:after="0" w:line="277" w:lineRule="auto"/>
        <w:tabs>
          <w:tab w:leader="none" w:pos="1460" w:val="left"/>
        </w:tabs>
        <w:rPr>
          <w:rFonts w:ascii="Arial" w:cs="Arial" w:eastAsia="Arial" w:hAnsi="Arial"/>
          <w:sz w:val="18"/>
          <w:szCs w:val="18"/>
          <w:color w:val="0000EE"/>
        </w:rPr>
      </w:pPr>
      <w:hyperlink r:id="rId550">
        <w:r>
          <w:rPr>
            <w:rFonts w:ascii="Arial" w:cs="Arial" w:eastAsia="Arial" w:hAnsi="Arial"/>
            <w:sz w:val="18"/>
            <w:szCs w:val="18"/>
            <w:u w:val="single" w:color="auto"/>
            <w:color w:val="0000EE"/>
          </w:rPr>
          <w:t>10.3</w:t>
        </w:r>
      </w:hyperlink>
      <w:r>
        <w:rPr>
          <w:rFonts w:ascii="Arial" w:cs="Arial" w:eastAsia="Arial" w:hAnsi="Arial"/>
          <w:sz w:val="18"/>
          <w:szCs w:val="18"/>
          <w:color w:val="0000EE"/>
        </w:rPr>
        <w:tab/>
        <w:t>Fourth Amended and Restated Operating Agreement of WMH LLC (incorporated by reference to Exhibit 10.3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1">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jc w:val="both"/>
        <w:ind w:left="1480" w:right="499" w:hanging="804"/>
        <w:spacing w:after="0" w:line="277" w:lineRule="auto"/>
        <w:tabs>
          <w:tab w:leader="none" w:pos="1460" w:val="left"/>
        </w:tabs>
        <w:rPr>
          <w:rFonts w:ascii="Arial" w:cs="Arial" w:eastAsia="Arial" w:hAnsi="Arial"/>
          <w:sz w:val="18"/>
          <w:szCs w:val="18"/>
          <w:color w:val="0000EE"/>
        </w:rPr>
      </w:pPr>
      <w:hyperlink r:id="rId552">
        <w:r>
          <w:rPr>
            <w:rFonts w:ascii="Arial" w:cs="Arial" w:eastAsia="Arial" w:hAnsi="Arial"/>
            <w:sz w:val="18"/>
            <w:szCs w:val="18"/>
            <w:u w:val="single" w:color="auto"/>
            <w:color w:val="0000EE"/>
          </w:rPr>
          <w:t>10.4</w:t>
        </w:r>
      </w:hyperlink>
      <w:r>
        <w:rPr>
          <w:rFonts w:ascii="Arial" w:cs="Arial" w:eastAsia="Arial" w:hAnsi="Arial"/>
          <w:sz w:val="18"/>
          <w:szCs w:val="18"/>
          <w:color w:val="0000EE"/>
        </w:rPr>
        <w:tab/>
        <w:t>Form of Subscription Agreement (incorporated by reference to Exhibit 10.1 to the Current Report on Form 8-K filed on December 10, 2020).</w:t>
      </w:r>
    </w:p>
    <w:p>
      <w:pPr>
        <w:spacing w:after="0" w:line="62" w:lineRule="exact"/>
        <w:rPr>
          <w:sz w:val="20"/>
          <w:szCs w:val="20"/>
          <w:color w:val="auto"/>
        </w:rPr>
      </w:pPr>
    </w:p>
    <w:p>
      <w:pPr>
        <w:ind w:left="1480" w:right="559" w:hanging="804"/>
        <w:spacing w:after="0" w:line="286" w:lineRule="auto"/>
        <w:tabs>
          <w:tab w:leader="none" w:pos="1460" w:val="left"/>
        </w:tabs>
        <w:rPr>
          <w:rFonts w:ascii="Arial" w:cs="Arial" w:eastAsia="Arial" w:hAnsi="Arial"/>
          <w:sz w:val="18"/>
          <w:szCs w:val="18"/>
          <w:color w:val="0000EE"/>
        </w:rPr>
      </w:pPr>
      <w:hyperlink r:id="rId553">
        <w:r>
          <w:rPr>
            <w:rFonts w:ascii="Arial" w:cs="Arial" w:eastAsia="Arial" w:hAnsi="Arial"/>
            <w:sz w:val="18"/>
            <w:szCs w:val="18"/>
            <w:u w:val="single" w:color="auto"/>
            <w:color w:val="0000EE"/>
          </w:rPr>
          <w:t>10.5</w:t>
        </w:r>
      </w:hyperlink>
      <w:r>
        <w:rPr>
          <w:rFonts w:ascii="Arial" w:cs="Arial" w:eastAsia="Arial" w:hAnsi="Arial"/>
          <w:sz w:val="18"/>
          <w:szCs w:val="18"/>
          <w:color w:val="0000EE"/>
        </w:rPr>
        <w:tab/>
      </w:r>
      <w:r>
        <w:rPr>
          <w:rFonts w:ascii="Arial" w:cs="Arial" w:eastAsia="Arial" w:hAnsi="Arial"/>
          <w:sz w:val="17"/>
          <w:szCs w:val="17"/>
          <w:color w:val="0000EE"/>
        </w:rPr>
        <w:t>Amended and Restated Registration Rights Agreement, dated as of June 16, 2021, by and among the Company, Silver Spike Sponsor and the other parties thereto (incorporated by reference to Exhibit 10.5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11430</wp:posOffset>
            </wp:positionV>
            <wp:extent cx="5349240" cy="48006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37" w:lineRule="exact"/>
        <w:rPr>
          <w:sz w:val="20"/>
          <w:szCs w:val="20"/>
          <w:color w:val="auto"/>
        </w:rPr>
      </w:pPr>
    </w:p>
    <w:p>
      <w:pPr>
        <w:jc w:val="both"/>
        <w:ind w:left="1480" w:right="639" w:hanging="849"/>
        <w:spacing w:after="0" w:line="263" w:lineRule="auto"/>
        <w:tabs>
          <w:tab w:leader="none" w:pos="1460" w:val="left"/>
        </w:tabs>
        <w:rPr>
          <w:rFonts w:ascii="Arial" w:cs="Arial" w:eastAsia="Arial" w:hAnsi="Arial"/>
          <w:sz w:val="18"/>
          <w:szCs w:val="18"/>
          <w:color w:val="0000EE"/>
        </w:rPr>
      </w:pPr>
      <w:hyperlink r:id="rId555">
        <w:r>
          <w:rPr>
            <w:rFonts w:ascii="Arial" w:cs="Arial" w:eastAsia="Arial" w:hAnsi="Arial"/>
            <w:sz w:val="18"/>
            <w:szCs w:val="18"/>
            <w:u w:val="single" w:color="auto"/>
            <w:color w:val="0000EE"/>
          </w:rPr>
          <w:t>10.6</w:t>
        </w:r>
      </w:hyperlink>
      <w:r>
        <w:rPr>
          <w:rFonts w:ascii="Arial" w:cs="Arial" w:eastAsia="Arial" w:hAnsi="Arial"/>
          <w:sz w:val="18"/>
          <w:szCs w:val="18"/>
          <w:color w:val="000000"/>
        </w:rPr>
        <w:t>#</w:t>
      </w:r>
      <w:r>
        <w:rPr>
          <w:rFonts w:ascii="Arial" w:cs="Arial" w:eastAsia="Arial" w:hAnsi="Arial"/>
          <w:sz w:val="18"/>
          <w:szCs w:val="18"/>
          <w:color w:val="0000EE"/>
        </w:rPr>
        <w:tab/>
        <w:t>Form of Indemnification Agreement by and between the Company and its directors and officers (incorporated by reference to Exhibit 10.6 to the Current Report on Form 8-K filed on June 21, 2021).</w:t>
      </w:r>
    </w:p>
    <w:p>
      <w:pPr>
        <w:spacing w:after="0" w:line="76" w:lineRule="exact"/>
        <w:rPr>
          <w:sz w:val="20"/>
          <w:szCs w:val="20"/>
          <w:color w:val="auto"/>
        </w:rPr>
      </w:pPr>
    </w:p>
    <w:p>
      <w:pPr>
        <w:ind w:left="1480" w:right="439" w:hanging="849"/>
        <w:spacing w:after="0" w:line="277" w:lineRule="auto"/>
        <w:tabs>
          <w:tab w:leader="none" w:pos="1460" w:val="left"/>
        </w:tabs>
        <w:rPr>
          <w:rFonts w:ascii="Arial" w:cs="Arial" w:eastAsia="Arial" w:hAnsi="Arial"/>
          <w:sz w:val="18"/>
          <w:szCs w:val="18"/>
          <w:color w:val="0000EE"/>
        </w:rPr>
      </w:pPr>
      <w:hyperlink r:id="rId556">
        <w:r>
          <w:rPr>
            <w:rFonts w:ascii="Arial" w:cs="Arial" w:eastAsia="Arial" w:hAnsi="Arial"/>
            <w:sz w:val="18"/>
            <w:szCs w:val="18"/>
            <w:u w:val="single" w:color="auto"/>
            <w:color w:val="0000EE"/>
          </w:rPr>
          <w:t>10.7</w:t>
        </w:r>
      </w:hyperlink>
      <w:r>
        <w:rPr>
          <w:rFonts w:ascii="Arial" w:cs="Arial" w:eastAsia="Arial" w:hAnsi="Arial"/>
          <w:sz w:val="18"/>
          <w:szCs w:val="18"/>
          <w:color w:val="000000"/>
        </w:rPr>
        <w:t>#</w:t>
      </w:r>
      <w:r>
        <w:rPr>
          <w:rFonts w:ascii="Arial" w:cs="Arial" w:eastAsia="Arial" w:hAnsi="Arial"/>
          <w:sz w:val="18"/>
          <w:szCs w:val="18"/>
          <w:color w:val="0000EE"/>
        </w:rPr>
        <w:tab/>
        <w:t>WM Technology, Inc. 2021 Equity Incentive Plan (incorporated by reference to Exhibit 10.7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7">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ind w:left="1480" w:right="659" w:hanging="949"/>
        <w:spacing w:after="0" w:line="277" w:lineRule="auto"/>
        <w:tabs>
          <w:tab w:leader="none" w:pos="1460" w:val="left"/>
        </w:tabs>
        <w:rPr>
          <w:rFonts w:ascii="Arial" w:cs="Arial" w:eastAsia="Arial" w:hAnsi="Arial"/>
          <w:sz w:val="18"/>
          <w:szCs w:val="18"/>
          <w:color w:val="0000EE"/>
        </w:rPr>
      </w:pPr>
      <w:hyperlink r:id="rId558">
        <w:r>
          <w:rPr>
            <w:rFonts w:ascii="Arial" w:cs="Arial" w:eastAsia="Arial" w:hAnsi="Arial"/>
            <w:sz w:val="18"/>
            <w:szCs w:val="18"/>
            <w:u w:val="single" w:color="auto"/>
            <w:color w:val="0000EE"/>
          </w:rPr>
          <w:t>10.7(a)</w:t>
        </w:r>
      </w:hyperlink>
      <w:r>
        <w:rPr>
          <w:rFonts w:ascii="Arial" w:cs="Arial" w:eastAsia="Arial" w:hAnsi="Arial"/>
          <w:sz w:val="18"/>
          <w:szCs w:val="18"/>
          <w:color w:val="000000"/>
        </w:rPr>
        <w:t>#</w:t>
      </w:r>
      <w:r>
        <w:rPr>
          <w:rFonts w:ascii="Arial" w:cs="Arial" w:eastAsia="Arial" w:hAnsi="Arial"/>
          <w:sz w:val="18"/>
          <w:szCs w:val="18"/>
          <w:color w:val="0000EE"/>
        </w:rPr>
        <w:tab/>
        <w:t>Form of Stock Option Grant Notice (incorporated by reference to Exhibit 10.7(a) to the Current Report on Form 8-K filed on June 21, 2021).</w:t>
      </w:r>
    </w:p>
    <w:p>
      <w:pPr>
        <w:spacing w:after="0" w:line="62" w:lineRule="exact"/>
        <w:rPr>
          <w:sz w:val="20"/>
          <w:szCs w:val="20"/>
          <w:color w:val="auto"/>
        </w:rPr>
      </w:pPr>
    </w:p>
    <w:p>
      <w:pPr>
        <w:ind w:left="1480" w:right="739" w:hanging="954"/>
        <w:spacing w:after="0" w:line="277" w:lineRule="auto"/>
        <w:tabs>
          <w:tab w:leader="none" w:pos="1460" w:val="left"/>
        </w:tabs>
        <w:rPr>
          <w:rFonts w:ascii="Arial" w:cs="Arial" w:eastAsia="Arial" w:hAnsi="Arial"/>
          <w:sz w:val="18"/>
          <w:szCs w:val="18"/>
          <w:color w:val="0000EE"/>
        </w:rPr>
      </w:pPr>
      <w:hyperlink r:id="rId559">
        <w:r>
          <w:rPr>
            <w:rFonts w:ascii="Arial" w:cs="Arial" w:eastAsia="Arial" w:hAnsi="Arial"/>
            <w:sz w:val="18"/>
            <w:szCs w:val="18"/>
            <w:u w:val="single" w:color="auto"/>
            <w:color w:val="0000EE"/>
          </w:rPr>
          <w:t>10.7(b)</w:t>
        </w:r>
      </w:hyperlink>
      <w:r>
        <w:rPr>
          <w:rFonts w:ascii="Arial" w:cs="Arial" w:eastAsia="Arial" w:hAnsi="Arial"/>
          <w:sz w:val="18"/>
          <w:szCs w:val="18"/>
          <w:color w:val="000000"/>
        </w:rPr>
        <w:t>#</w:t>
      </w:r>
      <w:r>
        <w:rPr>
          <w:rFonts w:ascii="Arial" w:cs="Arial" w:eastAsia="Arial" w:hAnsi="Arial"/>
          <w:sz w:val="18"/>
          <w:szCs w:val="18"/>
          <w:color w:val="0000EE"/>
        </w:rPr>
        <w:tab/>
        <w:t>Form of RSU Award Grant Notice (incorporated by reference to Exhibit 10.7(b)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3429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0">
                      <a:extLst>
                        <a:ext uri="{28A0092B-C50C-407E-A947-70E740481C1C}"/>
                      </a:extLst>
                    </a:blip>
                    <a:srcRect/>
                    <a:stretch>
                      <a:fillRect/>
                    </a:stretch>
                  </pic:blipFill>
                  <pic:spPr bwMode="auto">
                    <a:xfrm>
                      <a:off x="0" y="0"/>
                      <a:ext cx="5349240" cy="342900"/>
                    </a:xfrm>
                    <a:prstGeom prst="rect">
                      <a:avLst/>
                    </a:prstGeom>
                    <a:noFill/>
                  </pic:spPr>
                </pic:pic>
              </a:graphicData>
            </a:graphic>
          </wp:anchor>
        </w:drawing>
      </w:r>
    </w:p>
    <w:p>
      <w:pPr>
        <w:spacing w:after="0" w:line="42" w:lineRule="exact"/>
        <w:rPr>
          <w:sz w:val="20"/>
          <w:szCs w:val="20"/>
          <w:color w:val="auto"/>
        </w:rPr>
      </w:pPr>
    </w:p>
    <w:p>
      <w:pPr>
        <w:ind w:left="620"/>
        <w:spacing w:after="0"/>
        <w:tabs>
          <w:tab w:leader="none" w:pos="1460" w:val="left"/>
        </w:tabs>
        <w:rPr>
          <w:rFonts w:ascii="Arial" w:cs="Arial" w:eastAsia="Arial" w:hAnsi="Arial"/>
          <w:sz w:val="18"/>
          <w:szCs w:val="18"/>
          <w:color w:val="0000EE"/>
        </w:rPr>
      </w:pPr>
      <w:hyperlink r:id="rId561">
        <w:r>
          <w:rPr>
            <w:rFonts w:ascii="Arial" w:cs="Arial" w:eastAsia="Arial" w:hAnsi="Arial"/>
            <w:sz w:val="18"/>
            <w:szCs w:val="18"/>
            <w:u w:val="single" w:color="auto"/>
            <w:color w:val="0000EE"/>
          </w:rPr>
          <w:t>10.8</w:t>
        </w:r>
      </w:hyperlink>
      <w:r>
        <w:rPr>
          <w:rFonts w:ascii="Arial" w:cs="Arial" w:eastAsia="Arial" w:hAnsi="Arial"/>
          <w:sz w:val="18"/>
          <w:szCs w:val="18"/>
          <w:color w:val="000000"/>
        </w:rPr>
        <w:t>#</w:t>
      </w:r>
      <w:r>
        <w:rPr>
          <w:rFonts w:ascii="Arial" w:cs="Arial" w:eastAsia="Arial" w:hAnsi="Arial"/>
          <w:sz w:val="18"/>
          <w:szCs w:val="18"/>
          <w:color w:val="0000EE"/>
        </w:rPr>
        <w:tab/>
      </w:r>
      <w:r>
        <w:rPr>
          <w:rFonts w:ascii="Arial" w:cs="Arial" w:eastAsia="Arial" w:hAnsi="Arial"/>
          <w:sz w:val="16"/>
          <w:szCs w:val="16"/>
          <w:color w:val="0000EE"/>
        </w:rPr>
        <w:t>WM Technology, Inc. 2021 Employee Stock Purchase Plan (incorporated by reference to Exhibit</w:t>
      </w:r>
    </w:p>
    <w:p>
      <w:pPr>
        <w:spacing w:after="0" w:line="2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10.8 to the Current Report on Form 8-K filed on June 21, 2021).</w:t>
      </w:r>
    </w:p>
    <w:p>
      <w:pPr>
        <w:spacing w:after="0" w:line="103" w:lineRule="exact"/>
        <w:rPr>
          <w:sz w:val="20"/>
          <w:szCs w:val="20"/>
          <w:color w:val="auto"/>
        </w:rPr>
      </w:pPr>
    </w:p>
    <w:p>
      <w:pPr>
        <w:ind w:left="1480" w:right="439" w:hanging="849"/>
        <w:spacing w:after="0" w:line="263" w:lineRule="auto"/>
        <w:tabs>
          <w:tab w:leader="none" w:pos="1460" w:val="left"/>
        </w:tabs>
        <w:rPr>
          <w:rFonts w:ascii="Arial" w:cs="Arial" w:eastAsia="Arial" w:hAnsi="Arial"/>
          <w:sz w:val="18"/>
          <w:szCs w:val="18"/>
          <w:color w:val="0000EE"/>
        </w:rPr>
      </w:pPr>
      <w:hyperlink r:id="rId562">
        <w:r>
          <w:rPr>
            <w:rFonts w:ascii="Arial" w:cs="Arial" w:eastAsia="Arial" w:hAnsi="Arial"/>
            <w:sz w:val="18"/>
            <w:szCs w:val="18"/>
            <w:u w:val="single" w:color="auto"/>
            <w:color w:val="0000EE"/>
          </w:rPr>
          <w:t>10.9</w:t>
        </w:r>
      </w:hyperlink>
      <w:r>
        <w:rPr>
          <w:rFonts w:ascii="Arial" w:cs="Arial" w:eastAsia="Arial" w:hAnsi="Arial"/>
          <w:sz w:val="18"/>
          <w:szCs w:val="18"/>
          <w:color w:val="000000"/>
        </w:rPr>
        <w:t>#</w:t>
      </w:r>
      <w:r>
        <w:rPr>
          <w:rFonts w:ascii="Arial" w:cs="Arial" w:eastAsia="Arial" w:hAnsi="Arial"/>
          <w:sz w:val="18"/>
          <w:szCs w:val="18"/>
          <w:color w:val="0000EE"/>
        </w:rPr>
        <w:tab/>
        <w:t>Offer letter by and between Ghost Management Group, LLC and Christopher Beals, dated July 31, 2015 (incorporated by reference to Exhibit 10.9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48006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56" w:lineRule="exact"/>
        <w:rPr>
          <w:sz w:val="20"/>
          <w:szCs w:val="20"/>
          <w:color w:val="auto"/>
        </w:rPr>
      </w:pPr>
    </w:p>
    <w:p>
      <w:pPr>
        <w:ind w:left="1480" w:right="699" w:hanging="894"/>
        <w:spacing w:after="0" w:line="263" w:lineRule="auto"/>
        <w:tabs>
          <w:tab w:leader="none" w:pos="1460" w:val="left"/>
        </w:tabs>
        <w:rPr>
          <w:rFonts w:ascii="Arial" w:cs="Arial" w:eastAsia="Arial" w:hAnsi="Arial"/>
          <w:sz w:val="18"/>
          <w:szCs w:val="18"/>
          <w:color w:val="0000EE"/>
        </w:rPr>
      </w:pPr>
      <w:hyperlink r:id="rId564">
        <w:r>
          <w:rPr>
            <w:rFonts w:ascii="Arial" w:cs="Arial" w:eastAsia="Arial" w:hAnsi="Arial"/>
            <w:sz w:val="18"/>
            <w:szCs w:val="18"/>
            <w:u w:val="single" w:color="auto"/>
            <w:color w:val="0000EE"/>
          </w:rPr>
          <w:t>10.10</w:t>
        </w:r>
      </w:hyperlink>
      <w:r>
        <w:rPr>
          <w:rFonts w:ascii="Arial" w:cs="Arial" w:eastAsia="Arial" w:hAnsi="Arial"/>
          <w:sz w:val="18"/>
          <w:szCs w:val="18"/>
          <w:color w:val="000000"/>
        </w:rPr>
        <w:t>#</w:t>
      </w:r>
      <w:r>
        <w:rPr>
          <w:rFonts w:ascii="Arial" w:cs="Arial" w:eastAsia="Arial" w:hAnsi="Arial"/>
          <w:sz w:val="18"/>
          <w:szCs w:val="18"/>
          <w:color w:val="0000EE"/>
        </w:rPr>
        <w:tab/>
        <w:t>Offer letter by and between Ghost Management Group, LLC and Justin Dean, dated October 3, 2018 (incorporated by reference to Exhibit 10.10 to the Current Report on Form 8-K filed on June 21, 2021).</w:t>
      </w:r>
    </w:p>
    <w:p>
      <w:pPr>
        <w:spacing w:after="0" w:line="76" w:lineRule="exact"/>
        <w:rPr>
          <w:sz w:val="20"/>
          <w:szCs w:val="20"/>
          <w:color w:val="auto"/>
        </w:rPr>
      </w:pPr>
    </w:p>
    <w:p>
      <w:pPr>
        <w:ind w:left="1480" w:right="419" w:hanging="891"/>
        <w:spacing w:after="0" w:line="263" w:lineRule="auto"/>
        <w:tabs>
          <w:tab w:leader="none" w:pos="1460" w:val="left"/>
        </w:tabs>
        <w:rPr>
          <w:rFonts w:ascii="Arial" w:cs="Arial" w:eastAsia="Arial" w:hAnsi="Arial"/>
          <w:sz w:val="18"/>
          <w:szCs w:val="18"/>
          <w:color w:val="0000EE"/>
        </w:rPr>
      </w:pPr>
      <w:hyperlink r:id="rId565">
        <w:r>
          <w:rPr>
            <w:rFonts w:ascii="Arial" w:cs="Arial" w:eastAsia="Arial" w:hAnsi="Arial"/>
            <w:sz w:val="18"/>
            <w:szCs w:val="18"/>
            <w:u w:val="single" w:color="auto"/>
            <w:color w:val="0000EE"/>
          </w:rPr>
          <w:t>10.11</w:t>
        </w:r>
      </w:hyperlink>
      <w:r>
        <w:rPr>
          <w:rFonts w:ascii="Arial" w:cs="Arial" w:eastAsia="Arial" w:hAnsi="Arial"/>
          <w:sz w:val="18"/>
          <w:szCs w:val="18"/>
          <w:color w:val="000000"/>
        </w:rPr>
        <w:t>#</w:t>
      </w:r>
      <w:r>
        <w:rPr>
          <w:rFonts w:ascii="Arial" w:cs="Arial" w:eastAsia="Arial" w:hAnsi="Arial"/>
          <w:sz w:val="18"/>
          <w:szCs w:val="18"/>
          <w:color w:val="0000EE"/>
        </w:rPr>
        <w:tab/>
        <w:t>Offer letter by and between Ghost Management Group, LLC and Steven Jung, dated May 17, 2017 (incorporated by reference to Exhibit 10.11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4800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6">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56" w:lineRule="exact"/>
        <w:rPr>
          <w:sz w:val="20"/>
          <w:szCs w:val="20"/>
          <w:color w:val="auto"/>
        </w:rPr>
      </w:pPr>
    </w:p>
    <w:p>
      <w:pPr>
        <w:ind w:left="1480" w:right="319" w:hanging="850"/>
        <w:spacing w:after="0" w:line="263" w:lineRule="auto"/>
        <w:tabs>
          <w:tab w:leader="none" w:pos="1460" w:val="left"/>
        </w:tabs>
        <w:rPr>
          <w:rFonts w:ascii="Arial" w:cs="Arial" w:eastAsia="Arial" w:hAnsi="Arial"/>
          <w:sz w:val="18"/>
          <w:szCs w:val="18"/>
          <w:color w:val="0000EE"/>
        </w:rPr>
      </w:pPr>
      <w:hyperlink r:id="rId567">
        <w:r>
          <w:rPr>
            <w:rFonts w:ascii="Arial" w:cs="Arial" w:eastAsia="Arial" w:hAnsi="Arial"/>
            <w:sz w:val="18"/>
            <w:szCs w:val="18"/>
            <w:u w:val="single" w:color="auto"/>
            <w:color w:val="0000EE"/>
          </w:rPr>
          <w:t>10.12</w:t>
        </w:r>
      </w:hyperlink>
      <w:r>
        <w:rPr>
          <w:rFonts w:ascii="Arial" w:cs="Arial" w:eastAsia="Arial" w:hAnsi="Arial"/>
          <w:sz w:val="18"/>
          <w:szCs w:val="18"/>
          <w:color w:val="0000EE"/>
        </w:rPr>
        <w:tab/>
        <w:t>Lease by and between the Irvine Company LLC and Ghost Media Group, LLC, dated November 11, 2013, as amended (incorporated by reference to Exhibit 10.12 to the Current Report on Form 8-K filed on June 21, 2021).</w:t>
      </w:r>
    </w:p>
    <w:p>
      <w:pPr>
        <w:spacing w:after="0" w:line="76" w:lineRule="exact"/>
        <w:rPr>
          <w:sz w:val="20"/>
          <w:szCs w:val="20"/>
          <w:color w:val="auto"/>
        </w:rPr>
      </w:pPr>
    </w:p>
    <w:p>
      <w:pPr>
        <w:ind w:left="1480" w:right="399" w:hanging="850"/>
        <w:spacing w:after="0" w:line="301" w:lineRule="auto"/>
        <w:tabs>
          <w:tab w:leader="none" w:pos="1460" w:val="left"/>
        </w:tabs>
        <w:rPr>
          <w:rFonts w:ascii="Arial" w:cs="Arial" w:eastAsia="Arial" w:hAnsi="Arial"/>
          <w:sz w:val="18"/>
          <w:szCs w:val="18"/>
          <w:color w:val="0000EE"/>
        </w:rPr>
      </w:pPr>
      <w:hyperlink r:id="rId568">
        <w:r>
          <w:rPr>
            <w:rFonts w:ascii="Arial" w:cs="Arial" w:eastAsia="Arial" w:hAnsi="Arial"/>
            <w:sz w:val="18"/>
            <w:szCs w:val="18"/>
            <w:u w:val="single" w:color="auto"/>
            <w:color w:val="0000EE"/>
          </w:rPr>
          <w:t>10.13</w:t>
        </w:r>
      </w:hyperlink>
      <w:r>
        <w:rPr>
          <w:rFonts w:ascii="Arial" w:cs="Arial" w:eastAsia="Arial" w:hAnsi="Arial"/>
          <w:sz w:val="18"/>
          <w:szCs w:val="18"/>
          <w:color w:val="0000EE"/>
        </w:rPr>
        <w:tab/>
      </w:r>
      <w:r>
        <w:rPr>
          <w:rFonts w:ascii="Arial" w:cs="Arial" w:eastAsia="Arial" w:hAnsi="Arial"/>
          <w:sz w:val="16"/>
          <w:szCs w:val="16"/>
          <w:color w:val="0000EE"/>
        </w:rPr>
        <w:t>First Amendment to Lease and Consent to Assignment by and between Discovery Business Center LLC, as successor-in-interest to the Irvine Company LLC, and Ghost Management Group, LLC, as successor-in-interest to Ghost Media Group, LLC, dated January 27, 2016 (incorporated by reference to Exhibit 10.13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48006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9">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29" w:lineRule="exact"/>
        <w:rPr>
          <w:sz w:val="20"/>
          <w:szCs w:val="20"/>
          <w:color w:val="auto"/>
        </w:rPr>
      </w:pPr>
    </w:p>
    <w:p>
      <w:pPr>
        <w:ind w:left="1480" w:right="559" w:hanging="850"/>
        <w:spacing w:after="0" w:line="263" w:lineRule="auto"/>
        <w:tabs>
          <w:tab w:leader="none" w:pos="1460" w:val="left"/>
        </w:tabs>
        <w:rPr>
          <w:rFonts w:ascii="Arial" w:cs="Arial" w:eastAsia="Arial" w:hAnsi="Arial"/>
          <w:sz w:val="18"/>
          <w:szCs w:val="18"/>
          <w:color w:val="0000EE"/>
        </w:rPr>
      </w:pPr>
      <w:hyperlink r:id="rId570">
        <w:r>
          <w:rPr>
            <w:rFonts w:ascii="Arial" w:cs="Arial" w:eastAsia="Arial" w:hAnsi="Arial"/>
            <w:sz w:val="18"/>
            <w:szCs w:val="18"/>
            <w:u w:val="single" w:color="auto"/>
            <w:color w:val="0000EE"/>
          </w:rPr>
          <w:t>10.14</w:t>
        </w:r>
      </w:hyperlink>
      <w:r>
        <w:rPr>
          <w:rFonts w:ascii="Arial" w:cs="Arial" w:eastAsia="Arial" w:hAnsi="Arial"/>
          <w:sz w:val="18"/>
          <w:szCs w:val="18"/>
          <w:color w:val="0000EE"/>
        </w:rPr>
        <w:tab/>
        <w:t>Second Amendment to Lease, by and between Discovery Business Center LLC and Ghost Management Group, LLC, dated April 7, 2017 (incorporated by reference to Exhibit 10.14 to the Current Report on Form 8-K filed on June 21, 2021).</w:t>
      </w:r>
    </w:p>
    <w:p>
      <w:pPr>
        <w:spacing w:after="0" w:line="76" w:lineRule="exact"/>
        <w:rPr>
          <w:sz w:val="20"/>
          <w:szCs w:val="20"/>
          <w:color w:val="auto"/>
        </w:rPr>
      </w:pPr>
    </w:p>
    <w:p>
      <w:pPr>
        <w:ind w:left="1480" w:right="379" w:hanging="850"/>
        <w:spacing w:after="0" w:line="263" w:lineRule="auto"/>
        <w:tabs>
          <w:tab w:leader="none" w:pos="1460" w:val="left"/>
        </w:tabs>
        <w:rPr>
          <w:rFonts w:ascii="Arial" w:cs="Arial" w:eastAsia="Arial" w:hAnsi="Arial"/>
          <w:sz w:val="18"/>
          <w:szCs w:val="18"/>
          <w:color w:val="0000EE"/>
        </w:rPr>
      </w:pPr>
      <w:hyperlink r:id="rId571">
        <w:r>
          <w:rPr>
            <w:rFonts w:ascii="Arial" w:cs="Arial" w:eastAsia="Arial" w:hAnsi="Arial"/>
            <w:sz w:val="18"/>
            <w:szCs w:val="18"/>
            <w:u w:val="single" w:color="auto"/>
            <w:color w:val="0000EE"/>
          </w:rPr>
          <w:t>10.15</w:t>
        </w:r>
      </w:hyperlink>
      <w:r>
        <w:rPr>
          <w:rFonts w:ascii="Arial" w:cs="Arial" w:eastAsia="Arial" w:hAnsi="Arial"/>
          <w:sz w:val="18"/>
          <w:szCs w:val="18"/>
          <w:color w:val="0000EE"/>
        </w:rPr>
        <w:tab/>
        <w:t>Third Amendment to Lease, by and between Discovery Business Center LLC and Ghost Management Group, LLC, dated December 29, 2017 (incorporated by reference to Exhibit 10.15 to the Current Report on Form 8-K filed on June 21, 2021).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3" w:name="page214"/>
    <w:bookmarkEnd w:id="213"/>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1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Exhibit No.</w:t>
            </w:r>
          </w:p>
        </w:tc>
        <w:tc>
          <w:tcPr>
            <w:tcW w:w="7240" w:type="dxa"/>
            <w:vAlign w:val="bottom"/>
          </w:tcPr>
          <w:p>
            <w:pPr>
              <w:ind w:left="3260"/>
              <w:spacing w:after="0"/>
              <w:rPr>
                <w:sz w:val="20"/>
                <w:szCs w:val="20"/>
                <w:color w:val="auto"/>
              </w:rPr>
            </w:pPr>
            <w:r>
              <w:rPr>
                <w:rFonts w:ascii="Arial" w:cs="Arial" w:eastAsia="Arial" w:hAnsi="Arial"/>
                <w:sz w:val="14"/>
                <w:szCs w:val="14"/>
                <w:b w:val="1"/>
                <w:bCs w:val="1"/>
                <w:color w:val="auto"/>
              </w:rPr>
              <w:t>Description</w:t>
            </w:r>
          </w:p>
        </w:tc>
      </w:tr>
      <w:tr>
        <w:trPr>
          <w:trHeight w:val="53"/>
        </w:trPr>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40" w:type="dxa"/>
            <w:vAlign w:val="bottom"/>
            <w:tcBorders>
              <w:bottom w:val="single" w:sz="8" w:color="auto"/>
            </w:tcBorders>
          </w:tcPr>
          <w:p>
            <w:pPr>
              <w:spacing w:after="0"/>
              <w:rPr>
                <w:sz w:val="4"/>
                <w:szCs w:val="4"/>
                <w:color w:val="auto"/>
              </w:rPr>
            </w:pPr>
          </w:p>
        </w:tc>
      </w:tr>
      <w:tr>
        <w:trPr>
          <w:trHeight w:val="237"/>
        </w:trPr>
        <w:tc>
          <w:tcPr>
            <w:tcW w:w="1080" w:type="dxa"/>
            <w:vAlign w:val="bottom"/>
            <w:gridSpan w:val="5"/>
            <w:shd w:val="clear" w:color="auto" w:fill="CCEEFF"/>
          </w:tcPr>
          <w:p>
            <w:pPr>
              <w:jc w:val="center"/>
              <w:ind w:right="20"/>
              <w:spacing w:after="0"/>
              <w:rPr>
                <w:rFonts w:ascii="Arial" w:cs="Arial" w:eastAsia="Arial" w:hAnsi="Arial"/>
                <w:sz w:val="18"/>
                <w:szCs w:val="18"/>
                <w:color w:val="0000EE"/>
                <w:w w:val="93"/>
              </w:rPr>
            </w:pPr>
            <w:hyperlink r:id="rId573">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100" w:type="dxa"/>
            <w:vAlign w:val="bottom"/>
            <w:shd w:val="clear" w:color="auto" w:fill="CCEEFF"/>
          </w:tcPr>
          <w:p>
            <w:pPr>
              <w:spacing w:after="0"/>
              <w:rPr>
                <w:sz w:val="20"/>
                <w:szCs w:val="20"/>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Fourth Amendment to Lease, by and between Discovery Business Center LLC and Ghost</w:t>
            </w:r>
          </w:p>
        </w:tc>
      </w:tr>
      <w:tr>
        <w:trPr>
          <w:trHeight w:val="222"/>
        </w:trPr>
        <w:tc>
          <w:tcPr>
            <w:tcW w:w="3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30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3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Management Group, LLC, dated May 3, 2018 (incorporated by reference to Exhibit 10.16 to the</w:t>
            </w:r>
          </w:p>
        </w:tc>
      </w:tr>
      <w:tr>
        <w:trPr>
          <w:trHeight w:val="264"/>
        </w:trPr>
        <w:tc>
          <w:tcPr>
            <w:tcW w:w="3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Report on Form 8-K filed on June 21, 2021).</w:t>
            </w:r>
          </w:p>
        </w:tc>
      </w:tr>
      <w:tr>
        <w:trPr>
          <w:trHeight w:val="229"/>
        </w:trPr>
        <w:tc>
          <w:tcPr>
            <w:tcW w:w="1080" w:type="dxa"/>
            <w:vAlign w:val="bottom"/>
            <w:gridSpan w:val="5"/>
          </w:tcPr>
          <w:p>
            <w:pPr>
              <w:jc w:val="center"/>
              <w:ind w:right="20"/>
              <w:spacing w:after="0"/>
              <w:rPr>
                <w:rFonts w:ascii="Arial" w:cs="Arial" w:eastAsia="Arial" w:hAnsi="Arial"/>
                <w:sz w:val="18"/>
                <w:szCs w:val="18"/>
                <w:color w:val="0000EE"/>
                <w:w w:val="93"/>
              </w:rPr>
            </w:pPr>
            <w:hyperlink r:id="rId57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1"/>
              </w:rPr>
              <w:t>Strategic Advisor Agreement, by and between the Company and Steven Jung, dated June 21, 2021</w:t>
            </w:r>
          </w:p>
        </w:tc>
      </w:tr>
      <w:tr>
        <w:trPr>
          <w:trHeight w:val="222"/>
        </w:trPr>
        <w:tc>
          <w:tcPr>
            <w:tcW w:w="32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5"/>
              </w:rPr>
              <w:t>(incorporated by reference to Exhibit 10.17 to the Current Report on Form 8-K filed on June 21,</w:t>
            </w:r>
          </w:p>
        </w:tc>
      </w:tr>
      <w:tr>
        <w:trPr>
          <w:trHeight w:val="230"/>
        </w:trPr>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2021).</w:t>
            </w: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r>
      <w:tr>
        <w:trPr>
          <w:trHeight w:val="229"/>
        </w:trPr>
        <w:tc>
          <w:tcPr>
            <w:tcW w:w="740" w:type="dxa"/>
            <w:vAlign w:val="bottom"/>
            <w:gridSpan w:val="4"/>
            <w:shd w:val="clear" w:color="auto" w:fill="CCEEFF"/>
          </w:tcPr>
          <w:p>
            <w:pPr>
              <w:jc w:val="center"/>
              <w:ind w:left="231"/>
              <w:spacing w:after="0"/>
              <w:rPr>
                <w:rFonts w:ascii="Arial" w:cs="Arial" w:eastAsia="Arial" w:hAnsi="Arial"/>
                <w:sz w:val="18"/>
                <w:szCs w:val="18"/>
                <w:color w:val="0000EE"/>
                <w:w w:val="85"/>
              </w:rPr>
            </w:pPr>
            <w:hyperlink r:id="rId575">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Letter from Marcum LLP to the SEC, dated June 16, 2021 (incorporated by reference to</w:t>
            </w:r>
          </w:p>
        </w:tc>
      </w:tr>
      <w:tr>
        <w:trPr>
          <w:trHeight w:val="271"/>
        </w:trPr>
        <w:tc>
          <w:tcPr>
            <w:tcW w:w="320" w:type="dxa"/>
            <w:vAlign w:val="bottom"/>
            <w:tcBorders>
              <w:top w:val="single" w:sz="8" w:color="CCEEFF"/>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0000EE"/>
              <w:bottom w:val="single" w:sz="8" w:color="CCEEFF"/>
            </w:tcBorders>
            <w:shd w:val="clear" w:color="auto" w:fill="CCEEFF"/>
          </w:tcPr>
          <w:p>
            <w:pPr>
              <w:spacing w:after="0"/>
              <w:rPr>
                <w:sz w:val="23"/>
                <w:szCs w:val="23"/>
                <w:color w:val="auto"/>
              </w:rPr>
            </w:pPr>
          </w:p>
        </w:tc>
        <w:tc>
          <w:tcPr>
            <w:tcW w:w="6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CCEEFF"/>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Exhibit 16.1 to the Current Report on Form 8-K filed on June 21, 2021).</w:t>
            </w:r>
          </w:p>
        </w:tc>
      </w:tr>
      <w:tr>
        <w:trPr>
          <w:trHeight w:val="229"/>
        </w:trPr>
        <w:tc>
          <w:tcPr>
            <w:tcW w:w="740" w:type="dxa"/>
            <w:vAlign w:val="bottom"/>
            <w:gridSpan w:val="4"/>
          </w:tcPr>
          <w:p>
            <w:pPr>
              <w:jc w:val="center"/>
              <w:ind w:left="231"/>
              <w:spacing w:after="0"/>
              <w:rPr>
                <w:rFonts w:ascii="Arial" w:cs="Arial" w:eastAsia="Arial" w:hAnsi="Arial"/>
                <w:sz w:val="18"/>
                <w:szCs w:val="18"/>
                <w:color w:val="0000EE"/>
                <w:w w:val="85"/>
              </w:rPr>
            </w:pPr>
            <w:hyperlink r:id="rId576">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4"/>
              </w:rPr>
              <w:t>List of Subsidiaries (incorporated by reference to Exhibit 21.1 to the Current Report on Form 8-K</w:t>
            </w:r>
          </w:p>
        </w:tc>
      </w:tr>
      <w:tr>
        <w:trPr>
          <w:trHeight w:val="237"/>
        </w:trPr>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filed on June 21, 2021).</w:t>
            </w: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r>
      <w:tr>
        <w:trPr>
          <w:trHeight w:val="229"/>
        </w:trPr>
        <w:tc>
          <w:tcPr>
            <w:tcW w:w="740" w:type="dxa"/>
            <w:vAlign w:val="bottom"/>
            <w:gridSpan w:val="4"/>
            <w:shd w:val="clear" w:color="auto" w:fill="CCEEFF"/>
          </w:tcPr>
          <w:p>
            <w:pPr>
              <w:jc w:val="center"/>
              <w:ind w:left="231"/>
              <w:spacing w:after="0"/>
              <w:rPr>
                <w:rFonts w:ascii="Arial" w:cs="Arial" w:eastAsia="Arial" w:hAnsi="Arial"/>
                <w:sz w:val="18"/>
                <w:szCs w:val="18"/>
                <w:color w:val="0000EE"/>
                <w:w w:val="85"/>
              </w:rPr>
            </w:pPr>
            <w:hyperlink w:anchor="page221">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Consent of Baker Tilly US, LLP</w:t>
            </w:r>
          </w:p>
        </w:tc>
      </w:tr>
      <w:tr>
        <w:trPr>
          <w:trHeight w:val="74"/>
        </w:trPr>
        <w:tc>
          <w:tcPr>
            <w:tcW w:w="3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3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7240" w:type="dxa"/>
            <w:vAlign w:val="bottom"/>
            <w:tcBorders>
              <w:top w:val="single" w:sz="8" w:color="CCEEFF"/>
            </w:tcBorders>
            <w:shd w:val="clear" w:color="auto" w:fill="CCEEFF"/>
          </w:tcPr>
          <w:p>
            <w:pPr>
              <w:spacing w:after="0"/>
              <w:rPr>
                <w:sz w:val="6"/>
                <w:szCs w:val="6"/>
                <w:color w:val="auto"/>
              </w:rPr>
            </w:pPr>
          </w:p>
        </w:tc>
      </w:tr>
      <w:tr>
        <w:trPr>
          <w:trHeight w:val="230"/>
        </w:trPr>
        <w:tc>
          <w:tcPr>
            <w:tcW w:w="740" w:type="dxa"/>
            <w:vAlign w:val="bottom"/>
            <w:gridSpan w:val="4"/>
          </w:tcPr>
          <w:p>
            <w:pPr>
              <w:jc w:val="center"/>
              <w:ind w:left="231"/>
              <w:spacing w:after="0"/>
              <w:rPr>
                <w:rFonts w:ascii="Arial" w:cs="Arial" w:eastAsia="Arial" w:hAnsi="Arial"/>
                <w:sz w:val="18"/>
                <w:szCs w:val="18"/>
                <w:color w:val="0000EE"/>
                <w:w w:val="85"/>
              </w:rPr>
            </w:pPr>
            <w:hyperlink w:anchor="page21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Consent of Cooley LLP (included in Exhibit 5.1)</w:t>
            </w:r>
          </w:p>
        </w:tc>
      </w:tr>
      <w:tr>
        <w:trPr>
          <w:trHeight w:val="74"/>
        </w:trPr>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40" w:type="dxa"/>
            <w:vAlign w:val="bottom"/>
          </w:tcPr>
          <w:p>
            <w:pPr>
              <w:spacing w:after="0"/>
              <w:rPr>
                <w:sz w:val="6"/>
                <w:szCs w:val="6"/>
                <w:color w:val="auto"/>
              </w:rPr>
            </w:pPr>
          </w:p>
        </w:tc>
      </w:tr>
      <w:tr>
        <w:trPr>
          <w:trHeight w:val="304"/>
        </w:trPr>
        <w:tc>
          <w:tcPr>
            <w:tcW w:w="11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5"/>
              </w:rPr>
              <w:t>101.INS</w:t>
            </w: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18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101.SCH</w:t>
            </w:r>
          </w:p>
        </w:tc>
        <w:tc>
          <w:tcPr>
            <w:tcW w:w="72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r>
      <w:tr>
        <w:trPr>
          <w:trHeight w:val="304"/>
        </w:trPr>
        <w:tc>
          <w:tcPr>
            <w:tcW w:w="11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4"/>
              </w:rPr>
              <w:t>101.CAL</w:t>
            </w: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180" w:type="dxa"/>
            <w:vAlign w:val="bottom"/>
            <w:gridSpan w:val="6"/>
          </w:tcPr>
          <w:p>
            <w:pPr>
              <w:jc w:val="center"/>
              <w:ind w:right="120"/>
              <w:spacing w:after="0"/>
              <w:rPr>
                <w:sz w:val="20"/>
                <w:szCs w:val="20"/>
                <w:color w:val="auto"/>
              </w:rPr>
            </w:pPr>
            <w:r>
              <w:rPr>
                <w:rFonts w:ascii="Arial" w:cs="Arial" w:eastAsia="Arial" w:hAnsi="Arial"/>
                <w:sz w:val="18"/>
                <w:szCs w:val="18"/>
                <w:color w:val="auto"/>
                <w:w w:val="92"/>
              </w:rPr>
              <w:t>101.DEF</w:t>
            </w:r>
          </w:p>
        </w:tc>
        <w:tc>
          <w:tcPr>
            <w:tcW w:w="72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
        </w:trPr>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40" w:type="dxa"/>
            <w:vAlign w:val="bottom"/>
          </w:tcPr>
          <w:p>
            <w:pPr>
              <w:spacing w:after="0"/>
              <w:rPr>
                <w:sz w:val="4"/>
                <w:szCs w:val="4"/>
                <w:color w:val="auto"/>
              </w:rPr>
            </w:pPr>
          </w:p>
        </w:tc>
      </w:tr>
      <w:tr>
        <w:trPr>
          <w:trHeight w:val="304"/>
        </w:trPr>
        <w:tc>
          <w:tcPr>
            <w:tcW w:w="1180" w:type="dxa"/>
            <w:vAlign w:val="bottom"/>
            <w:tcBorders>
              <w:bottom w:val="single" w:sz="8" w:color="CCEEFF"/>
            </w:tcBorders>
            <w:gridSpan w:val="6"/>
            <w:shd w:val="clear" w:color="auto" w:fill="CCEEFF"/>
          </w:tcPr>
          <w:p>
            <w:pPr>
              <w:jc w:val="center"/>
              <w:ind w:right="120"/>
              <w:spacing w:after="0"/>
              <w:rPr>
                <w:sz w:val="20"/>
                <w:szCs w:val="20"/>
                <w:color w:val="auto"/>
              </w:rPr>
            </w:pPr>
            <w:r>
              <w:rPr>
                <w:rFonts w:ascii="Arial" w:cs="Arial" w:eastAsia="Arial" w:hAnsi="Arial"/>
                <w:sz w:val="18"/>
                <w:szCs w:val="18"/>
                <w:color w:val="auto"/>
                <w:w w:val="95"/>
              </w:rPr>
              <w:t>101.LAB</w:t>
            </w:r>
          </w:p>
        </w:tc>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180" w:type="dxa"/>
            <w:vAlign w:val="bottom"/>
            <w:gridSpan w:val="6"/>
          </w:tcPr>
          <w:p>
            <w:pPr>
              <w:jc w:val="center"/>
              <w:ind w:right="120"/>
              <w:spacing w:after="0"/>
              <w:rPr>
                <w:sz w:val="20"/>
                <w:szCs w:val="20"/>
                <w:color w:val="auto"/>
              </w:rPr>
            </w:pPr>
            <w:r>
              <w:rPr>
                <w:rFonts w:ascii="Arial" w:cs="Arial" w:eastAsia="Arial" w:hAnsi="Arial"/>
                <w:sz w:val="18"/>
                <w:szCs w:val="18"/>
                <w:color w:val="auto"/>
                <w:w w:val="91"/>
              </w:rPr>
              <w:t>101.PRE</w:t>
            </w:r>
          </w:p>
        </w:tc>
        <w:tc>
          <w:tcPr>
            <w:tcW w:w="72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-3274060</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5" w:lineRule="exact"/>
        <w:rPr>
          <w:sz w:val="20"/>
          <w:szCs w:val="20"/>
          <w:color w:val="auto"/>
        </w:rPr>
      </w:pPr>
    </w:p>
    <w:p>
      <w:pPr>
        <w:ind w:left="640" w:right="299" w:hanging="348"/>
        <w:spacing w:after="0" w:line="253" w:lineRule="auto"/>
        <w:tabs>
          <w:tab w:leader="none" w:pos="640" w:val="left"/>
        </w:tabs>
        <w:numPr>
          <w:ilvl w:val="0"/>
          <w:numId w:val="129"/>
        </w:numPr>
        <w:rPr>
          <w:rFonts w:ascii="Arial" w:cs="Arial" w:eastAsia="Arial" w:hAnsi="Arial"/>
          <w:sz w:val="14"/>
          <w:szCs w:val="14"/>
          <w:color w:val="auto"/>
        </w:rPr>
      </w:pPr>
      <w:r>
        <w:rPr>
          <w:rFonts w:ascii="Arial" w:cs="Arial" w:eastAsia="Arial" w:hAnsi="Arial"/>
          <w:sz w:val="14"/>
          <w:szCs w:val="14"/>
          <w:color w:val="auto"/>
        </w:rPr>
        <w:t>The schedules and exhibits to this agreement have been omitted pursuant to Item 601(b)(2) of Regulation S-K. A copy of any omitted schedule and/or exhibit will be furnished to the SEC upon request.</w:t>
      </w:r>
    </w:p>
    <w:p>
      <w:pPr>
        <w:spacing w:after="0" w:line="12" w:lineRule="exact"/>
        <w:rPr>
          <w:sz w:val="20"/>
          <w:szCs w:val="20"/>
          <w:color w:val="auto"/>
        </w:rPr>
      </w:pPr>
    </w:p>
    <w:p>
      <w:pPr>
        <w:ind w:left="640" w:hanging="348"/>
        <w:spacing w:after="0"/>
        <w:tabs>
          <w:tab w:leader="none" w:pos="64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20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00" w:hanging="348"/>
        <w:spacing w:after="0"/>
        <w:tabs>
          <w:tab w:leader="none" w:pos="100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720" w:hanging="348"/>
        <w:spacing w:after="0"/>
        <w:tabs>
          <w:tab w:leader="none" w:pos="172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720" w:right="299" w:hanging="348"/>
        <w:spacing w:after="0" w:line="288" w:lineRule="auto"/>
        <w:tabs>
          <w:tab w:leader="none" w:pos="1720" w:val="left"/>
        </w:tabs>
        <w:numPr>
          <w:ilvl w:val="2"/>
          <w:numId w:val="1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0" w:lineRule="exact"/>
        <w:rPr>
          <w:rFonts w:ascii="Arial" w:cs="Arial" w:eastAsia="Arial" w:hAnsi="Arial"/>
          <w:sz w:val="16"/>
          <w:szCs w:val="16"/>
          <w:color w:val="auto"/>
        </w:rPr>
      </w:pPr>
    </w:p>
    <w:p>
      <w:pPr>
        <w:jc w:val="both"/>
        <w:ind w:left="1720" w:right="299" w:hanging="348"/>
        <w:spacing w:after="0" w:line="263" w:lineRule="auto"/>
        <w:tabs>
          <w:tab w:leader="none" w:pos="172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740" w:right="299"/>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of this section do not apply</w:t>
      </w:r>
      <w:r>
        <w:rPr>
          <w:rFonts w:ascii="Arial" w:cs="Arial" w:eastAsia="Arial" w:hAnsi="Arial"/>
          <w:sz w:val="16"/>
          <w:szCs w:val="16"/>
          <w:i w:val="1"/>
          <w:iCs w:val="1"/>
          <w:color w:val="auto"/>
        </w:rPr>
        <w:t xml:space="preserve"> </w:t>
      </w:r>
      <w:r>
        <w:rPr>
          <w:rFonts w:ascii="Arial" w:cs="Arial" w:eastAsia="Arial" w:hAnsi="Arial"/>
          <w:sz w:val="16"/>
          <w:szCs w:val="16"/>
          <w:color w:val="auto"/>
        </w:rPr>
        <w:t>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56"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4" w:name="page215"/>
    <w:bookmarkEnd w:id="214"/>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360" w:right="319" w:hanging="348"/>
        <w:spacing w:after="0" w:line="277" w:lineRule="auto"/>
        <w:tabs>
          <w:tab w:leader="none" w:pos="13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720" w:right="299" w:hanging="348"/>
        <w:spacing w:after="0" w:line="263" w:lineRule="auto"/>
        <w:tabs>
          <w:tab w:leader="none" w:pos="1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720" w:right="299" w:hanging="348"/>
        <w:spacing w:after="0" w:line="267" w:lineRule="auto"/>
        <w:tabs>
          <w:tab w:leader="none" w:pos="1720" w:val="left"/>
        </w:tabs>
        <w:numPr>
          <w:ilvl w:val="2"/>
          <w:numId w:val="13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83" w:lineRule="exact"/>
        <w:rPr>
          <w:rFonts w:ascii="Arial" w:cs="Arial" w:eastAsia="Arial" w:hAnsi="Arial"/>
          <w:sz w:val="17"/>
          <w:szCs w:val="17"/>
          <w:color w:val="auto"/>
        </w:rPr>
      </w:pPr>
    </w:p>
    <w:p>
      <w:pPr>
        <w:jc w:val="both"/>
        <w:ind w:left="1360" w:right="319" w:hanging="348"/>
        <w:spacing w:after="0" w:line="254" w:lineRule="auto"/>
        <w:tabs>
          <w:tab w:leader="none" w:pos="136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1720" w:right="319" w:hanging="348"/>
        <w:spacing w:after="0" w:line="277" w:lineRule="auto"/>
        <w:tabs>
          <w:tab w:leader="none" w:pos="1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720" w:right="319" w:hanging="348"/>
        <w:spacing w:after="0" w:line="277" w:lineRule="auto"/>
        <w:tabs>
          <w:tab w:leader="none" w:pos="1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720" w:right="299" w:hanging="348"/>
        <w:spacing w:after="0" w:line="263" w:lineRule="auto"/>
        <w:tabs>
          <w:tab w:leader="none" w:pos="1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720" w:right="299" w:hanging="348"/>
        <w:spacing w:after="0" w:line="277" w:lineRule="auto"/>
        <w:tabs>
          <w:tab w:leader="none" w:pos="172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5" w:name="page216"/>
    <w:bookmarkEnd w:id="215"/>
    <w:p>
      <w:pPr>
        <w:ind w:left="3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July 8, 2021.</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WM TECHNOLOGY, INC.</w:t>
      </w:r>
    </w:p>
    <w:p>
      <w:pPr>
        <w:spacing w:after="0" w:line="33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48895</wp:posOffset>
            </wp:positionV>
            <wp:extent cx="27686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11"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Name:</w:t>
        <w:tab/>
        <w:t>Christopher Beals</w:t>
      </w:r>
    </w:p>
    <w:p>
      <w:pPr>
        <w:spacing w:after="0" w:line="63" w:lineRule="exact"/>
        <w:rPr>
          <w:sz w:val="20"/>
          <w:szCs w:val="20"/>
          <w:color w:val="auto"/>
        </w:rPr>
      </w:pPr>
    </w:p>
    <w:p>
      <w:pPr>
        <w:ind w:left="4360"/>
        <w:spacing w:after="0"/>
        <w:tabs>
          <w:tab w:leader="none" w:pos="5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Christopher Beals and Arden Lee,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any registration statement relating to the offering covered by this Registration Statement and filed pursuant to Rule 462(b) under the Securities Act of 1933,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for all intents and purposes as he or she might or could do in person, hereby ratifying and confirming all that each of said attorneys-in-fact and agents, or his or her substitute or substitutes may lawfully do or cause to be done by virtue hereof.</w:t>
      </w:r>
    </w:p>
    <w:p>
      <w:pPr>
        <w:spacing w:after="0" w:line="6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300" w:type="dxa"/>
            <w:vAlign w:val="bottom"/>
          </w:tcPr>
          <w:p>
            <w:pPr>
              <w:spacing w:after="0"/>
              <w:rPr>
                <w:sz w:val="16"/>
                <w:szCs w:val="16"/>
                <w:color w:val="auto"/>
              </w:rPr>
            </w:pPr>
          </w:p>
        </w:tc>
        <w:tc>
          <w:tcPr>
            <w:tcW w:w="4220" w:type="dxa"/>
            <w:vAlign w:val="bottom"/>
            <w:gridSpan w:val="2"/>
          </w:tcPr>
          <w:p>
            <w:pPr>
              <w:ind w:left="1820"/>
              <w:spacing w:after="0"/>
              <w:rPr>
                <w:sz w:val="20"/>
                <w:szCs w:val="20"/>
                <w:color w:val="auto"/>
              </w:rPr>
            </w:pPr>
            <w:r>
              <w:rPr>
                <w:rFonts w:ascii="Arial" w:cs="Arial" w:eastAsia="Arial" w:hAnsi="Arial"/>
                <w:sz w:val="14"/>
                <w:szCs w:val="14"/>
                <w:b w:val="1"/>
                <w:bCs w:val="1"/>
                <w:color w:val="auto"/>
              </w:rPr>
              <w:t>Title</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39"/>
        </w:trPr>
        <w:tc>
          <w:tcPr>
            <w:tcW w:w="21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519"/>
        </w:trPr>
        <w:tc>
          <w:tcPr>
            <w:tcW w:w="2160" w:type="dxa"/>
            <w:vAlign w:val="bottom"/>
          </w:tcPr>
          <w:p>
            <w:pPr>
              <w:jc w:val="center"/>
              <w:spacing w:after="0"/>
              <w:rPr>
                <w:sz w:val="20"/>
                <w:szCs w:val="20"/>
                <w:color w:val="auto"/>
              </w:rPr>
            </w:pPr>
            <w:r>
              <w:rPr>
                <w:rFonts w:ascii="Arial" w:cs="Arial" w:eastAsia="Arial" w:hAnsi="Arial"/>
                <w:sz w:val="18"/>
                <w:szCs w:val="18"/>
                <w:color w:val="auto"/>
                <w:w w:val="90"/>
              </w:rPr>
              <w:t>/s/ Christopher Beals</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68"/>
        </w:trPr>
        <w:tc>
          <w:tcPr>
            <w:tcW w:w="2160" w:type="dxa"/>
            <w:vAlign w:val="bottom"/>
            <w:tcBorders>
              <w:bottom w:val="single" w:sz="8" w:color="auto"/>
            </w:tcBorders>
          </w:tcPr>
          <w:p>
            <w:pPr>
              <w:spacing w:after="0"/>
              <w:rPr>
                <w:sz w:val="5"/>
                <w:szCs w:val="5"/>
                <w:color w:val="auto"/>
              </w:rPr>
            </w:pPr>
          </w:p>
        </w:tc>
        <w:tc>
          <w:tcPr>
            <w:tcW w:w="452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(Principal Executive Officer)</w:t>
            </w: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89"/>
              </w:rPr>
              <w:t>Christopher Beals</w:t>
            </w:r>
          </w:p>
        </w:tc>
        <w:tc>
          <w:tcPr>
            <w:tcW w:w="452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6"/>
        </w:trPr>
        <w:tc>
          <w:tcPr>
            <w:tcW w:w="2160" w:type="dxa"/>
            <w:vAlign w:val="bottom"/>
          </w:tcPr>
          <w:p>
            <w:pPr>
              <w:jc w:val="center"/>
              <w:spacing w:after="0"/>
              <w:rPr>
                <w:sz w:val="20"/>
                <w:szCs w:val="20"/>
                <w:color w:val="auto"/>
              </w:rPr>
            </w:pPr>
            <w:r>
              <w:rPr>
                <w:rFonts w:ascii="Arial" w:cs="Arial" w:eastAsia="Arial" w:hAnsi="Arial"/>
                <w:sz w:val="18"/>
                <w:szCs w:val="18"/>
                <w:color w:val="auto"/>
                <w:w w:val="91"/>
              </w:rPr>
              <w:t>/s/ Arden Lee</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122"/>
        </w:trPr>
        <w:tc>
          <w:tcPr>
            <w:tcW w:w="216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300"/>
              <w:spacing w:after="0"/>
              <w:rPr>
                <w:sz w:val="20"/>
                <w:szCs w:val="20"/>
                <w:color w:val="auto"/>
              </w:rPr>
            </w:pPr>
            <w:r>
              <w:rPr>
                <w:rFonts w:ascii="Arial" w:cs="Arial" w:eastAsia="Arial" w:hAnsi="Arial"/>
                <w:sz w:val="18"/>
                <w:szCs w:val="18"/>
                <w:color w:val="auto"/>
              </w:rPr>
              <w:t>(Principal Financial Officer and Principal Accounting</w:t>
            </w: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1"/>
              </w:rPr>
              <w:t>Arden Lee</w:t>
            </w:r>
          </w:p>
        </w:tc>
        <w:tc>
          <w:tcPr>
            <w:tcW w:w="4520" w:type="dxa"/>
            <w:vAlign w:val="bottom"/>
            <w:gridSpan w:val="3"/>
            <w:vMerge w:val="continue"/>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20"/>
                <w:szCs w:val="20"/>
                <w:color w:val="auto"/>
              </w:rPr>
            </w:pP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Officer)</w:t>
            </w: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2160" w:type="dxa"/>
            <w:vAlign w:val="bottom"/>
          </w:tcPr>
          <w:p>
            <w:pPr>
              <w:jc w:val="center"/>
              <w:spacing w:after="0"/>
              <w:rPr>
                <w:sz w:val="20"/>
                <w:szCs w:val="20"/>
                <w:color w:val="auto"/>
              </w:rPr>
            </w:pPr>
            <w:r>
              <w:rPr>
                <w:rFonts w:ascii="Arial" w:cs="Arial" w:eastAsia="Arial" w:hAnsi="Arial"/>
                <w:sz w:val="18"/>
                <w:szCs w:val="18"/>
                <w:color w:val="auto"/>
                <w:w w:val="94"/>
              </w:rPr>
              <w:t>/s/ Tony Aquila</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60" w:type="dxa"/>
            <w:vAlign w:val="bottom"/>
          </w:tcPr>
          <w:p>
            <w:pPr>
              <w:jc w:val="center"/>
              <w:spacing w:after="0"/>
              <w:rPr>
                <w:sz w:val="20"/>
                <w:szCs w:val="20"/>
                <w:color w:val="auto"/>
              </w:rPr>
            </w:pPr>
            <w:r>
              <w:rPr>
                <w:rFonts w:ascii="Arial" w:cs="Arial" w:eastAsia="Arial" w:hAnsi="Arial"/>
                <w:sz w:val="18"/>
                <w:szCs w:val="18"/>
                <w:color w:val="auto"/>
                <w:w w:val="94"/>
              </w:rPr>
              <w:t>Tony Aquila</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160" w:type="dxa"/>
            <w:vAlign w:val="bottom"/>
          </w:tcPr>
          <w:p>
            <w:pPr>
              <w:jc w:val="center"/>
              <w:spacing w:after="0"/>
              <w:rPr>
                <w:sz w:val="20"/>
                <w:szCs w:val="20"/>
                <w:color w:val="auto"/>
              </w:rPr>
            </w:pPr>
            <w:r>
              <w:rPr>
                <w:rFonts w:ascii="Arial" w:cs="Arial" w:eastAsia="Arial" w:hAnsi="Arial"/>
                <w:sz w:val="18"/>
                <w:szCs w:val="18"/>
                <w:color w:val="auto"/>
                <w:w w:val="90"/>
              </w:rPr>
              <w:t>/s/ Douglas Francis</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60" w:type="dxa"/>
            <w:vAlign w:val="bottom"/>
          </w:tcPr>
          <w:p>
            <w:pPr>
              <w:jc w:val="center"/>
              <w:spacing w:after="0"/>
              <w:rPr>
                <w:sz w:val="20"/>
                <w:szCs w:val="20"/>
                <w:color w:val="auto"/>
              </w:rPr>
            </w:pPr>
            <w:r>
              <w:rPr>
                <w:rFonts w:ascii="Arial" w:cs="Arial" w:eastAsia="Arial" w:hAnsi="Arial"/>
                <w:sz w:val="18"/>
                <w:szCs w:val="18"/>
                <w:color w:val="auto"/>
                <w:w w:val="89"/>
              </w:rPr>
              <w:t>Douglas Francis</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160" w:type="dxa"/>
            <w:vAlign w:val="bottom"/>
          </w:tcPr>
          <w:p>
            <w:pPr>
              <w:jc w:val="center"/>
              <w:spacing w:after="0"/>
              <w:rPr>
                <w:sz w:val="20"/>
                <w:szCs w:val="20"/>
                <w:color w:val="auto"/>
              </w:rPr>
            </w:pPr>
            <w:r>
              <w:rPr>
                <w:rFonts w:ascii="Arial" w:cs="Arial" w:eastAsia="Arial" w:hAnsi="Arial"/>
                <w:sz w:val="18"/>
                <w:szCs w:val="18"/>
                <w:color w:val="auto"/>
                <w:w w:val="87"/>
              </w:rPr>
              <w:t>/s/ Brenda Freeman</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60" w:type="dxa"/>
            <w:vAlign w:val="bottom"/>
          </w:tcPr>
          <w:p>
            <w:pPr>
              <w:jc w:val="center"/>
              <w:spacing w:after="0"/>
              <w:rPr>
                <w:sz w:val="20"/>
                <w:szCs w:val="20"/>
                <w:color w:val="auto"/>
              </w:rPr>
            </w:pPr>
            <w:r>
              <w:rPr>
                <w:rFonts w:ascii="Arial" w:cs="Arial" w:eastAsia="Arial" w:hAnsi="Arial"/>
                <w:sz w:val="18"/>
                <w:szCs w:val="18"/>
                <w:color w:val="auto"/>
                <w:w w:val="88"/>
              </w:rPr>
              <w:t>Brenda Freeman</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160" w:type="dxa"/>
            <w:vAlign w:val="bottom"/>
          </w:tcPr>
          <w:p>
            <w:pPr>
              <w:jc w:val="center"/>
              <w:spacing w:after="0"/>
              <w:rPr>
                <w:sz w:val="20"/>
                <w:szCs w:val="20"/>
                <w:color w:val="auto"/>
              </w:rPr>
            </w:pPr>
            <w:r>
              <w:rPr>
                <w:rFonts w:ascii="Arial" w:cs="Arial" w:eastAsia="Arial" w:hAnsi="Arial"/>
                <w:sz w:val="18"/>
                <w:szCs w:val="18"/>
                <w:color w:val="auto"/>
                <w:w w:val="89"/>
              </w:rPr>
              <w:t>/s/ Olga Gonzalez</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160" w:type="dxa"/>
            <w:vAlign w:val="bottom"/>
          </w:tcPr>
          <w:p>
            <w:pPr>
              <w:jc w:val="center"/>
              <w:spacing w:after="0"/>
              <w:rPr>
                <w:sz w:val="20"/>
                <w:szCs w:val="20"/>
                <w:color w:val="auto"/>
              </w:rPr>
            </w:pPr>
            <w:r>
              <w:rPr>
                <w:rFonts w:ascii="Arial" w:cs="Arial" w:eastAsia="Arial" w:hAnsi="Arial"/>
                <w:sz w:val="18"/>
                <w:szCs w:val="18"/>
                <w:color w:val="auto"/>
                <w:w w:val="90"/>
              </w:rPr>
              <w:t>Olga Gonzalez</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160" w:type="dxa"/>
            <w:vAlign w:val="bottom"/>
          </w:tcPr>
          <w:p>
            <w:pPr>
              <w:jc w:val="center"/>
              <w:spacing w:after="0"/>
              <w:rPr>
                <w:sz w:val="20"/>
                <w:szCs w:val="20"/>
                <w:color w:val="auto"/>
              </w:rPr>
            </w:pPr>
            <w:r>
              <w:rPr>
                <w:rFonts w:ascii="Arial" w:cs="Arial" w:eastAsia="Arial" w:hAnsi="Arial"/>
                <w:sz w:val="18"/>
                <w:szCs w:val="18"/>
                <w:color w:val="auto"/>
                <w:w w:val="90"/>
              </w:rPr>
              <w:t>/s/ Scott Gordon</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60" w:type="dxa"/>
            <w:vAlign w:val="bottom"/>
          </w:tcPr>
          <w:p>
            <w:pPr>
              <w:jc w:val="center"/>
              <w:spacing w:after="0"/>
              <w:rPr>
                <w:sz w:val="20"/>
                <w:szCs w:val="20"/>
                <w:color w:val="auto"/>
              </w:rPr>
            </w:pPr>
            <w:r>
              <w:rPr>
                <w:rFonts w:ascii="Arial" w:cs="Arial" w:eastAsia="Arial" w:hAnsi="Arial"/>
                <w:sz w:val="18"/>
                <w:szCs w:val="18"/>
                <w:color w:val="auto"/>
                <w:w w:val="90"/>
              </w:rPr>
              <w:t>Scott Gordon</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160" w:type="dxa"/>
            <w:vAlign w:val="bottom"/>
          </w:tcPr>
          <w:p>
            <w:pPr>
              <w:jc w:val="center"/>
              <w:spacing w:after="0"/>
              <w:rPr>
                <w:sz w:val="20"/>
                <w:szCs w:val="20"/>
                <w:color w:val="auto"/>
              </w:rPr>
            </w:pPr>
            <w:r>
              <w:rPr>
                <w:rFonts w:ascii="Arial" w:cs="Arial" w:eastAsia="Arial" w:hAnsi="Arial"/>
                <w:sz w:val="18"/>
                <w:szCs w:val="18"/>
                <w:color w:val="auto"/>
                <w:w w:val="92"/>
              </w:rPr>
              <w:t>/s/ Justin Hartfield</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60" w:type="dxa"/>
            <w:vAlign w:val="bottom"/>
          </w:tcPr>
          <w:p>
            <w:pPr>
              <w:jc w:val="center"/>
              <w:spacing w:after="0"/>
              <w:rPr>
                <w:sz w:val="20"/>
                <w:szCs w:val="20"/>
                <w:color w:val="auto"/>
              </w:rPr>
            </w:pPr>
            <w:r>
              <w:rPr>
                <w:rFonts w:ascii="Arial" w:cs="Arial" w:eastAsia="Arial" w:hAnsi="Arial"/>
                <w:sz w:val="18"/>
                <w:szCs w:val="18"/>
                <w:color w:val="auto"/>
                <w:w w:val="94"/>
              </w:rPr>
              <w:t>Justin Hartfield</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2160" w:type="dxa"/>
            <w:vAlign w:val="bottom"/>
          </w:tcPr>
          <w:p>
            <w:pPr>
              <w:jc w:val="center"/>
              <w:spacing w:after="0"/>
              <w:rPr>
                <w:sz w:val="20"/>
                <w:szCs w:val="20"/>
                <w:color w:val="auto"/>
              </w:rPr>
            </w:pPr>
            <w:r>
              <w:rPr>
                <w:rFonts w:ascii="Arial" w:cs="Arial" w:eastAsia="Arial" w:hAnsi="Arial"/>
                <w:sz w:val="18"/>
                <w:szCs w:val="18"/>
                <w:color w:val="auto"/>
                <w:w w:val="87"/>
              </w:rPr>
              <w:t>/s/ Fiona Tan</w:t>
            </w:r>
          </w:p>
        </w:tc>
        <w:tc>
          <w:tcPr>
            <w:tcW w:w="4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0"/>
              </w:rPr>
              <w:t>July 8, 2021</w:t>
            </w:r>
          </w:p>
        </w:tc>
        <w:tc>
          <w:tcPr>
            <w:tcW w:w="0" w:type="dxa"/>
            <w:vAlign w:val="bottom"/>
          </w:tcPr>
          <w:p>
            <w:pPr>
              <w:spacing w:after="0"/>
              <w:rPr>
                <w:sz w:val="1"/>
                <w:szCs w:val="1"/>
                <w:color w:val="auto"/>
              </w:rPr>
            </w:pPr>
          </w:p>
        </w:tc>
      </w:tr>
      <w:tr>
        <w:trPr>
          <w:trHeight w:val="54"/>
        </w:trPr>
        <w:tc>
          <w:tcPr>
            <w:tcW w:w="2160" w:type="dxa"/>
            <w:vAlign w:val="bottom"/>
            <w:tcBorders>
              <w:bottom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39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160" w:type="dxa"/>
            <w:vAlign w:val="bottom"/>
          </w:tcPr>
          <w:p>
            <w:pPr>
              <w:jc w:val="center"/>
              <w:spacing w:after="0"/>
              <w:rPr>
                <w:sz w:val="20"/>
                <w:szCs w:val="20"/>
                <w:color w:val="auto"/>
              </w:rPr>
            </w:pPr>
            <w:r>
              <w:rPr>
                <w:rFonts w:ascii="Arial" w:cs="Arial" w:eastAsia="Arial" w:hAnsi="Arial"/>
                <w:sz w:val="18"/>
                <w:szCs w:val="18"/>
                <w:color w:val="auto"/>
                <w:w w:val="88"/>
              </w:rPr>
              <w:t>Fiona Tan</w:t>
            </w:r>
          </w:p>
        </w:tc>
        <w:tc>
          <w:tcPr>
            <w:tcW w:w="3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5"/>
        </w:trPr>
        <w:tc>
          <w:tcPr>
            <w:tcW w:w="2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gridSpan w:val="2"/>
          </w:tcPr>
          <w:p>
            <w:pPr>
              <w:ind w:left="1600"/>
              <w:spacing w:after="0"/>
              <w:rPr>
                <w:sz w:val="20"/>
                <w:szCs w:val="20"/>
                <w:color w:val="auto"/>
              </w:rPr>
            </w:pPr>
            <w:r>
              <w:rPr>
                <w:rFonts w:ascii="Arial" w:cs="Arial" w:eastAsia="Arial" w:hAnsi="Arial"/>
                <w:sz w:val="18"/>
                <w:szCs w:val="18"/>
                <w:color w:val="auto"/>
              </w:rPr>
              <w:t>II-6</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5" w:right="1440" w:bottom="744"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148715" cy="3683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3">
                      <a:extLst>
                        <a:ext uri="{28A0092B-C50C-407E-A947-70E740481C1C}"/>
                      </a:extLst>
                    </a:blip>
                    <a:srcRect/>
                    <a:stretch>
                      <a:fillRect/>
                    </a:stretch>
                  </pic:blipFill>
                  <pic:spPr bwMode="auto">
                    <a:xfrm>
                      <a:off x="0" y="0"/>
                      <a:ext cx="114871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David G. Peinsipp</w:t>
      </w:r>
    </w:p>
    <w:p>
      <w:pPr>
        <w:spacing w:after="0" w:line="238" w:lineRule="auto"/>
        <w:rPr>
          <w:sz w:val="20"/>
          <w:szCs w:val="20"/>
          <w:color w:val="auto"/>
        </w:rPr>
      </w:pPr>
      <w:r>
        <w:rPr>
          <w:rFonts w:ascii="Arial" w:cs="Arial" w:eastAsia="Arial" w:hAnsi="Arial"/>
          <w:sz w:val="22"/>
          <w:szCs w:val="22"/>
          <w:color w:val="auto"/>
        </w:rPr>
        <w:t>+1 415 693 2177</w:t>
      </w:r>
    </w:p>
    <w:p>
      <w:pPr>
        <w:spacing w:after="0"/>
        <w:rPr>
          <w:sz w:val="20"/>
          <w:szCs w:val="20"/>
          <w:color w:val="auto"/>
        </w:rPr>
      </w:pPr>
      <w:r>
        <w:rPr>
          <w:rFonts w:ascii="Arial" w:cs="Arial" w:eastAsia="Arial" w:hAnsi="Arial"/>
          <w:sz w:val="22"/>
          <w:szCs w:val="22"/>
          <w:color w:val="auto"/>
        </w:rPr>
        <w:t>dpeinsipp@cooley.com</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July 8, 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WM Technology, Inc.</w:t>
      </w:r>
    </w:p>
    <w:p>
      <w:pPr>
        <w:spacing w:after="0" w:line="8" w:lineRule="exact"/>
        <w:rPr>
          <w:sz w:val="20"/>
          <w:szCs w:val="20"/>
          <w:color w:val="auto"/>
        </w:rPr>
      </w:pPr>
    </w:p>
    <w:p>
      <w:pPr>
        <w:ind w:right="9720" w:firstLine="8"/>
        <w:spacing w:after="0" w:line="308" w:lineRule="auto"/>
        <w:tabs>
          <w:tab w:leader="none" w:pos="27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Discovery Irvine, CA 92618</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We have acted as counsel to WM Technology, Inc., a Delaware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you have requested our opinion in connection with the filing of a Registration Statement on Form S-1 (the “</w:t>
      </w:r>
      <w:r>
        <w:rPr>
          <w:rFonts w:ascii="Arial" w:cs="Arial" w:eastAsia="Arial" w:hAnsi="Arial"/>
          <w:sz w:val="19"/>
          <w:szCs w:val="19"/>
          <w:b w:val="1"/>
          <w:bCs w:val="1"/>
          <w:i w:val="1"/>
          <w:iCs w:val="1"/>
          <w:color w:val="auto"/>
        </w:rPr>
        <w:t>Registration Statement</w:t>
      </w:r>
      <w:r>
        <w:rPr>
          <w:rFonts w:ascii="Arial" w:cs="Arial" w:eastAsia="Arial" w:hAnsi="Arial"/>
          <w:sz w:val="19"/>
          <w:szCs w:val="19"/>
          <w:color w:val="auto"/>
        </w:rPr>
        <w:t>”) with the Securities and Exchange Commission, including a related prospectus included in the Registration Statement (the “</w:t>
      </w:r>
      <w:r>
        <w:rPr>
          <w:rFonts w:ascii="Arial" w:cs="Arial" w:eastAsia="Arial" w:hAnsi="Arial"/>
          <w:sz w:val="19"/>
          <w:szCs w:val="19"/>
          <w:b w:val="1"/>
          <w:bCs w:val="1"/>
          <w:i w:val="1"/>
          <w:iCs w:val="1"/>
          <w:color w:val="auto"/>
        </w:rPr>
        <w:t>Prospectus</w:t>
      </w:r>
      <w:r>
        <w:rPr>
          <w:rFonts w:ascii="Arial" w:cs="Arial" w:eastAsia="Arial" w:hAnsi="Arial"/>
          <w:sz w:val="19"/>
          <w:szCs w:val="19"/>
          <w:color w:val="auto"/>
        </w:rPr>
        <w:t>”), covering the registration of (a) the issuance of shares of Class A common stock, $0.0001 par value per share (“</w:t>
      </w:r>
      <w:r>
        <w:rPr>
          <w:rFonts w:ascii="Arial" w:cs="Arial" w:eastAsia="Arial" w:hAnsi="Arial"/>
          <w:sz w:val="19"/>
          <w:szCs w:val="19"/>
          <w:b w:val="1"/>
          <w:bCs w:val="1"/>
          <w:i w:val="1"/>
          <w:iCs w:val="1"/>
          <w:color w:val="auto"/>
        </w:rPr>
        <w:t>Class A Common Stock</w:t>
      </w:r>
      <w:r>
        <w:rPr>
          <w:rFonts w:ascii="Arial" w:cs="Arial" w:eastAsia="Arial" w:hAnsi="Arial"/>
          <w:sz w:val="19"/>
          <w:szCs w:val="19"/>
          <w:color w:val="auto"/>
        </w:rPr>
        <w:t>”), of the Company upon the exercise of warrants issued by the Company, and (b) the resale of Class A Common Stock and warrants issued by the Company held by certain stockholders and holders of outstanding warrants of the Company, as follows:</w:t>
      </w:r>
    </w:p>
    <w:p>
      <w:pPr>
        <w:spacing w:after="0" w:line="177" w:lineRule="exact"/>
        <w:rPr>
          <w:sz w:val="20"/>
          <w:szCs w:val="20"/>
          <w:color w:val="auto"/>
        </w:rPr>
      </w:pPr>
    </w:p>
    <w:p>
      <w:pPr>
        <w:ind w:firstLine="656"/>
        <w:spacing w:after="0" w:line="250" w:lineRule="auto"/>
        <w:tabs>
          <w:tab w:leader="none" w:pos="1513"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issuance of 7,000,000 shares (the “</w:t>
      </w:r>
      <w:r>
        <w:rPr>
          <w:rFonts w:ascii="Arial" w:cs="Arial" w:eastAsia="Arial" w:hAnsi="Arial"/>
          <w:sz w:val="22"/>
          <w:szCs w:val="22"/>
          <w:b w:val="1"/>
          <w:bCs w:val="1"/>
          <w:i w:val="1"/>
          <w:iCs w:val="1"/>
          <w:color w:val="auto"/>
        </w:rPr>
        <w:t>Private Warrant Shares</w:t>
      </w:r>
      <w:r>
        <w:rPr>
          <w:rFonts w:ascii="Arial" w:cs="Arial" w:eastAsia="Arial" w:hAnsi="Arial"/>
          <w:sz w:val="22"/>
          <w:szCs w:val="22"/>
          <w:color w:val="auto"/>
        </w:rPr>
        <w:t>”) of Class A Common Stock issuable upon the exercise of certain outstanding warrants (the “</w:t>
      </w:r>
      <w:r>
        <w:rPr>
          <w:rFonts w:ascii="Arial" w:cs="Arial" w:eastAsia="Arial" w:hAnsi="Arial"/>
          <w:sz w:val="22"/>
          <w:szCs w:val="22"/>
          <w:b w:val="1"/>
          <w:bCs w:val="1"/>
          <w:i w:val="1"/>
          <w:iCs w:val="1"/>
          <w:color w:val="auto"/>
        </w:rPr>
        <w:t>Private Warrants</w:t>
      </w:r>
      <w:r>
        <w:rPr>
          <w:rFonts w:ascii="Arial" w:cs="Arial" w:eastAsia="Arial" w:hAnsi="Arial"/>
          <w:sz w:val="22"/>
          <w:szCs w:val="22"/>
          <w:color w:val="auto"/>
        </w:rPr>
        <w:t>”) by the holders thereof;</w:t>
      </w:r>
    </w:p>
    <w:p>
      <w:pPr>
        <w:spacing w:after="0" w:line="201" w:lineRule="exact"/>
        <w:rPr>
          <w:rFonts w:ascii="Arial" w:cs="Arial" w:eastAsia="Arial" w:hAnsi="Arial"/>
          <w:sz w:val="22"/>
          <w:szCs w:val="22"/>
          <w:color w:val="auto"/>
        </w:rPr>
      </w:pPr>
    </w:p>
    <w:p>
      <w:pPr>
        <w:jc w:val="both"/>
        <w:ind w:firstLine="656"/>
        <w:spacing w:after="0" w:line="257" w:lineRule="auto"/>
        <w:tabs>
          <w:tab w:leader="none" w:pos="1519"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issuance of 12,499,993 shares (the “</w:t>
      </w:r>
      <w:r>
        <w:rPr>
          <w:rFonts w:ascii="Arial" w:cs="Arial" w:eastAsia="Arial" w:hAnsi="Arial"/>
          <w:sz w:val="21"/>
          <w:szCs w:val="21"/>
          <w:b w:val="1"/>
          <w:bCs w:val="1"/>
          <w:i w:val="1"/>
          <w:iCs w:val="1"/>
          <w:color w:val="auto"/>
        </w:rPr>
        <w:t>Public Warrant Shares</w:t>
      </w:r>
      <w:r>
        <w:rPr>
          <w:rFonts w:ascii="Arial" w:cs="Arial" w:eastAsia="Arial" w:hAnsi="Arial"/>
          <w:sz w:val="21"/>
          <w:szCs w:val="21"/>
          <w:color w:val="auto"/>
        </w:rPr>
        <w:t>” and, together with the Private Warrant Shares, the “</w:t>
      </w:r>
      <w:r>
        <w:rPr>
          <w:rFonts w:ascii="Arial" w:cs="Arial" w:eastAsia="Arial" w:hAnsi="Arial"/>
          <w:sz w:val="21"/>
          <w:szCs w:val="21"/>
          <w:b w:val="1"/>
          <w:bCs w:val="1"/>
          <w:i w:val="1"/>
          <w:iCs w:val="1"/>
          <w:color w:val="auto"/>
        </w:rPr>
        <w:t>Warrant Shares</w:t>
      </w:r>
      <w:r>
        <w:rPr>
          <w:rFonts w:ascii="Arial" w:cs="Arial" w:eastAsia="Arial" w:hAnsi="Arial"/>
          <w:sz w:val="21"/>
          <w:szCs w:val="21"/>
          <w:color w:val="auto"/>
        </w:rPr>
        <w:t>”) of Class A Common Stock issuable upon the exercise of certain outstanding warrants (the “</w:t>
      </w:r>
      <w:r>
        <w:rPr>
          <w:rFonts w:ascii="Arial" w:cs="Arial" w:eastAsia="Arial" w:hAnsi="Arial"/>
          <w:sz w:val="21"/>
          <w:szCs w:val="21"/>
          <w:b w:val="1"/>
          <w:bCs w:val="1"/>
          <w:i w:val="1"/>
          <w:iCs w:val="1"/>
          <w:color w:val="auto"/>
        </w:rPr>
        <w:t>Public</w:t>
      </w:r>
      <w:r>
        <w:rPr>
          <w:rFonts w:ascii="Arial" w:cs="Arial" w:eastAsia="Arial" w:hAnsi="Arial"/>
          <w:sz w:val="21"/>
          <w:szCs w:val="21"/>
          <w:color w:val="auto"/>
        </w:rPr>
        <w:t xml:space="preserve"> </w:t>
      </w:r>
      <w:r>
        <w:rPr>
          <w:rFonts w:ascii="Arial" w:cs="Arial" w:eastAsia="Arial" w:hAnsi="Arial"/>
          <w:sz w:val="21"/>
          <w:szCs w:val="21"/>
          <w:b w:val="1"/>
          <w:bCs w:val="1"/>
          <w:i w:val="1"/>
          <w:iCs w:val="1"/>
          <w:color w:val="auto"/>
        </w:rPr>
        <w:t>Warrants</w:t>
      </w:r>
      <w:r>
        <w:rPr>
          <w:rFonts w:ascii="Arial" w:cs="Arial" w:eastAsia="Arial" w:hAnsi="Arial"/>
          <w:sz w:val="21"/>
          <w:szCs w:val="21"/>
          <w:color w:val="auto"/>
        </w:rPr>
        <w:t>” and together with the Private Warrants, the “</w:t>
      </w:r>
      <w:r>
        <w:rPr>
          <w:rFonts w:ascii="Arial" w:cs="Arial" w:eastAsia="Arial" w:hAnsi="Arial"/>
          <w:sz w:val="21"/>
          <w:szCs w:val="21"/>
          <w:b w:val="1"/>
          <w:bCs w:val="1"/>
          <w:i w:val="1"/>
          <w:iCs w:val="1"/>
          <w:color w:val="auto"/>
        </w:rPr>
        <w:t>Warrants</w:t>
      </w:r>
      <w:r>
        <w:rPr>
          <w:rFonts w:ascii="Arial" w:cs="Arial" w:eastAsia="Arial" w:hAnsi="Arial"/>
          <w:sz w:val="21"/>
          <w:szCs w:val="21"/>
          <w:color w:val="auto"/>
        </w:rPr>
        <w:t>”) by the holders thereof;</w:t>
      </w:r>
    </w:p>
    <w:p>
      <w:pPr>
        <w:spacing w:after="0" w:line="196" w:lineRule="exact"/>
        <w:rPr>
          <w:rFonts w:ascii="Arial" w:cs="Arial" w:eastAsia="Arial" w:hAnsi="Arial"/>
          <w:sz w:val="21"/>
          <w:szCs w:val="21"/>
          <w:color w:val="auto"/>
        </w:rPr>
      </w:pPr>
    </w:p>
    <w:p>
      <w:pPr>
        <w:jc w:val="both"/>
        <w:ind w:firstLine="656"/>
        <w:spacing w:after="0" w:line="236" w:lineRule="auto"/>
        <w:tabs>
          <w:tab w:leader="none" w:pos="1539"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issuance of 65,502,347 shares (the “</w:t>
      </w:r>
      <w:r>
        <w:rPr>
          <w:rFonts w:ascii="Arial" w:cs="Arial" w:eastAsia="Arial" w:hAnsi="Arial"/>
          <w:sz w:val="22"/>
          <w:szCs w:val="22"/>
          <w:b w:val="1"/>
          <w:bCs w:val="1"/>
          <w:i w:val="1"/>
          <w:iCs w:val="1"/>
          <w:color w:val="auto"/>
        </w:rPr>
        <w:t>Paired Interest Shares</w:t>
      </w:r>
      <w:r>
        <w:rPr>
          <w:rFonts w:ascii="Arial" w:cs="Arial" w:eastAsia="Arial" w:hAnsi="Arial"/>
          <w:sz w:val="22"/>
          <w:szCs w:val="22"/>
          <w:color w:val="auto"/>
        </w:rPr>
        <w:t>”) of Class A Common Stock upon the exchange of Class A units representing limited liability company interests of WM Holding Company, LLC (“</w:t>
      </w:r>
      <w:r>
        <w:rPr>
          <w:rFonts w:ascii="Arial" w:cs="Arial" w:eastAsia="Arial" w:hAnsi="Arial"/>
          <w:sz w:val="22"/>
          <w:szCs w:val="22"/>
          <w:b w:val="1"/>
          <w:bCs w:val="1"/>
          <w:i w:val="1"/>
          <w:iCs w:val="1"/>
          <w:color w:val="auto"/>
        </w:rPr>
        <w:t>WMH LLC</w:t>
      </w:r>
      <w:r>
        <w:rPr>
          <w:rFonts w:ascii="Arial" w:cs="Arial" w:eastAsia="Arial" w:hAnsi="Arial"/>
          <w:sz w:val="22"/>
          <w:szCs w:val="22"/>
          <w:color w:val="auto"/>
        </w:rPr>
        <w:t>” and such units, the “</w:t>
      </w:r>
      <w:r>
        <w:rPr>
          <w:rFonts w:ascii="Arial" w:cs="Arial" w:eastAsia="Arial" w:hAnsi="Arial"/>
          <w:sz w:val="22"/>
          <w:szCs w:val="22"/>
          <w:b w:val="1"/>
          <w:bCs w:val="1"/>
          <w:i w:val="1"/>
          <w:iCs w:val="1"/>
          <w:color w:val="auto"/>
        </w:rPr>
        <w:t>Class A Units</w:t>
      </w:r>
      <w:r>
        <w:rPr>
          <w:rFonts w:ascii="Arial" w:cs="Arial" w:eastAsia="Arial" w:hAnsi="Arial"/>
          <w:sz w:val="22"/>
          <w:szCs w:val="22"/>
          <w:color w:val="auto"/>
        </w:rPr>
        <w:t>”)) combined with an equivalent number of shares of Class V Common Stock (together with the Class A Common Stock, the “</w:t>
      </w:r>
      <w:r>
        <w:rPr>
          <w:rFonts w:ascii="Arial" w:cs="Arial" w:eastAsia="Arial" w:hAnsi="Arial"/>
          <w:sz w:val="22"/>
          <w:szCs w:val="22"/>
          <w:b w:val="1"/>
          <w:bCs w:val="1"/>
          <w:i w:val="1"/>
          <w:iCs w:val="1"/>
          <w:color w:val="auto"/>
        </w:rPr>
        <w:t>Common Stock</w:t>
      </w:r>
      <w:r>
        <w:rPr>
          <w:rFonts w:ascii="Arial" w:cs="Arial" w:eastAsia="Arial" w:hAnsi="Arial"/>
          <w:sz w:val="22"/>
          <w:szCs w:val="22"/>
          <w:color w:val="auto"/>
        </w:rPr>
        <w:t>”), par value $0.0001 per share (together with the Class A Units, the “</w:t>
      </w:r>
      <w:r>
        <w:rPr>
          <w:rFonts w:ascii="Arial" w:cs="Arial" w:eastAsia="Arial" w:hAnsi="Arial"/>
          <w:sz w:val="22"/>
          <w:szCs w:val="22"/>
          <w:b w:val="1"/>
          <w:bCs w:val="1"/>
          <w:i w:val="1"/>
          <w:iCs w:val="1"/>
          <w:color w:val="auto"/>
        </w:rPr>
        <w:t>Paired Interests</w:t>
      </w:r>
      <w:r>
        <w:rPr>
          <w:rFonts w:ascii="Arial" w:cs="Arial" w:eastAsia="Arial" w:hAnsi="Arial"/>
          <w:sz w:val="22"/>
          <w:szCs w:val="22"/>
          <w:color w:val="auto"/>
        </w:rPr>
        <w:t>”) by the holders thereof;</w:t>
      </w:r>
    </w:p>
    <w:p>
      <w:pPr>
        <w:spacing w:after="0" w:line="214" w:lineRule="exact"/>
        <w:rPr>
          <w:rFonts w:ascii="Arial" w:cs="Arial" w:eastAsia="Arial" w:hAnsi="Arial"/>
          <w:sz w:val="22"/>
          <w:szCs w:val="22"/>
          <w:color w:val="auto"/>
        </w:rPr>
      </w:pPr>
    </w:p>
    <w:p>
      <w:pPr>
        <w:jc w:val="both"/>
        <w:ind w:firstLine="656"/>
        <w:spacing w:after="0"/>
        <w:tabs>
          <w:tab w:leader="none" w:pos="1648"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issuance of 25,896,042 shares (the “</w:t>
      </w:r>
      <w:r>
        <w:rPr>
          <w:rFonts w:ascii="Arial" w:cs="Arial" w:eastAsia="Arial" w:hAnsi="Arial"/>
          <w:sz w:val="22"/>
          <w:szCs w:val="22"/>
          <w:b w:val="1"/>
          <w:bCs w:val="1"/>
          <w:i w:val="1"/>
          <w:iCs w:val="1"/>
          <w:color w:val="auto"/>
        </w:rPr>
        <w:t>Class P Unit Shares</w:t>
      </w:r>
      <w:r>
        <w:rPr>
          <w:rFonts w:ascii="Arial" w:cs="Arial" w:eastAsia="Arial" w:hAnsi="Arial"/>
          <w:sz w:val="22"/>
          <w:szCs w:val="22"/>
          <w:color w:val="auto"/>
        </w:rPr>
        <w:t>”) of Class A Common Stock issuable upon the exchange of Class P units representing limited liability company interests of WMH LLC (the “</w:t>
      </w:r>
      <w:r>
        <w:rPr>
          <w:rFonts w:ascii="Arial" w:cs="Arial" w:eastAsia="Arial" w:hAnsi="Arial"/>
          <w:sz w:val="22"/>
          <w:szCs w:val="22"/>
          <w:b w:val="1"/>
          <w:bCs w:val="1"/>
          <w:i w:val="1"/>
          <w:iCs w:val="1"/>
          <w:color w:val="auto"/>
        </w:rPr>
        <w:t>Class P Units</w:t>
      </w:r>
      <w:r>
        <w:rPr>
          <w:rFonts w:ascii="Arial" w:cs="Arial" w:eastAsia="Arial" w:hAnsi="Arial"/>
          <w:sz w:val="22"/>
          <w:szCs w:val="22"/>
          <w:color w:val="auto"/>
        </w:rPr>
        <w:t>”) by the holders thereof;</w:t>
      </w:r>
    </w:p>
    <w:p>
      <w:pPr>
        <w:spacing w:after="0" w:line="213" w:lineRule="exact"/>
        <w:rPr>
          <w:rFonts w:ascii="Arial" w:cs="Arial" w:eastAsia="Arial" w:hAnsi="Arial"/>
          <w:sz w:val="22"/>
          <w:szCs w:val="22"/>
          <w:color w:val="auto"/>
        </w:rPr>
      </w:pPr>
    </w:p>
    <w:p>
      <w:pPr>
        <w:ind w:left="1440" w:hanging="784"/>
        <w:spacing w:after="0"/>
        <w:tabs>
          <w:tab w:leader="none" w:pos="14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resale of 7,000,000 Private Warrants (the “</w:t>
      </w:r>
      <w:r>
        <w:rPr>
          <w:rFonts w:ascii="Arial" w:cs="Arial" w:eastAsia="Arial" w:hAnsi="Arial"/>
          <w:sz w:val="22"/>
          <w:szCs w:val="22"/>
          <w:b w:val="1"/>
          <w:bCs w:val="1"/>
          <w:i w:val="1"/>
          <w:iCs w:val="1"/>
          <w:color w:val="auto"/>
        </w:rPr>
        <w:t>Resale Warrants</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jc w:val="both"/>
        <w:ind w:firstLine="656"/>
        <w:spacing w:after="0"/>
        <w:tabs>
          <w:tab w:leader="none" w:pos="1824" w:val="left"/>
        </w:tabs>
        <w:numPr>
          <w:ilvl w:val="0"/>
          <w:numId w:val="135"/>
        </w:numPr>
        <w:rPr>
          <w:rFonts w:ascii="Arial" w:cs="Arial" w:eastAsia="Arial" w:hAnsi="Arial"/>
          <w:sz w:val="22"/>
          <w:szCs w:val="22"/>
          <w:color w:val="auto"/>
        </w:rPr>
      </w:pPr>
      <w:r>
        <w:rPr>
          <w:rFonts w:ascii="Arial" w:cs="Arial" w:eastAsia="Arial" w:hAnsi="Arial"/>
          <w:sz w:val="22"/>
          <w:szCs w:val="22"/>
          <w:color w:val="auto"/>
        </w:rPr>
        <w:t>the resale of 105,230,932 shares of Class A Common Stock (including up to (a) 38,750,000 issued and outstanding shares of Class A Common Stock, (b) 59,480,932 Paired Interest Shares and Class P Unit Shares) and (c) 7,000,000 Private Warrant Shares (the “</w:t>
      </w:r>
      <w:r>
        <w:rPr>
          <w:rFonts w:ascii="Arial" w:cs="Arial" w:eastAsia="Arial" w:hAnsi="Arial"/>
          <w:sz w:val="22"/>
          <w:szCs w:val="22"/>
          <w:b w:val="1"/>
          <w:bCs w:val="1"/>
          <w:i w:val="1"/>
          <w:iCs w:val="1"/>
          <w:color w:val="auto"/>
        </w:rPr>
        <w:t>Selling Stockholder Shares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217" w:name="page218"/>
    <w:bookmarkEnd w:id="217"/>
    <w:p>
      <w:pPr>
        <w:jc w:val="both"/>
        <w:spacing w:after="0" w:line="250" w:lineRule="auto"/>
        <w:rPr>
          <w:sz w:val="20"/>
          <w:szCs w:val="20"/>
          <w:color w:val="auto"/>
        </w:rPr>
      </w:pPr>
      <w:r>
        <w:rPr>
          <w:rFonts w:ascii="Arial" w:cs="Arial" w:eastAsia="Arial" w:hAnsi="Arial"/>
          <w:sz w:val="22"/>
          <w:szCs w:val="22"/>
          <w:color w:val="auto"/>
        </w:rPr>
        <w:t>The Warrants were issued pursuant to a Warrant Agreement, dated August 7, 2019, between the Company and Continental Stock Transfer &amp; Trust Company, as warrant agent (“</w:t>
      </w:r>
      <w:r>
        <w:rPr>
          <w:rFonts w:ascii="Arial" w:cs="Arial" w:eastAsia="Arial" w:hAnsi="Arial"/>
          <w:sz w:val="22"/>
          <w:szCs w:val="22"/>
          <w:b w:val="1"/>
          <w:bCs w:val="1"/>
          <w:i w:val="1"/>
          <w:iCs w:val="1"/>
          <w:color w:val="auto"/>
        </w:rPr>
        <w:t>Warrant Agreement”</w:t>
      </w:r>
      <w:r>
        <w:rPr>
          <w:rFonts w:ascii="Arial" w:cs="Arial" w:eastAsia="Arial" w:hAnsi="Arial"/>
          <w:sz w:val="22"/>
          <w:szCs w:val="22"/>
          <w:color w:val="auto"/>
        </w:rPr>
        <w:t>).</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connection with this opinion, we have examined and relied upon the Registration Statement, the Prospectus, the Company’s certificate of incorporation and bylaws, each as currently in effect, the Warrant Agreement and the originals or copies certified to our satisfaction of such records, documents, certificates, memoranda and other instruments as in our judgment are necessary or appropriate to enable us to render the opinion expressed below. We have assumed the genuineness of all signature,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due authorization, execution and delivery are prerequisites to the effectiveness thereof. As to certain factual matters, we have relied upon a certificate of an officer of the Company and have not independently verified such matters.</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Our opinion is expressed only with respect to the General Corporation Law of the State of Delaware and the laws of the State of New York. We express no opinion to the extent that any other laws are applicable to the subject matter hereof and express no opinion and provide no assurance as to compliance with any federal or state securities law, rule or regulation.</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With respect to the Warrants, the Paired Interests, the Class P Units, the Warrant Shares, the Paired Interest Shares and the Class P Unit Shares, we express no opinion to the extent that future issuances of securities of the Company, including the Warrant Shares, the Paired Interest Shares and the Class P Unit Shares, and/or antidilution adjustments to outstanding securities of the Company, including the Warrants, the Paired Interests, the Class P Units, may cause the Warrants to be exercisable or the Paired Interests, the Class P Units to be exchangeable for more shares of Class A Common Stock than the number of shares of Class A Common Stock that then remain authorized but unissued. Further, we have assumed the Exercise Price (as defined in the Warrants) will not be adjusted to an amount below the par value per share of Class A Common Stock. With respect to the Paired Interest Shares and the Class P Unit Shares, we express no opinion to the extent that future issuances of securities of the Company, including the Paired Interest Shares and the Class P Unit Shares, and/or antidilution adjustments to outstanding securities of the Company, including the Paired Interests and the Class P Units, may cause the Paired Interests and the Class P Units to be exchangeable for more shares of Class A Common Stock than, the number of shares of Class A Common Stock that then remain authorized but unissued.</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With regard to our opinion concerning the Warrants constituting valid and binding obligations of the Company:</w:t>
      </w:r>
    </w:p>
    <w:p>
      <w:pPr>
        <w:spacing w:after="0" w:line="233" w:lineRule="exact"/>
        <w:rPr>
          <w:sz w:val="20"/>
          <w:szCs w:val="20"/>
          <w:color w:val="auto"/>
        </w:rPr>
      </w:pPr>
    </w:p>
    <w:p>
      <w:pPr>
        <w:jc w:val="both"/>
        <w:ind w:firstLine="656"/>
        <w:spacing w:after="0" w:line="276" w:lineRule="auto"/>
        <w:tabs>
          <w:tab w:leader="none" w:pos="1783" w:val="left"/>
        </w:tabs>
        <w:numPr>
          <w:ilvl w:val="1"/>
          <w:numId w:val="136"/>
        </w:numPr>
        <w:rPr>
          <w:rFonts w:ascii="Arial" w:cs="Arial" w:eastAsia="Arial" w:hAnsi="Arial"/>
          <w:sz w:val="19"/>
          <w:szCs w:val="19"/>
          <w:color w:val="auto"/>
        </w:rPr>
      </w:pPr>
      <w:r>
        <w:rPr>
          <w:rFonts w:ascii="Arial" w:cs="Arial" w:eastAsia="Arial" w:hAnsi="Arial"/>
          <w:sz w:val="19"/>
          <w:szCs w:val="19"/>
          <w:color w:val="auto"/>
        </w:rPr>
        <w:t>Our opinion is subject to, and may be limited by, (a) applicable bankruptcy, reorganization, insolvency, moratorium, fraudulent conveyance, debtor and creditor, and similar laws which relate to or affect creditors’ rights generally, and</w:t>
      </w:r>
    </w:p>
    <w:p>
      <w:pPr>
        <w:spacing w:after="0" w:line="1" w:lineRule="exact"/>
        <w:rPr>
          <w:rFonts w:ascii="Arial" w:cs="Arial" w:eastAsia="Arial" w:hAnsi="Arial"/>
          <w:sz w:val="19"/>
          <w:szCs w:val="19"/>
          <w:color w:val="auto"/>
        </w:rPr>
      </w:pPr>
    </w:p>
    <w:p>
      <w:pPr>
        <w:ind w:firstLine="8"/>
        <w:spacing w:after="0" w:line="236" w:lineRule="auto"/>
        <w:tabs>
          <w:tab w:leader="none" w:pos="306" w:val="left"/>
        </w:tabs>
        <w:numPr>
          <w:ilvl w:val="0"/>
          <w:numId w:val="137"/>
        </w:numPr>
        <w:rPr>
          <w:rFonts w:ascii="Arial" w:cs="Arial" w:eastAsia="Arial" w:hAnsi="Arial"/>
          <w:sz w:val="22"/>
          <w:szCs w:val="22"/>
          <w:color w:val="auto"/>
        </w:rPr>
      </w:pPr>
      <w:r>
        <w:rPr>
          <w:rFonts w:ascii="Arial" w:cs="Arial" w:eastAsia="Arial" w:hAnsi="Arial"/>
          <w:sz w:val="22"/>
          <w:szCs w:val="22"/>
          <w:color w:val="auto"/>
        </w:rPr>
        <w:t>general principles of equity (including, without limitation, concepts of materiality, reasonableness, good faith and fair dealing) regardless of whether considered in a proceeding in equity or at law.</w:t>
      </w:r>
    </w:p>
    <w:p>
      <w:pPr>
        <w:spacing w:after="0" w:line="213" w:lineRule="exact"/>
        <w:rPr>
          <w:rFonts w:ascii="Arial" w:cs="Arial" w:eastAsia="Arial" w:hAnsi="Arial"/>
          <w:sz w:val="22"/>
          <w:szCs w:val="22"/>
          <w:color w:val="auto"/>
        </w:rPr>
      </w:pPr>
    </w:p>
    <w:p>
      <w:pPr>
        <w:ind w:firstLine="656"/>
        <w:spacing w:after="0" w:line="250" w:lineRule="auto"/>
        <w:tabs>
          <w:tab w:leader="none" w:pos="1587" w:val="left"/>
        </w:tabs>
        <w:numPr>
          <w:ilvl w:val="1"/>
          <w:numId w:val="137"/>
        </w:numPr>
        <w:rPr>
          <w:rFonts w:ascii="Arial" w:cs="Arial" w:eastAsia="Arial" w:hAnsi="Arial"/>
          <w:sz w:val="22"/>
          <w:szCs w:val="22"/>
          <w:color w:val="auto"/>
        </w:rPr>
      </w:pPr>
      <w:r>
        <w:rPr>
          <w:rFonts w:ascii="Arial" w:cs="Arial" w:eastAsia="Arial" w:hAnsi="Arial"/>
          <w:sz w:val="22"/>
          <w:szCs w:val="22"/>
          <w:color w:val="auto"/>
        </w:rPr>
        <w:t>Our opinion is subject to the qualification that the availability of specific performance, an injunction or other equitable remedies is subject to the discretion of the court before which the request is brought.</w:t>
      </w:r>
    </w:p>
    <w:p>
      <w:pPr>
        <w:spacing w:after="0" w:line="200" w:lineRule="exact"/>
        <w:rPr>
          <w:sz w:val="20"/>
          <w:szCs w:val="20"/>
          <w:color w:val="auto"/>
        </w:rPr>
      </w:pPr>
    </w:p>
    <w:p>
      <w:pPr>
        <w:spacing w:after="0" w:line="301"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Cooley LLP  101 California Street, 5th Floor</w:t>
      </w:r>
      <w:r>
        <w:rPr>
          <w:sz w:val="20"/>
          <w:szCs w:val="20"/>
          <w:color w:val="auto"/>
        </w:rPr>
        <w:tab/>
      </w:r>
      <w:r>
        <w:rPr>
          <w:rFonts w:ascii="Arial" w:cs="Arial" w:eastAsia="Arial" w:hAnsi="Arial"/>
          <w:sz w:val="13"/>
          <w:szCs w:val="13"/>
          <w:color w:val="auto"/>
        </w:rPr>
        <w:t>San Francisco, CA  95111-5800</w:t>
      </w:r>
    </w:p>
    <w:p>
      <w:pPr>
        <w:jc w:val="center"/>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8" w:name="page219"/>
    <w:bookmarkEnd w:id="218"/>
    <w:p>
      <w:pPr>
        <w:jc w:val="both"/>
        <w:ind w:firstLine="656"/>
        <w:spacing w:after="0" w:line="275" w:lineRule="auto"/>
        <w:tabs>
          <w:tab w:leader="none" w:pos="1674" w:val="left"/>
        </w:tabs>
        <w:numPr>
          <w:ilvl w:val="0"/>
          <w:numId w:val="138"/>
        </w:numPr>
        <w:rPr>
          <w:rFonts w:ascii="Arial" w:cs="Arial" w:eastAsia="Arial" w:hAnsi="Arial"/>
          <w:sz w:val="19"/>
          <w:szCs w:val="19"/>
          <w:color w:val="auto"/>
        </w:rPr>
      </w:pPr>
      <w:r>
        <w:rPr>
          <w:rFonts w:ascii="Arial" w:cs="Arial" w:eastAsia="Arial" w:hAnsi="Arial"/>
          <w:sz w:val="19"/>
          <w:szCs w:val="19"/>
          <w:color w:val="auto"/>
        </w:rPr>
        <w:t>We express no opinion as to any provision of the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(f) authorizes or validated conclusive or discretionary determinations, or (g) provides that provisions of the Warrants are severable to the extent an essential part of the agreed exchange is determined to be invalid and unenforceable.</w:t>
      </w:r>
    </w:p>
    <w:p>
      <w:pPr>
        <w:spacing w:after="0" w:line="184" w:lineRule="exact"/>
        <w:rPr>
          <w:rFonts w:ascii="Arial" w:cs="Arial" w:eastAsia="Arial" w:hAnsi="Arial"/>
          <w:sz w:val="19"/>
          <w:szCs w:val="19"/>
          <w:color w:val="auto"/>
        </w:rPr>
      </w:pPr>
    </w:p>
    <w:p>
      <w:pPr>
        <w:ind w:firstLine="656"/>
        <w:spacing w:after="0" w:line="250" w:lineRule="auto"/>
        <w:tabs>
          <w:tab w:leader="none" w:pos="164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We express no opinion as to whether a state court outside of the State of New York or a federal court of the United States would give effect to the choice of New York law provided for in the Warrants.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On the basis of the foregoing, and in reliance thereon, we are of the opinion that:</w:t>
      </w:r>
    </w:p>
    <w:p>
      <w:pPr>
        <w:spacing w:after="0" w:line="240" w:lineRule="exact"/>
        <w:rPr>
          <w:sz w:val="20"/>
          <w:szCs w:val="20"/>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Warrant Shares, when issued and paid for upon exercise of the Warrants in accordance with the terms of the Warrants, will be validly issued, fully paid and nonassessable.</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Paired Interests Shares and the Class P Unit Shares, when issued upon exchange of the Paired Interests or Class P Units, as applicable, in accordance with the terms of the Company’s Certificate of Incorporation and the Amended and Restated Limited Liability Company Agreement of WMH, LLC, will be validly issued, fully paid and nonassessable.</w:t>
      </w:r>
    </w:p>
    <w:p>
      <w:pPr>
        <w:spacing w:after="0" w:line="210" w:lineRule="exact"/>
        <w:rPr>
          <w:rFonts w:ascii="Arial" w:cs="Arial" w:eastAsia="Arial" w:hAnsi="Arial"/>
          <w:sz w:val="18"/>
          <w:szCs w:val="18"/>
          <w:color w:val="auto"/>
        </w:rPr>
      </w:pPr>
    </w:p>
    <w:p>
      <w:pPr>
        <w:ind w:left="1300" w:hanging="644"/>
        <w:spacing w:after="0"/>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Resale Warrants constitute valid and binding obligations of the Company.</w:t>
      </w:r>
    </w:p>
    <w:p>
      <w:pPr>
        <w:spacing w:after="0" w:line="25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Selling Stockholder Shares, other than any Warrant Shares, Paired Interest Shares and the Class P Unit Shares included in the Selling Stockholder Shares, are validly issued, fully paid and nonassessable.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Warrant Shares included in the Selling Stockholder Shares, when issued and paid for in accordance with the terms of the Warrants, will be validly issued, fully paid and nonassessable.</w:t>
      </w:r>
    </w:p>
    <w:p>
      <w:pPr>
        <w:spacing w:after="0" w:line="197"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Paired Interest Shares or Class P Unit Shares, when issued upon exchange of the Paired Interests or the Class P Units, as applicable, in accordance with the terms of the Company’s Certificate of Incorporation and the Fourth Amended and Restated Limited Liability Company Agreement of WMH, LLC, will be validly issued, fully paid and nonassessable.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Our opinion is limited to the matters stated herein and no opinion is implied or may be inferred beyond the matters expressly stated. Our opinion is based on these laws as in effect on the date hereof, and we disclaim any obligation to advise you of facts, circumstances, events or developments which hereafter may be brought to our attention and which may alter, affect or modify the opinion expressed herein.</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We hereby consent to the filing of this opinion as an exhibit to the Registration Statement and to the reference to our firm under the caption “Legal Matters” in the Prospectus.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332" w:lineRule="exact"/>
        <w:rPr>
          <w:sz w:val="20"/>
          <w:szCs w:val="20"/>
          <w:color w:val="auto"/>
        </w:rPr>
      </w:pPr>
    </w:p>
    <w:p>
      <w:pPr>
        <w:jc w:val="center"/>
        <w:spacing w:after="0"/>
        <w:tabs>
          <w:tab w:leader="none" w:pos="100" w:val="left"/>
        </w:tabs>
        <w:rPr>
          <w:sz w:val="20"/>
          <w:szCs w:val="20"/>
          <w:color w:val="auto"/>
        </w:rPr>
      </w:pPr>
      <w:r>
        <w:rPr>
          <w:rFonts w:ascii="Arial" w:cs="Arial" w:eastAsia="Arial" w:hAnsi="Arial"/>
          <w:sz w:val="14"/>
          <w:szCs w:val="14"/>
          <w:color w:val="auto"/>
        </w:rPr>
        <w:t>Cooley LLP  101 California Street, 5th Floor</w:t>
      </w:r>
      <w:r>
        <w:rPr>
          <w:sz w:val="20"/>
          <w:szCs w:val="20"/>
          <w:color w:val="auto"/>
        </w:rPr>
        <w:tab/>
      </w:r>
      <w:r>
        <w:rPr>
          <w:rFonts w:ascii="Arial" w:cs="Arial" w:eastAsia="Arial" w:hAnsi="Arial"/>
          <w:sz w:val="13"/>
          <w:szCs w:val="13"/>
          <w:color w:val="auto"/>
        </w:rPr>
        <w:t>San Francisco, CA  95111-5800</w:t>
      </w:r>
    </w:p>
    <w:p>
      <w:pPr>
        <w:jc w:val="center"/>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Very truly yours,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OOLEY</w:t>
      </w:r>
      <w:r>
        <w:rPr>
          <w:rFonts w:ascii="Arial" w:cs="Arial" w:eastAsia="Arial" w:hAnsi="Arial"/>
          <w:sz w:val="22"/>
          <w:szCs w:val="22"/>
          <w:b w:val="1"/>
          <w:bCs w:val="1"/>
          <w:color w:val="auto"/>
        </w:rPr>
        <w:t xml:space="preserve"> LLP</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3137535" cy="171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7">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David G. Peinsipp</w:t>
      </w:r>
    </w:p>
    <w:p>
      <w:pPr>
        <w:spacing w:after="0" w:line="200" w:lineRule="exact"/>
        <w:rPr>
          <w:sz w:val="20"/>
          <w:szCs w:val="20"/>
          <w:color w:val="auto"/>
        </w:rPr>
      </w:pPr>
    </w:p>
    <w:p>
      <w:pPr>
        <w:spacing w:after="0" w:line="344" w:lineRule="exact"/>
        <w:rPr>
          <w:sz w:val="20"/>
          <w:szCs w:val="20"/>
          <w:color w:val="auto"/>
        </w:rPr>
      </w:pPr>
    </w:p>
    <w:p>
      <w:pPr>
        <w:jc w:val="center"/>
        <w:ind w:right="-1100"/>
        <w:spacing w:after="0"/>
        <w:tabs>
          <w:tab w:leader="none" w:pos="100" w:val="left"/>
        </w:tabs>
        <w:rPr>
          <w:sz w:val="20"/>
          <w:szCs w:val="20"/>
          <w:color w:val="auto"/>
        </w:rPr>
      </w:pPr>
      <w:r>
        <w:rPr>
          <w:rFonts w:ascii="Arial" w:cs="Arial" w:eastAsia="Arial" w:hAnsi="Arial"/>
          <w:sz w:val="14"/>
          <w:szCs w:val="14"/>
          <w:color w:val="auto"/>
        </w:rPr>
        <w:t>Cooley LLP  101 California Street, 5th Floor</w:t>
      </w:r>
      <w:r>
        <w:rPr>
          <w:sz w:val="20"/>
          <w:szCs w:val="20"/>
          <w:color w:val="auto"/>
        </w:rPr>
        <w:tab/>
      </w:r>
      <w:r>
        <w:rPr>
          <w:rFonts w:ascii="Arial" w:cs="Arial" w:eastAsia="Arial" w:hAnsi="Arial"/>
          <w:sz w:val="13"/>
          <w:szCs w:val="13"/>
          <w:color w:val="auto"/>
        </w:rPr>
        <w:t>San Francisco, CA  95111-5800</w:t>
      </w:r>
    </w:p>
    <w:p>
      <w:pPr>
        <w:jc w:val="center"/>
        <w:ind w:right="-1100"/>
        <w:spacing w:after="0"/>
        <w:rPr>
          <w:sz w:val="20"/>
          <w:szCs w:val="20"/>
          <w:color w:val="auto"/>
        </w:rPr>
      </w:pPr>
      <w:r>
        <w:rPr>
          <w:rFonts w:ascii="Arial" w:cs="Arial" w:eastAsia="Arial" w:hAnsi="Arial"/>
          <w:sz w:val="14"/>
          <w:szCs w:val="14"/>
          <w:color w:val="auto"/>
        </w:rPr>
        <w:t>t: (415) 693-2000 f: (415) 693-2222 cooley.com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220" w:name="page221"/>
    <w:bookmarkEnd w:id="22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jc w:val="both"/>
        <w:ind w:right="320"/>
        <w:spacing w:after="0"/>
        <w:rPr>
          <w:sz w:val="20"/>
          <w:szCs w:val="20"/>
          <w:color w:val="auto"/>
        </w:rPr>
      </w:pPr>
      <w:r>
        <w:rPr>
          <w:rFonts w:ascii="Arial" w:cs="Arial" w:eastAsia="Arial" w:hAnsi="Arial"/>
          <w:sz w:val="22"/>
          <w:szCs w:val="22"/>
          <w:color w:val="auto"/>
        </w:rPr>
        <w:t>We consent to the use in this Registration Statement on Form S-1 of WM Technology, Inc. of our report dated March 9, 2021, relating to the consolidated financial statements of WM Holding Company, LLC, appearing in the Prospectus, which is part of this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Baker Tilly US,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Irvine,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July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1"/>
      <w:numFmt w:val="decimal"/>
      <w:start w:val="41"/>
    </w:lvl>
  </w:abstractNum>
  <w:abstractNum w:abstractNumId="1">
    <w:nsid w:val="98A3148"/>
    <w:multiLevelType w:val="hybridMultilevel"/>
    <w:lvl w:ilvl="0">
      <w:lvlJc w:val="left"/>
      <w:lvlText w:val="%1"/>
      <w:numFmt w:val="decimal"/>
      <w:start w:val="41"/>
    </w:lvl>
  </w:abstractNum>
  <w:abstractNum w:abstractNumId="2">
    <w:nsid w:val="799D0247"/>
    <w:multiLevelType w:val="hybridMultilevel"/>
    <w:lvl w:ilvl="0">
      <w:lvlJc w:val="left"/>
      <w:lvlText w:val="(%1)"/>
      <w:numFmt w:val="decimal"/>
      <w:start w:val="1"/>
    </w:lvl>
  </w:abstractNum>
  <w:abstractNum w:abstractNumId="3">
    <w:nsid w:val="6B94764"/>
    <w:multiLevelType w:val="hybridMultilevel"/>
    <w:lvl w:ilvl="0">
      <w:lvlJc w:val="left"/>
      <w:lvlText w:val="•"/>
      <w:numFmt w:val="bullet"/>
      <w:start w:val="1"/>
    </w:lvl>
  </w:abstractNum>
  <w:abstractNum w:abstractNumId="4">
    <w:nsid w:val="42C296BD"/>
    <w:multiLevelType w:val="hybridMultilevel"/>
    <w:lvl w:ilvl="0">
      <w:lvlJc w:val="left"/>
      <w:lvlText w:val="•"/>
      <w:numFmt w:val="bullet"/>
      <w:start w:val="1"/>
    </w:lvl>
  </w:abstractNum>
  <w:abstractNum w:abstractNumId="5">
    <w:nsid w:val="168E121F"/>
    <w:multiLevelType w:val="hybridMultilevel"/>
    <w:lvl w:ilvl="0">
      <w:lvlJc w:val="left"/>
      <w:lvlText w:val="•"/>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
      <w:numFmt w:val="bullet"/>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
      <w:numFmt w:val="bullet"/>
      <w:start w:val="1"/>
    </w:lvl>
  </w:abstractNum>
  <w:abstractNum w:abstractNumId="13">
    <w:nsid w:val="BF72B14"/>
    <w:multiLevelType w:val="hybridMultilevel"/>
    <w:lvl w:ilvl="0">
      <w:lvlJc w:val="left"/>
      <w:lvlText w:val="•"/>
      <w:numFmt w:val="bullet"/>
      <w:start w:val="1"/>
    </w:lvl>
  </w:abstractNum>
  <w:abstractNum w:abstractNumId="14">
    <w:nsid w:val="11447B73"/>
    <w:multiLevelType w:val="hybridMultilevel"/>
    <w:lvl w:ilvl="0">
      <w:lvlJc w:val="left"/>
      <w:lvlText w:val="•"/>
      <w:numFmt w:val="bullet"/>
      <w:start w:val="1"/>
    </w:lvl>
  </w:abstractNum>
  <w:abstractNum w:abstractNumId="15">
    <w:nsid w:val="42963E5A"/>
    <w:multiLevelType w:val="hybridMultilevel"/>
    <w:lvl w:ilvl="0">
      <w:lvlJc w:val="left"/>
      <w:lvlText w:val="(%1)"/>
      <w:numFmt w:val="lowerRoman"/>
      <w:start w:val="2"/>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
      <w:numFmt w:val="bullet"/>
      <w:start w:val="1"/>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
      <w:numFmt w:val="bullet"/>
      <w:start w:val="1"/>
    </w:lvl>
  </w:abstractNum>
  <w:abstractNum w:abstractNumId="21">
    <w:nsid w:val="4962813B"/>
    <w:multiLevelType w:val="hybridMultilevel"/>
    <w:lvl w:ilvl="0">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abstractNum>
  <w:abstractNum w:abstractNumId="24">
    <w:nsid w:val="14330624"/>
    <w:multiLevelType w:val="hybridMultilevel"/>
    <w:lvl w:ilvl="0">
      <w:lvlJc w:val="left"/>
      <w:lvlText w:val="%1."/>
      <w:numFmt w:val="decimal"/>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a"/>
      <w:numFmt w:val="bullet"/>
      <w:start w:val="1"/>
    </w:lvl>
  </w:abstractNum>
  <w:abstractNum w:abstractNumId="29">
    <w:nsid w:val="7FB7E0AA"/>
    <w:multiLevelType w:val="hybridMultilevel"/>
    <w:lvl w:ilvl="0">
      <w:lvlJc w:val="left"/>
      <w:lvlText w:val="b"/>
      <w:numFmt w:val="bullet"/>
      <w:start w:val="1"/>
    </w:lvl>
  </w:abstractNum>
  <w:abstractNum w:abstractNumId="30">
    <w:nsid w:val="6EB5BD4"/>
    <w:multiLevelType w:val="hybridMultilevel"/>
    <w:lvl w:ilvl="0">
      <w:lvlJc w:val="left"/>
      <w:lvlText w:val="c"/>
      <w:numFmt w:val="bullet"/>
      <w:start w:val="1"/>
    </w:lvl>
    <w:lvl w:ilvl="1">
      <w:lvlJc w:val="left"/>
      <w:lvlText w:val="•"/>
      <w:numFmt w:val="bullet"/>
      <w:start w:val="1"/>
    </w:lvl>
  </w:abstractNum>
  <w:abstractNum w:abstractNumId="31">
    <w:nsid w:val="6F6DD9AC"/>
    <w:multiLevelType w:val="hybridMultilevel"/>
    <w:lvl w:ilvl="0">
      <w:lvlJc w:val="left"/>
      <w:lvlText w:val="d"/>
      <w:numFmt w:val="bullet"/>
      <w:start w:val="1"/>
    </w:lvl>
  </w:abstractNum>
  <w:abstractNum w:abstractNumId="32">
    <w:nsid w:val="94211F2"/>
    <w:multiLevelType w:val="hybridMultilevel"/>
    <w:lvl w:ilvl="0">
      <w:lvlJc w:val="left"/>
      <w:lvlText w:val="e"/>
      <w:numFmt w:val="bullet"/>
      <w:start w:val="1"/>
    </w:lvl>
  </w:abstractNum>
  <w:abstractNum w:abstractNumId="33">
    <w:nsid w:val="885E1B"/>
    <w:multiLevelType w:val="hybridMultilevel"/>
    <w:lvl w:ilvl="0">
      <w:lvlJc w:val="left"/>
      <w:lvlText w:val="f"/>
      <w:numFmt w:val="bullet"/>
      <w:start w:val="1"/>
    </w:lvl>
  </w:abstractNum>
  <w:abstractNum w:abstractNumId="34">
    <w:nsid w:val="76272110"/>
    <w:multiLevelType w:val="hybridMultilevel"/>
    <w:lvl w:ilvl="0">
      <w:lvlJc w:val="left"/>
      <w:lvlText w:val="g"/>
      <w:numFmt w:val="bullet"/>
      <w:start w:val="1"/>
    </w:lvl>
  </w:abstractNum>
  <w:abstractNum w:abstractNumId="35">
    <w:nsid w:val="4C04A8AF"/>
    <w:multiLevelType w:val="hybridMultilevel"/>
    <w:lvl w:ilvl="0">
      <w:lvlJc w:val="left"/>
      <w:lvlText w:val="h"/>
      <w:numFmt w:val="bullet"/>
      <w:start w:val="1"/>
    </w:lvl>
  </w:abstractNum>
  <w:abstractNum w:abstractNumId="36">
    <w:nsid w:val="1716703B"/>
    <w:multiLevelType w:val="hybridMultilevel"/>
    <w:lvl w:ilvl="0">
      <w:lvlJc w:val="left"/>
      <w:lvlText w:val="i"/>
      <w:numFmt w:val="bullet"/>
      <w:start w:val="1"/>
    </w:lvl>
  </w:abstractNum>
  <w:abstractNum w:abstractNumId="37">
    <w:nsid w:val="14E17E33"/>
    <w:multiLevelType w:val="hybridMultilevel"/>
    <w:lvl w:ilvl="0">
      <w:lvlJc w:val="left"/>
      <w:lvlText w:val="j"/>
      <w:numFmt w:val="bullet"/>
      <w:start w:val="1"/>
    </w:lvl>
  </w:abstractNum>
  <w:abstractNum w:abstractNumId="38">
    <w:nsid w:val="3222E7CD"/>
    <w:multiLevelType w:val="hybridMultilevel"/>
    <w:lvl w:ilvl="0">
      <w:lvlJc w:val="left"/>
      <w:lvlText w:val="k"/>
      <w:numFmt w:val="bullet"/>
      <w:start w:val="1"/>
    </w:lvl>
  </w:abstractNum>
  <w:abstractNum w:abstractNumId="39">
    <w:nsid w:val="74DE0EE3"/>
    <w:multiLevelType w:val="hybridMultilevel"/>
    <w:lvl w:ilvl="0">
      <w:lvlJc w:val="left"/>
      <w:lvlText w:val="l"/>
      <w:numFmt w:val="bullet"/>
      <w:start w:val="1"/>
    </w:lvl>
  </w:abstractNum>
  <w:abstractNum w:abstractNumId="40">
    <w:nsid w:val="68EBC550"/>
    <w:multiLevelType w:val="hybridMultilevel"/>
    <w:lvl w:ilvl="0">
      <w:lvlJc w:val="left"/>
      <w:lvlText w:val="%1"/>
      <w:numFmt w:val="lowerLetter"/>
      <w:start w:val="27"/>
    </w:lvl>
  </w:abstractNum>
  <w:abstractNum w:abstractNumId="41">
    <w:nsid w:val="2DF6D648"/>
    <w:multiLevelType w:val="hybridMultilevel"/>
    <w:lvl w:ilvl="0">
      <w:lvlJc w:val="left"/>
      <w:lvlText w:val="%1."/>
      <w:numFmt w:val="decimal"/>
      <w:start w:val="3"/>
    </w:lvl>
  </w:abstractNum>
  <w:abstractNum w:abstractNumId="42">
    <w:nsid w:val="46B7D447"/>
    <w:multiLevelType w:val="hybridMultilevel"/>
    <w:lvl w:ilvl="0">
      <w:lvlJc w:val="left"/>
      <w:lvlText w:val="(%1)"/>
      <w:numFmt w:val="decimal"/>
      <w:start w:val="1"/>
    </w:lvl>
  </w:abstractNum>
  <w:abstractNum w:abstractNumId="43">
    <w:nsid w:val="4A2AC315"/>
    <w:multiLevelType w:val="hybridMultilevel"/>
    <w:lvl w:ilvl="0">
      <w:lvlJc w:val="left"/>
      <w:lvlText w:val="•"/>
      <w:numFmt w:val="bullet"/>
      <w:start w:val="1"/>
    </w:lvl>
  </w:abstractNum>
  <w:abstractNum w:abstractNumId="44">
    <w:nsid w:val="39EE015C"/>
    <w:multiLevelType w:val="hybridMultilevel"/>
    <w:lvl w:ilvl="0">
      <w:lvlJc w:val="left"/>
      <w:lvlText w:val="•"/>
      <w:numFmt w:val="bullet"/>
      <w:start w:val="1"/>
    </w:lvl>
  </w:abstractNum>
  <w:abstractNum w:abstractNumId="45">
    <w:nsid w:val="57FC4FBB"/>
    <w:multiLevelType w:val="hybridMultilevel"/>
    <w:lvl w:ilvl="0">
      <w:lvlJc w:val="left"/>
      <w:lvlText w:val="•"/>
      <w:numFmt w:val="bullet"/>
      <w:start w:val="1"/>
    </w:lvl>
  </w:abstractNum>
  <w:abstractNum w:abstractNumId="46">
    <w:nsid w:val="CC1016F"/>
    <w:multiLevelType w:val="hybridMultilevel"/>
    <w:lvl w:ilvl="0">
      <w:lvlJc w:val="left"/>
      <w:lvlText w:val="•"/>
      <w:numFmt w:val="bullet"/>
      <w:start w:val="1"/>
    </w:lvl>
    <w:lvl w:ilvl="1">
      <w:lvlJc w:val="left"/>
      <w:lvlText w:val="•"/>
      <w:numFmt w:val="bullet"/>
      <w:start w:val="1"/>
    </w:lvl>
  </w:abstractNum>
  <w:abstractNum w:abstractNumId="47">
    <w:nsid w:val="43F18422"/>
    <w:multiLevelType w:val="hybridMultilevel"/>
    <w:lvl w:ilvl="0">
      <w:lvlJc w:val="left"/>
      <w:lvlText w:val="(%1)"/>
      <w:numFmt w:val="lowerRoman"/>
      <w:start w:val="2"/>
    </w:lvl>
  </w:abstractNum>
  <w:abstractNum w:abstractNumId="48">
    <w:nsid w:val="60EF0119"/>
    <w:multiLevelType w:val="hybridMultilevel"/>
    <w:lvl w:ilvl="0">
      <w:lvlJc w:val="left"/>
      <w:lvlText w:val="(%1)"/>
      <w:numFmt w:val="decimal"/>
      <w:start w:val="1"/>
    </w:lvl>
  </w:abstractNum>
  <w:abstractNum w:abstractNumId="49">
    <w:nsid w:val="26F324BA"/>
    <w:multiLevelType w:val="hybridMultilevel"/>
    <w:lvl w:ilvl="0">
      <w:lvlJc w:val="left"/>
      <w:lvlText w:val="•"/>
      <w:numFmt w:val="bullet"/>
      <w:start w:val="1"/>
    </w:lvl>
  </w:abstractNum>
  <w:abstractNum w:abstractNumId="50">
    <w:nsid w:val="7F01579B"/>
    <w:multiLevelType w:val="hybridMultilevel"/>
    <w:lvl w:ilvl="0">
      <w:lvlJc w:val="left"/>
      <w:lvlText w:val="4"/>
      <w:numFmt w:val="bullet"/>
      <w:start w:val="1"/>
    </w:lvl>
  </w:abstractNum>
  <w:abstractNum w:abstractNumId="51">
    <w:nsid w:val="49DA307D"/>
    <w:multiLevelType w:val="hybridMultilevel"/>
    <w:lvl w:ilvl="0">
      <w:lvlJc w:val="left"/>
      <w:lvlText w:val="%1"/>
      <w:numFmt w:val="decimal"/>
      <w:start w:val="15"/>
    </w:lvl>
  </w:abstractNum>
  <w:abstractNum w:abstractNumId="52">
    <w:nsid w:val="7055A5F5"/>
    <w:multiLevelType w:val="hybridMultilevel"/>
    <w:lvl w:ilvl="0">
      <w:lvlJc w:val="left"/>
      <w:lvlText w:val="•"/>
      <w:numFmt w:val="bullet"/>
      <w:start w:val="1"/>
    </w:lvl>
  </w:abstractNum>
  <w:abstractNum w:abstractNumId="53">
    <w:nsid w:val="5FB8370B"/>
    <w:multiLevelType w:val="hybridMultilevel"/>
    <w:lvl w:ilvl="0">
      <w:lvlJc w:val="left"/>
      <w:lvlText w:val="•"/>
      <w:numFmt w:val="bullet"/>
      <w:start w:val="1"/>
    </w:lvl>
    <w:lvl w:ilvl="1">
      <w:lvlJc w:val="left"/>
      <w:lvlText w:val="•"/>
      <w:numFmt w:val="bullet"/>
      <w:start w:val="1"/>
    </w:lvl>
  </w:abstractNum>
  <w:abstractNum w:abstractNumId="54">
    <w:nsid w:val="50801EE1"/>
    <w:multiLevelType w:val="hybridMultilevel"/>
    <w:lvl w:ilvl="0">
      <w:lvlJc w:val="left"/>
      <w:lvlText w:val="•"/>
      <w:numFmt w:val="bullet"/>
      <w:start w:val="1"/>
    </w:lvl>
    <w:lvl w:ilvl="1">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amp;"/>
      <w:numFmt w:val="bullet"/>
      <w:start w:val="1"/>
    </w:lvl>
  </w:abstractNum>
  <w:abstractNum w:abstractNumId="62">
    <w:nsid w:val="5F3534A4"/>
    <w:multiLevelType w:val="hybridMultilevel"/>
    <w:lvl w:ilvl="0">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
      <w:numFmt w:val="bullet"/>
      <w:start w:val="1"/>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1)"/>
      <w:numFmt w:val="decimal"/>
      <w:start w:val="1"/>
    </w:lvl>
  </w:abstractNum>
  <w:abstractNum w:abstractNumId="70">
    <w:nsid w:val="9DAF632"/>
    <w:multiLevelType w:val="hybridMultilevel"/>
    <w:lvl w:ilvl="0">
      <w:lvlJc w:val="left"/>
      <w:lvlText w:val="(%1)"/>
      <w:numFmt w:val="lowerRoman"/>
      <w:start w:val="2"/>
    </w:lvl>
  </w:abstractNum>
  <w:abstractNum w:abstractNumId="71">
    <w:nsid w:val="53299938"/>
    <w:multiLevelType w:val="hybridMultilevel"/>
    <w:lvl w:ilvl="0">
      <w:lvlJc w:val="left"/>
      <w:lvlText w:val="(%1)"/>
      <w:numFmt w:val="lowerRoman"/>
      <w:start w:val="3"/>
    </w:lvl>
  </w:abstractNum>
  <w:abstractNum w:abstractNumId="72">
    <w:nsid w:val="1FBFE8E0"/>
    <w:multiLevelType w:val="hybridMultilevel"/>
    <w:lvl w:ilvl="0">
      <w:lvlJc w:val="left"/>
      <w:lvlText w:val="•"/>
      <w:numFmt w:val="bullet"/>
      <w:start w:val="1"/>
    </w:lvl>
  </w:abstractNum>
  <w:abstractNum w:abstractNumId="73">
    <w:nsid w:val="5092CA79"/>
    <w:multiLevelType w:val="hybridMultilevel"/>
    <w:lvl w:ilvl="0">
      <w:lvlJc w:val="left"/>
      <w:lvlText w:val="•"/>
      <w:numFmt w:val="bullet"/>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1)"/>
      <w:numFmt w:val="decimal"/>
      <w:start w:val="5"/>
    </w:lvl>
  </w:abstractNum>
  <w:abstractNum w:abstractNumId="77">
    <w:nsid w:val="2A155DBC"/>
    <w:multiLevelType w:val="hybridMultilevel"/>
    <w:lvl w:ilvl="0">
      <w:lvlJc w:val="left"/>
      <w:lvlText w:val="(%1)"/>
      <w:numFmt w:val="lowerRoman"/>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decimal"/>
      <w:start w:val="13"/>
    </w:lvl>
  </w:abstractNum>
  <w:abstractNum w:abstractNumId="80">
    <w:nsid w:val="51088277"/>
    <w:multiLevelType w:val="hybridMultilevel"/>
    <w:lvl w:ilvl="0">
      <w:lvlJc w:val="left"/>
      <w:lvlText w:val="(%1)"/>
      <w:numFmt w:val="decimal"/>
      <w:start w:val="29"/>
    </w:lvl>
  </w:abstractNum>
  <w:abstractNum w:abstractNumId="81">
    <w:nsid w:val="1CA0C5FA"/>
    <w:multiLevelType w:val="hybridMultilevel"/>
    <w:lvl w:ilvl="0">
      <w:lvlJc w:val="left"/>
      <w:lvlText w:val="(%1)"/>
      <w:numFmt w:val="decimal"/>
      <w:start w:val="50"/>
    </w:lvl>
  </w:abstractNum>
  <w:abstractNum w:abstractNumId="82">
    <w:nsid w:val="53584BCB"/>
    <w:multiLevelType w:val="hybridMultilevel"/>
    <w:lvl w:ilvl="0">
      <w:lvlJc w:val="left"/>
      <w:lvlText w:val="(%1)"/>
      <w:numFmt w:val="lowerRoman"/>
      <w:start w:val="10"/>
    </w:lvl>
  </w:abstractNum>
  <w:abstractNum w:abstractNumId="83">
    <w:nsid w:val="415E286C"/>
    <w:multiLevelType w:val="hybridMultilevel"/>
    <w:lvl w:ilvl="0">
      <w:lvlJc w:val="left"/>
      <w:lvlText w:val="•"/>
      <w:numFmt w:val="bullet"/>
      <w:start w:val="1"/>
    </w:lvl>
  </w:abstractNum>
  <w:abstractNum w:abstractNumId="84">
    <w:nsid w:val="7C58FD05"/>
    <w:multiLevelType w:val="hybridMultilevel"/>
    <w:lvl w:ilvl="0">
      <w:lvlJc w:val="left"/>
      <w:lvlText w:val="•"/>
      <w:numFmt w:val="bullet"/>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
      <w:numFmt w:val="bullet"/>
      <w:start w:val="1"/>
    </w:lvl>
  </w:abstractNum>
  <w:abstractNum w:abstractNumId="87">
    <w:nsid w:val="5C10FE21"/>
    <w:multiLevelType w:val="hybridMultilevel"/>
    <w:lvl w:ilvl="0">
      <w:lvlJc w:val="left"/>
      <w:lvlText w:val="•"/>
      <w:numFmt w:val="bullet"/>
      <w:start w:val="1"/>
    </w:lvl>
  </w:abstractNum>
  <w:abstractNum w:abstractNumId="88">
    <w:nsid w:val="E7FFA2B"/>
    <w:multiLevelType w:val="hybridMultilevel"/>
    <w:lvl w:ilvl="0">
      <w:lvlJc w:val="left"/>
      <w:lvlText w:val="•"/>
      <w:numFmt w:val="bullet"/>
      <w:start w:val="1"/>
    </w:lvl>
  </w:abstractNum>
  <w:abstractNum w:abstractNumId="89">
    <w:nsid w:val="3C5991AA"/>
    <w:multiLevelType w:val="hybridMultilevel"/>
    <w:lvl w:ilvl="0">
      <w:lvlJc w:val="left"/>
      <w:lvlText w:val="(%1)"/>
      <w:numFmt w:val="decimal"/>
      <w:start w:val="2"/>
    </w:lvl>
  </w:abstractNum>
  <w:abstractNum w:abstractNumId="90">
    <w:nsid w:val="4BD8591A"/>
    <w:multiLevelType w:val="hybridMultilevel"/>
    <w:lvl w:ilvl="0">
      <w:lvlJc w:val="left"/>
      <w:lvlText w:val="(%1)"/>
      <w:numFmt w:val="lowerRoman"/>
      <w:start w:val="1"/>
    </w:lvl>
  </w:abstractNum>
  <w:abstractNum w:abstractNumId="91">
    <w:nsid w:val="78DF6A55"/>
    <w:multiLevelType w:val="hybridMultilevel"/>
    <w:lvl w:ilvl="0">
      <w:lvlJc w:val="left"/>
      <w:lvlText w:val="•"/>
      <w:numFmt w:val="bullet"/>
      <w:start w:val="1"/>
    </w:lvl>
  </w:abstractNum>
  <w:abstractNum w:abstractNumId="92">
    <w:nsid w:val="39B7AAA2"/>
    <w:multiLevelType w:val="hybridMultilevel"/>
    <w:lvl w:ilvl="0">
      <w:lvlJc w:val="left"/>
      <w:lvlText w:val="•"/>
      <w:numFmt w:val="bullet"/>
      <w:start w:val="1"/>
    </w:lvl>
  </w:abstractNum>
  <w:abstractNum w:abstractNumId="93">
    <w:nsid w:val="2B0D8DBE"/>
    <w:multiLevelType w:val="hybridMultilevel"/>
    <w:lvl w:ilvl="0">
      <w:lvlJc w:val="left"/>
      <w:lvlText w:val="%1."/>
      <w:numFmt w:val="decimal"/>
      <w:start w:val="1"/>
    </w:lvl>
  </w:abstractNum>
  <w:abstractNum w:abstractNumId="94">
    <w:nsid w:val="6C80EC70"/>
    <w:multiLevelType w:val="hybridMultilevel"/>
    <w:lvl w:ilvl="0">
      <w:lvlJc w:val="left"/>
      <w:lvlText w:val="%1."/>
      <w:numFmt w:val="decimal"/>
      <w:start w:val="2"/>
    </w:lvl>
  </w:abstractNum>
  <w:abstractNum w:abstractNumId="95">
    <w:nsid w:val="379E21B5"/>
    <w:multiLevelType w:val="hybridMultilevel"/>
    <w:lvl w:ilvl="0">
      <w:lvlJc w:val="left"/>
      <w:lvlText w:val="%1."/>
      <w:numFmt w:val="decimal"/>
      <w:start w:val="2"/>
    </w:lvl>
  </w:abstractNum>
  <w:abstractNum w:abstractNumId="96">
    <w:nsid w:val="69E373"/>
    <w:multiLevelType w:val="hybridMultilevel"/>
    <w:lvl w:ilvl="0">
      <w:lvlJc w:val="left"/>
      <w:lvlText w:val="%1."/>
      <w:numFmt w:val="decimal"/>
      <w:start w:val="2"/>
    </w:lvl>
  </w:abstractNum>
  <w:abstractNum w:abstractNumId="97">
    <w:nsid w:val="2C27173B"/>
    <w:multiLevelType w:val="hybridMultilevel"/>
    <w:lvl w:ilvl="0">
      <w:lvlJc w:val="left"/>
      <w:lvlText w:val="%1."/>
      <w:numFmt w:val="decimal"/>
      <w:start w:val="2"/>
    </w:lvl>
  </w:abstractNum>
  <w:abstractNum w:abstractNumId="98">
    <w:nsid w:val="4C9B0904"/>
    <w:multiLevelType w:val="hybridMultilevel"/>
    <w:lvl w:ilvl="0">
      <w:lvlJc w:val="left"/>
      <w:lvlText w:val="(%1)"/>
      <w:numFmt w:val="decimal"/>
      <w:start w:val="1"/>
    </w:lvl>
  </w:abstractNum>
  <w:abstractNum w:abstractNumId="99">
    <w:nsid w:val="6AA7B75C"/>
    <w:multiLevelType w:val="hybridMultilevel"/>
    <w:lvl w:ilvl="0">
      <w:lvlJc w:val="left"/>
      <w:lvlText w:val="%1."/>
      <w:numFmt w:val="decimal"/>
      <w:start w:val="2"/>
    </w:lvl>
  </w:abstractNum>
  <w:abstractNum w:abstractNumId="100">
    <w:nsid w:val="1DF029D3"/>
    <w:multiLevelType w:val="hybridMultilevel"/>
    <w:lvl w:ilvl="0">
      <w:lvlJc w:val="left"/>
      <w:lvlText w:val="%1."/>
      <w:numFmt w:val="decimal"/>
      <w:start w:val="2"/>
    </w:lvl>
  </w:abstractNum>
  <w:abstractNum w:abstractNumId="101">
    <w:nsid w:val="5675FF36"/>
    <w:multiLevelType w:val="hybridMultilevel"/>
    <w:lvl w:ilvl="0">
      <w:lvlJc w:val="left"/>
      <w:lvlText w:val="%1."/>
      <w:numFmt w:val="decimal"/>
      <w:start w:val="2"/>
    </w:lvl>
  </w:abstractNum>
  <w:abstractNum w:abstractNumId="102">
    <w:nsid w:val="3DD15094"/>
    <w:multiLevelType w:val="hybridMultilevel"/>
    <w:lvl w:ilvl="0">
      <w:lvlJc w:val="left"/>
      <w:lvlText w:val="%1."/>
      <w:numFmt w:val="decimal"/>
      <w:start w:val="3"/>
    </w:lvl>
  </w:abstractNum>
  <w:abstractNum w:abstractNumId="103">
    <w:nsid w:val="3DB012B3"/>
    <w:multiLevelType w:val="hybridMultilevel"/>
    <w:lvl w:ilvl="0">
      <w:lvlJc w:val="left"/>
      <w:lvlText w:val="%1."/>
      <w:numFmt w:val="decimal"/>
      <w:start w:val="4"/>
    </w:lvl>
  </w:abstractNum>
  <w:abstractNum w:abstractNumId="104">
    <w:nsid w:val="2708C9AF"/>
    <w:multiLevelType w:val="hybridMultilevel"/>
    <w:lvl w:ilvl="0">
      <w:lvlJc w:val="left"/>
      <w:lvlText w:val="%1."/>
      <w:numFmt w:val="decimal"/>
      <w:start w:val="5"/>
    </w:lvl>
  </w:abstractNum>
  <w:abstractNum w:abstractNumId="105">
    <w:nsid w:val="5B25ACE2"/>
    <w:multiLevelType w:val="hybridMultilevel"/>
    <w:lvl w:ilvl="0">
      <w:lvlJc w:val="left"/>
      <w:lvlText w:val="%1."/>
      <w:numFmt w:val="decimal"/>
      <w:start w:val="6"/>
    </w:lvl>
  </w:abstractNum>
  <w:abstractNum w:abstractNumId="106">
    <w:nsid w:val="175DFCF0"/>
    <w:multiLevelType w:val="hybridMultilevel"/>
    <w:lvl w:ilvl="0">
      <w:lvlJc w:val="left"/>
      <w:lvlText w:val="%1."/>
      <w:numFmt w:val="decimal"/>
      <w:start w:val="7"/>
    </w:lvl>
    <w:lvl w:ilvl="1">
      <w:lvlJc w:val="left"/>
      <w:lvlText w:val="•"/>
      <w:numFmt w:val="bullet"/>
      <w:start w:val="1"/>
    </w:lvl>
  </w:abstractNum>
  <w:abstractNum w:abstractNumId="107">
    <w:nsid w:val="4F97E3E4"/>
    <w:multiLevelType w:val="hybridMultilevel"/>
    <w:lvl w:ilvl="0">
      <w:lvlJc w:val="left"/>
      <w:lvlText w:val="%1."/>
      <w:numFmt w:val="decimal"/>
      <w:start w:val="7"/>
    </w:lvl>
  </w:abstractNum>
  <w:abstractNum w:abstractNumId="108">
    <w:nsid w:val="53B0A9E"/>
    <w:multiLevelType w:val="hybridMultilevel"/>
    <w:lvl w:ilvl="0">
      <w:lvlJc w:val="left"/>
      <w:lvlText w:val="%1."/>
      <w:numFmt w:val="decimal"/>
      <w:start w:val="7"/>
    </w:lvl>
  </w:abstractNum>
  <w:abstractNum w:abstractNumId="109">
    <w:nsid w:val="34FD6B4F"/>
    <w:multiLevelType w:val="hybridMultilevel"/>
    <w:lvl w:ilvl="0">
      <w:lvlJc w:val="left"/>
      <w:lvlText w:val="%1."/>
      <w:numFmt w:val="decimal"/>
      <w:start w:val="8"/>
    </w:lvl>
  </w:abstractNum>
  <w:abstractNum w:abstractNumId="110">
    <w:nsid w:val="5915FF32"/>
    <w:multiLevelType w:val="hybridMultilevel"/>
    <w:lvl w:ilvl="0">
      <w:lvlJc w:val="left"/>
      <w:lvlText w:val="%1."/>
      <w:numFmt w:val="decimal"/>
      <w:start w:val="9"/>
    </w:lvl>
  </w:abstractNum>
  <w:abstractNum w:abstractNumId="111">
    <w:nsid w:val="56438D15"/>
    <w:multiLevelType w:val="hybridMultilevel"/>
    <w:lvl w:ilvl="0">
      <w:lvlJc w:val="left"/>
      <w:lvlText w:val="%1."/>
      <w:numFmt w:val="decimal"/>
      <w:start w:val="1"/>
    </w:lvl>
  </w:abstractNum>
  <w:abstractNum w:abstractNumId="112">
    <w:nsid w:val="519E3149"/>
    <w:multiLevelType w:val="hybridMultilevel"/>
    <w:lvl w:ilvl="0">
      <w:lvlJc w:val="left"/>
      <w:lvlText w:val="%1."/>
      <w:numFmt w:val="decimal"/>
      <w:start w:val="2"/>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2"/>
    </w:lvl>
  </w:abstractNum>
  <w:abstractNum w:abstractNumId="115">
    <w:nsid w:val="4DF72E4E"/>
    <w:multiLevelType w:val="hybridMultilevel"/>
    <w:lvl w:ilvl="0">
      <w:lvlJc w:val="left"/>
      <w:lvlText w:val="%1."/>
      <w:numFmt w:val="decimal"/>
      <w:start w:val="3"/>
    </w:lvl>
  </w:abstractNum>
  <w:abstractNum w:abstractNumId="116">
    <w:nsid w:val="5046B5A9"/>
    <w:multiLevelType w:val="hybridMultilevel"/>
    <w:lvl w:ilvl="0">
      <w:lvlJc w:val="left"/>
      <w:lvlText w:val="%1."/>
      <w:numFmt w:val="decimal"/>
      <w:start w:val="4"/>
    </w:lvl>
  </w:abstractNum>
  <w:abstractNum w:abstractNumId="117">
    <w:nsid w:val="5D888A08"/>
    <w:multiLevelType w:val="hybridMultilevel"/>
    <w:lvl w:ilvl="0">
      <w:lvlJc w:val="left"/>
      <w:lvlText w:val="%1."/>
      <w:numFmt w:val="decimal"/>
      <w:start w:val="5"/>
    </w:lvl>
  </w:abstractNum>
  <w:abstractNum w:abstractNumId="118">
    <w:nsid w:val="2A082C70"/>
    <w:multiLevelType w:val="hybridMultilevel"/>
    <w:lvl w:ilvl="0">
      <w:lvlJc w:val="left"/>
      <w:lvlText w:val="(%1)"/>
      <w:numFmt w:val="lowerLetter"/>
      <w:start w:val="2"/>
    </w:lvl>
  </w:abstractNum>
  <w:abstractNum w:abstractNumId="119">
    <w:nsid w:val="5EC6AFD4"/>
    <w:multiLevelType w:val="hybridMultilevel"/>
    <w:lvl w:ilvl="0">
      <w:lvlJc w:val="left"/>
      <w:lvlText w:val="•"/>
      <w:numFmt w:val="bullet"/>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
      <w:numFmt w:val="bullet"/>
      <w:start w:val="1"/>
    </w:lvl>
  </w:abstractNum>
  <w:abstractNum w:abstractNumId="122">
    <w:nsid w:val="57A61A29"/>
    <w:multiLevelType w:val="hybridMultilevel"/>
    <w:lvl w:ilvl="0">
      <w:lvlJc w:val="left"/>
      <w:lvlText w:val="(%1)"/>
      <w:numFmt w:val="lowerLetter"/>
      <w:start w:val="2"/>
    </w:lvl>
  </w:abstractNum>
  <w:abstractNum w:abstractNumId="123">
    <w:nsid w:val="5399C654"/>
    <w:multiLevelType w:val="hybridMultilevel"/>
    <w:lvl w:ilvl="0">
      <w:lvlJc w:val="left"/>
      <w:lvlText w:val="•"/>
      <w:numFmt w:val="bullet"/>
      <w:start w:val="1"/>
    </w:lvl>
  </w:abstractNum>
  <w:abstractNum w:abstractNumId="124">
    <w:nsid w:val="20EE1348"/>
    <w:multiLevelType w:val="hybridMultilevel"/>
    <w:lvl w:ilvl="0">
      <w:lvlJc w:val="left"/>
      <w:lvlText w:val="•"/>
      <w:numFmt w:val="bullet"/>
      <w:start w:val="1"/>
    </w:lvl>
  </w:abstractNum>
  <w:abstractNum w:abstractNumId="125">
    <w:nsid w:val="4427069A"/>
    <w:multiLevelType w:val="hybridMultilevel"/>
    <w:lvl w:ilvl="0">
      <w:lvlJc w:val="left"/>
      <w:lvlText w:val="•"/>
      <w:numFmt w:val="bullet"/>
      <w:start w:val="1"/>
    </w:lvl>
  </w:abstractNum>
  <w:abstractNum w:abstractNumId="126">
    <w:nsid w:val="B37E80A"/>
    <w:multiLevelType w:val="hybridMultilevel"/>
    <w:lvl w:ilvl="0">
      <w:lvlJc w:val="left"/>
      <w:lvlText w:val="•"/>
      <w:numFmt w:val="bullet"/>
      <w:start w:val="1"/>
    </w:lvl>
  </w:abstractNum>
  <w:abstractNum w:abstractNumId="127">
    <w:nsid w:val="2157F6BC"/>
    <w:multiLevelType w:val="hybridMultilevel"/>
    <w:lvl w:ilvl="0">
      <w:lvlJc w:val="left"/>
      <w:lvlText w:val="•"/>
      <w:numFmt w:val="bullet"/>
      <w:start w:val="1"/>
    </w:lvl>
  </w:abstractNum>
  <w:abstractNum w:abstractNumId="128">
    <w:nsid w:val="704E1DD5"/>
    <w:multiLevelType w:val="hybridMultilevel"/>
    <w:lvl w:ilvl="0">
      <w:lvlJc w:val="left"/>
      <w:lvlText w:val="+"/>
      <w:numFmt w:val="bullet"/>
      <w:start w:val="1"/>
    </w:lvl>
  </w:abstractNum>
  <w:abstractNum w:abstractNumId="129">
    <w:nsid w:val="57D2F10E"/>
    <w:multiLevelType w:val="hybridMultilevel"/>
    <w:lvl w:ilvl="0">
      <w:lvlJc w:val="left"/>
      <w:lvlText w:val="#"/>
      <w:numFmt w:val="bullet"/>
      <w:start w:val="1"/>
    </w:lvl>
  </w:abstractNum>
  <w:abstractNum w:abstractNumId="130">
    <w:nsid w:val="BFFAE1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1">
    <w:nsid w:val="E3E47A8"/>
    <w:multiLevelType w:val="hybridMultilevel"/>
    <w:lvl w:ilvl="0">
      <w:lvlJc w:val="left"/>
      <w:lvlText w:val="%1"/>
      <w:numFmt w:val="lowerLetter"/>
      <w:start w:val="1"/>
    </w:lvl>
    <w:lvl w:ilvl="1">
      <w:lvlJc w:val="left"/>
      <w:lvlText w:val="(%2)"/>
      <w:numFmt w:val="decimal"/>
      <w:start w:val="3"/>
    </w:lvl>
    <w:lvl w:ilvl="2">
      <w:lvlJc w:val="left"/>
      <w:lvlText w:val="(%3)"/>
      <w:numFmt w:val="lowerRoman"/>
      <w:start w:val="1"/>
    </w:lvl>
  </w:abstractNum>
  <w:abstractNum w:abstractNumId="132">
    <w:nsid w:val="2E48F044"/>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133">
    <w:nsid w:val="49D0FEAC"/>
    <w:multiLevelType w:val="hybridMultilevel"/>
    <w:lvl w:ilvl="0">
      <w:lvlJc w:val="left"/>
      <w:lvlText w:val="%1"/>
      <w:numFmt w:val="decimal"/>
      <w:start w:val="41"/>
    </w:lvl>
  </w:abstractNum>
  <w:abstractNum w:abstractNumId="134">
    <w:nsid w:val="4BEE5A5B"/>
    <w:multiLevelType w:val="hybridMultilevel"/>
    <w:lvl w:ilvl="0">
      <w:lvlJc w:val="left"/>
      <w:lvlText w:val="(%1)"/>
      <w:numFmt w:val="lowerRoman"/>
      <w:start w:val="1"/>
    </w:lvl>
  </w:abstractNum>
  <w:abstractNum w:abstractNumId="135">
    <w:nsid w:val="5551B9F3"/>
    <w:multiLevelType w:val="hybridMultilevel"/>
    <w:lvl w:ilvl="0">
      <w:lvlJc w:val="left"/>
      <w:lvlText w:val="%1"/>
      <w:numFmt w:val="lowerLetter"/>
      <w:start w:val="1"/>
    </w:lvl>
    <w:lvl w:ilvl="1">
      <w:lvlJc w:val="left"/>
      <w:lvlText w:val="(%2)"/>
      <w:numFmt w:val="lowerLetter"/>
      <w:start w:val="9"/>
    </w:lvl>
  </w:abstractNum>
  <w:abstractNum w:abstractNumId="136">
    <w:nsid w:val="24F6AB8E"/>
    <w:multiLevelType w:val="hybridMultilevel"/>
    <w:lvl w:ilvl="0">
      <w:lvlJc w:val="left"/>
      <w:lvlText w:val="(%1)"/>
      <w:numFmt w:val="lowerLetter"/>
      <w:start w:val="2"/>
    </w:lvl>
    <w:lvl w:ilvl="1">
      <w:lvlJc w:val="left"/>
      <w:lvlText w:val="(%2)"/>
      <w:numFmt w:val="lowerLetter"/>
      <w:start w:val="35"/>
    </w:lvl>
  </w:abstractNum>
  <w:abstractNum w:abstractNumId="137">
    <w:nsid w:val="634C574C"/>
    <w:multiLevelType w:val="hybridMultilevel"/>
    <w:lvl w:ilvl="0">
      <w:lvlJc w:val="left"/>
      <w:lvlText w:val="(%1)"/>
      <w:numFmt w:val="lowerRoman"/>
      <w:start w:val="3"/>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9" Type="http://schemas.openxmlformats.org/officeDocument/2006/relationships/image" Target="media/image530.png"/><Relationship Id="rId542" Type="http://schemas.openxmlformats.org/officeDocument/2006/relationships/image" Target="media/image531.png"/><Relationship Id="rId543" Type="http://schemas.openxmlformats.org/officeDocument/2006/relationships/image" Target="media/image532.png"/><Relationship Id="rId546" Type="http://schemas.openxmlformats.org/officeDocument/2006/relationships/image" Target="media/image533.png"/><Relationship Id="rId548" Type="http://schemas.openxmlformats.org/officeDocument/2006/relationships/image" Target="media/image534.png"/><Relationship Id="rId551" Type="http://schemas.openxmlformats.org/officeDocument/2006/relationships/image" Target="media/image535.png"/><Relationship Id="rId554" Type="http://schemas.openxmlformats.org/officeDocument/2006/relationships/image" Target="media/image536.png"/><Relationship Id="rId557" Type="http://schemas.openxmlformats.org/officeDocument/2006/relationships/image" Target="media/image537.png"/><Relationship Id="rId560" Type="http://schemas.openxmlformats.org/officeDocument/2006/relationships/image" Target="media/image538.png"/><Relationship Id="rId563" Type="http://schemas.openxmlformats.org/officeDocument/2006/relationships/image" Target="media/image539.png"/><Relationship Id="rId566" Type="http://schemas.openxmlformats.org/officeDocument/2006/relationships/image" Target="media/image540.png"/><Relationship Id="rId569" Type="http://schemas.openxmlformats.org/officeDocument/2006/relationships/image" Target="media/image541.png"/><Relationship Id="rId572" Type="http://schemas.openxmlformats.org/officeDocument/2006/relationships/image" Target="media/image542.png"/><Relationship Id="rId577" Type="http://schemas.openxmlformats.org/officeDocument/2006/relationships/image" Target="media/image543.png"/><Relationship Id="rId578" Type="http://schemas.openxmlformats.org/officeDocument/2006/relationships/image" Target="media/image544.png"/><Relationship Id="rId579" Type="http://schemas.openxmlformats.org/officeDocument/2006/relationships/image" Target="media/image545.png"/><Relationship Id="rId580" Type="http://schemas.openxmlformats.org/officeDocument/2006/relationships/image" Target="media/image546.png"/><Relationship Id="rId581" Type="http://schemas.openxmlformats.org/officeDocument/2006/relationships/image" Target="media/image547.png"/><Relationship Id="rId582" Type="http://schemas.openxmlformats.org/officeDocument/2006/relationships/image" Target="media/image548.png"/><Relationship Id="rId583" Type="http://schemas.openxmlformats.org/officeDocument/2006/relationships/image" Target="media/image549.jpeg"/><Relationship Id="rId584" Type="http://schemas.openxmlformats.org/officeDocument/2006/relationships/image" Target="media/image550.png"/><Relationship Id="rId585" Type="http://schemas.openxmlformats.org/officeDocument/2006/relationships/image" Target="media/image551.png"/><Relationship Id="rId586" Type="http://schemas.openxmlformats.org/officeDocument/2006/relationships/image" Target="media/image552.png"/><Relationship Id="rId587" Type="http://schemas.openxmlformats.org/officeDocument/2006/relationships/image" Target="media/image553.png"/><Relationship Id="rId588" Type="http://schemas.openxmlformats.org/officeDocument/2006/relationships/image" Target="media/image554.png"/><Relationship Id="rId589" Type="http://schemas.openxmlformats.org/officeDocument/2006/relationships/image" Target="media/image555.png"/><Relationship Id="rId590" Type="http://schemas.openxmlformats.org/officeDocument/2006/relationships/image" Target="media/image556.png"/><Relationship Id="rId537" Type="http://schemas.openxmlformats.org/officeDocument/2006/relationships/hyperlink" Target="https://www.sec.gov/Archives/edgar/data/1779474/000095010320024045/dp142700_ex0201.htm" TargetMode="External"/><Relationship Id="rId538" Type="http://schemas.openxmlformats.org/officeDocument/2006/relationships/hyperlink" Target="https://www.sec.gov/Archives/edgar/data/1779474/000114036121021785/brhc10025756_ex3-1.htm" TargetMode="External"/><Relationship Id="rId540" Type="http://schemas.openxmlformats.org/officeDocument/2006/relationships/hyperlink" Target="https://www.sec.gov/Archives/edgar/data/1779474/000114036121021785/brhc10025756_ex3-2.htm" TargetMode="External"/><Relationship Id="rId541" Type="http://schemas.openxmlformats.org/officeDocument/2006/relationships/hyperlink" Target="https://www.sec.gov/Archives/edgar/data/1779474/000114036121021785/brhc10025756_ex4-1.htm" TargetMode="External"/><Relationship Id="rId544" Type="http://schemas.openxmlformats.org/officeDocument/2006/relationships/hyperlink" Target="https://www.sec.gov/Archives/edgar/data/1779474/000114036121021785/brhc10025756_ex4-2.htm" TargetMode="External"/><Relationship Id="rId545" Type="http://schemas.openxmlformats.org/officeDocument/2006/relationships/hyperlink" Target="https://www.sec.gov/Archives/edgar/data/1779474/000095010319010751/dp111173_ex0401.htm" TargetMode="External"/><Relationship Id="rId547" Type="http://schemas.openxmlformats.org/officeDocument/2006/relationships/hyperlink" Target="https://www.sec.gov/Archives/edgar/data/1779474/000114036121021785/brhc10025756_ex10-1.htm" TargetMode="External"/><Relationship Id="rId549" Type="http://schemas.openxmlformats.org/officeDocument/2006/relationships/hyperlink" Target="https://www.sec.gov/Archives/edgar/data/1779474/000114036121021785/brhc10025756_ex10-2.htm" TargetMode="External"/><Relationship Id="rId550" Type="http://schemas.openxmlformats.org/officeDocument/2006/relationships/hyperlink" Target="https://www.sec.gov/Archives/edgar/data/1779474/000114036121021785/brhc10025756_ex10-3.htm" TargetMode="External"/><Relationship Id="rId552" Type="http://schemas.openxmlformats.org/officeDocument/2006/relationships/hyperlink" Target="https://www.sec.gov/Archives/edgar/data/1779474/000095010320024045/dp142700_ex1001.htm" TargetMode="External"/><Relationship Id="rId553" Type="http://schemas.openxmlformats.org/officeDocument/2006/relationships/hyperlink" Target="https://www.sec.gov/Archives/edgar/data/1779474/000114036121021785/brhc10025756_ex10-5.htm" TargetMode="External"/><Relationship Id="rId555" Type="http://schemas.openxmlformats.org/officeDocument/2006/relationships/hyperlink" Target="https://www.sec.gov/Archives/edgar/data/1779474/000114036121021785/brhc10025756_ex10-6.htm" TargetMode="External"/><Relationship Id="rId556" Type="http://schemas.openxmlformats.org/officeDocument/2006/relationships/hyperlink" Target="https://www.sec.gov/Archives/edgar/data/1779474/000114036121021785/brhc10025756_ex10-7.htm" TargetMode="External"/><Relationship Id="rId558" Type="http://schemas.openxmlformats.org/officeDocument/2006/relationships/hyperlink" Target="https://www.sec.gov/Archives/edgar/data/1779474/000114036121021785/brhc10025756_ex10-7a.htm" TargetMode="External"/><Relationship Id="rId559" Type="http://schemas.openxmlformats.org/officeDocument/2006/relationships/hyperlink" Target="https://www.sec.gov/Archives/edgar/data/1779474/000114036121021785/brhc10025756_ex10-7b.htm" TargetMode="External"/><Relationship Id="rId561" Type="http://schemas.openxmlformats.org/officeDocument/2006/relationships/hyperlink" Target="https://www.sec.gov/Archives/edgar/data/1779474/000114036121021785/brhc10025756_ex10-8.htm" TargetMode="External"/><Relationship Id="rId562" Type="http://schemas.openxmlformats.org/officeDocument/2006/relationships/hyperlink" Target="https://www.sec.gov/Archives/edgar/data/1779474/000114036121021785/brhc10025756_ex10-9.htm" TargetMode="External"/><Relationship Id="rId564" Type="http://schemas.openxmlformats.org/officeDocument/2006/relationships/hyperlink" Target="https://www.sec.gov/Archives/edgar/data/1779474/000114036121021785/brhc10025756_ex10-10.htm" TargetMode="External"/><Relationship Id="rId565" Type="http://schemas.openxmlformats.org/officeDocument/2006/relationships/hyperlink" Target="https://www.sec.gov/Archives/edgar/data/1779474/000114036121021785/brhc10025756_ex10-11.htm" TargetMode="External"/><Relationship Id="rId567" Type="http://schemas.openxmlformats.org/officeDocument/2006/relationships/hyperlink" Target="https://www.sec.gov/Archives/edgar/data/1779474/000114036121021785/brhc10025756_ex10-12.htm" TargetMode="External"/><Relationship Id="rId568" Type="http://schemas.openxmlformats.org/officeDocument/2006/relationships/hyperlink" Target="https://www.sec.gov/Archives/edgar/data/1779474/000114036121021785/brhc10025756_ex10-13.htm" TargetMode="External"/><Relationship Id="rId570" Type="http://schemas.openxmlformats.org/officeDocument/2006/relationships/hyperlink" Target="https://www.sec.gov/Archives/edgar/data/1779474/000114036121021785/brhc10025756_ex10-14.htm" TargetMode="External"/><Relationship Id="rId571" Type="http://schemas.openxmlformats.org/officeDocument/2006/relationships/hyperlink" Target="https://www.sec.gov/Archives/edgar/data/1779474/000114036121021785/brhc10025756_ex10-15.htm" TargetMode="External"/><Relationship Id="rId573" Type="http://schemas.openxmlformats.org/officeDocument/2006/relationships/hyperlink" Target="https://www.sec.gov/Archives/edgar/data/1779474/000114036121021785/brhc10025756_ex10-16.htm" TargetMode="External"/><Relationship Id="rId574" Type="http://schemas.openxmlformats.org/officeDocument/2006/relationships/hyperlink" Target="https://www.sec.gov/Archives/edgar/data/1779474/000114036121021785/brhc10025756_ex10-17.htm" TargetMode="External"/><Relationship Id="rId575" Type="http://schemas.openxmlformats.org/officeDocument/2006/relationships/hyperlink" Target="https://www.sec.gov/Archives/edgar/data/1779474/000114036121021785/brhc10025756_ex16-1.htm" TargetMode="External"/><Relationship Id="rId576" Type="http://schemas.openxmlformats.org/officeDocument/2006/relationships/hyperlink" Target="https://www.sec.gov/Archives/edgar/data/1779474/000114036121021785/brhc10025756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2021-07-08T16:10:37Z</dcterms:created>
  <dcterms:modified xsi:type="dcterms:W3CDTF">2021-07-08T16:10:37Z</dcterms:modified>
</cp:coreProperties>
</file>