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Camire Brian</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WM TECHNOLOGY,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41 DISCOVERY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WM TECHNOLOGY,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MAPS</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8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12/11/2021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005"/>
        <w:spacing w:after="0"/>
        <w:rPr>
          <w:sz w:val="20"/>
          <w:szCs w:val="20"/>
          <w:color w:val="auto"/>
        </w:rPr>
      </w:pPr>
      <w:r>
        <w:rPr>
          <w:rFonts w:ascii="Arial" w:cs="Arial" w:eastAsia="Arial" w:hAnsi="Arial"/>
          <w:sz w:val="17"/>
          <w:szCs w:val="17"/>
          <w:color w:val="0000FF"/>
        </w:rPr>
        <w:t>General Counsel</w:t>
      </w:r>
    </w:p>
    <w:p>
      <w:pPr>
        <w:spacing w:after="0" w:line="402" w:lineRule="exact"/>
        <w:rPr>
          <w:sz w:val="24"/>
          <w:szCs w:val="24"/>
          <w:color w:val="auto"/>
        </w:rPr>
      </w:pPr>
    </w:p>
    <w:p>
      <w:pPr>
        <w:sectPr>
          <w:pgSz w:w="11900" w:h="16838" w:orient="portrait"/>
          <w:cols w:equalWidth="0" w:num="3">
            <w:col w:w="3200" w:space="720"/>
            <w:col w:w="3160" w:space="655"/>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80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500" w:type="dxa"/>
            <w:vAlign w:val="bottom"/>
            <w:gridSpan w:val="8"/>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gridSpan w:val="2"/>
          </w:tcPr>
          <w:p>
            <w:pPr>
              <w:ind w:left="16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8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20" w:type="dxa"/>
            <w:vAlign w:val="bottom"/>
            <w:gridSpan w:val="7"/>
            <w:vMerge w:val="restart"/>
          </w:tcPr>
          <w:p>
            <w:pPr>
              <w:ind w:left="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spacing w:after="0"/>
              <w:rPr>
                <w:sz w:val="20"/>
                <w:szCs w:val="20"/>
                <w:color w:val="auto"/>
              </w:rPr>
            </w:pPr>
            <w:r>
              <w:rPr>
                <w:rFonts w:ascii="Arial" w:cs="Arial" w:eastAsia="Arial" w:hAnsi="Arial"/>
                <w:sz w:val="17"/>
                <w:szCs w:val="17"/>
                <w:color w:val="0000FF"/>
              </w:rPr>
              <w:t>IRVINE</w:t>
            </w:r>
          </w:p>
        </w:tc>
        <w:tc>
          <w:tcPr>
            <w:tcW w:w="840" w:type="dxa"/>
            <w:vAlign w:val="bottom"/>
            <w:vMerge w:val="restart"/>
          </w:tcPr>
          <w:p>
            <w:pPr>
              <w:ind w:left="580"/>
              <w:spacing w:after="0"/>
              <w:rPr>
                <w:sz w:val="20"/>
                <w:szCs w:val="20"/>
                <w:color w:val="auto"/>
              </w:rPr>
            </w:pPr>
            <w:r>
              <w:rPr>
                <w:rFonts w:ascii="Arial" w:cs="Arial" w:eastAsia="Arial" w:hAnsi="Arial"/>
                <w:sz w:val="17"/>
                <w:szCs w:val="17"/>
                <w:color w:val="0000FF"/>
              </w:rPr>
              <w:t>CA</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92618</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2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94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84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60" w:type="dxa"/>
            <w:vAlign w:val="bottom"/>
            <w:gridSpan w:val="2"/>
            <w:vMerge w:val="restart"/>
          </w:tcPr>
          <w:p>
            <w:pPr>
              <w:ind w:left="58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66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7"/>
          </w:tcPr>
          <w:p>
            <w:pPr>
              <w:spacing w:after="0"/>
              <w:rPr>
                <w:sz w:val="11"/>
                <w:szCs w:val="11"/>
                <w:color w:val="auto"/>
              </w:rPr>
            </w:pPr>
          </w:p>
        </w:tc>
        <w:tc>
          <w:tcPr>
            <w:tcW w:w="148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tcPr>
          <w:p>
            <w:pPr>
              <w:spacing w:after="0"/>
              <w:rPr>
                <w:sz w:val="21"/>
                <w:szCs w:val="21"/>
                <w:color w:val="auto"/>
              </w:rPr>
            </w:pPr>
          </w:p>
        </w:tc>
        <w:tc>
          <w:tcPr>
            <w:tcW w:w="7740" w:type="dxa"/>
            <w:vAlign w:val="bottom"/>
            <w:tcBorders>
              <w:top w:val="single" w:sz="8" w:color="2C2C2C"/>
            </w:tcBorders>
            <w:gridSpan w:val="13"/>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6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0" w:type="dxa"/>
            <w:vAlign w:val="bottom"/>
            <w:gridSpan w:val="3"/>
          </w:tcPr>
          <w:p>
            <w:pPr>
              <w:ind w:left="7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6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Class A Common Stock</w:t>
            </w:r>
          </w:p>
        </w:tc>
        <w:tc>
          <w:tcPr>
            <w:tcW w:w="1800" w:type="dxa"/>
            <w:vAlign w:val="bottom"/>
            <w:tcBorders>
              <w:bottom w:val="single" w:sz="8" w:color="2C2C2C"/>
            </w:tcBorders>
            <w:gridSpan w:val="3"/>
          </w:tcPr>
          <w:p>
            <w:pPr>
              <w:ind w:left="860"/>
              <w:spacing w:after="0"/>
              <w:rPr>
                <w:sz w:val="20"/>
                <w:szCs w:val="20"/>
                <w:color w:val="auto"/>
              </w:rPr>
            </w:pPr>
            <w:r>
              <w:rPr>
                <w:rFonts w:ascii="Arial" w:cs="Arial" w:eastAsia="Arial" w:hAnsi="Arial"/>
                <w:sz w:val="17"/>
                <w:szCs w:val="17"/>
                <w:color w:val="0000FF"/>
              </w:rPr>
              <w:t>12/11/2021</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A</w:t>
            </w:r>
          </w:p>
        </w:tc>
        <w:tc>
          <w:tcPr>
            <w:tcW w:w="7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w w:val="85"/>
              </w:rPr>
              <w:t>234,375</w:t>
            </w:r>
            <w:r>
              <w:rPr>
                <w:rFonts w:ascii="Arial" w:cs="Arial" w:eastAsia="Arial" w:hAnsi="Arial"/>
                <w:sz w:val="22"/>
                <w:szCs w:val="22"/>
                <w:color w:val="008000"/>
                <w:w w:val="85"/>
                <w:vertAlign w:val="superscript"/>
              </w:rPr>
              <w:t>(1)</w:t>
            </w:r>
          </w:p>
        </w:tc>
        <w:tc>
          <w:tcPr>
            <w:tcW w:w="64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gridSpan w:val="2"/>
          </w:tcPr>
          <w:p>
            <w:pPr>
              <w:jc w:val="right"/>
              <w:ind w:right="55"/>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0.00</w:t>
            </w:r>
          </w:p>
        </w:tc>
        <w:tc>
          <w:tcPr>
            <w:tcW w:w="120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234,375</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7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28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2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30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the number of shares of Class A Common Stock underlying restricted stock units ("RSUs"). Each RSU represents the contingent right to receive one share of the Issuer's Class A Common Stock. 1/12th of the RSUs shall vest on each Quarterly Date following August 15, 2021 (the "Vesting Commencement Date"), subject to the Reporting Person's Continuous Service (as defined in the Issuer's 2021 Equity Incentive Plan) through each such date. "Quarterly Date" means each of February 15, May 15, August 15 and November 15.</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3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Brian Camire, by /s/ Ron A.</w:t>
      </w:r>
      <w:r>
        <w:rPr>
          <w:sz w:val="20"/>
          <w:szCs w:val="20"/>
          <w:color w:val="auto"/>
        </w:rPr>
        <w:tab/>
      </w:r>
      <w:r>
        <w:rPr>
          <w:rFonts w:ascii="Arial" w:cs="Arial" w:eastAsia="Arial" w:hAnsi="Arial"/>
          <w:sz w:val="23"/>
          <w:szCs w:val="23"/>
          <w:color w:val="0000FF"/>
          <w:vertAlign w:val="subscript"/>
        </w:rPr>
        <w:t>12/14/2021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19050</wp:posOffset>
            </wp:positionV>
            <wp:extent cx="12376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37615" cy="8255"/>
                    </a:xfrm>
                    <a:prstGeom prst="rect">
                      <a:avLst/>
                    </a:prstGeom>
                    <a:noFill/>
                  </pic:spPr>
                </pic:pic>
              </a:graphicData>
            </a:graphic>
          </wp:anchor>
        </w:drawing>
      </w:r>
    </w:p>
    <w:p>
      <w:pPr>
        <w:spacing w:after="0" w:line="56"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Metzger, 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1563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5633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57363" TargetMode="External"/><Relationship Id="rId13" Type="http://schemas.openxmlformats.org/officeDocument/2006/relationships/hyperlink" Target="http://www.sec.gov/cgi-bin/browse-edgar?action=getcompany&amp;CIK=000177947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2021-12-14T16:34:59Z</dcterms:created>
  <dcterms:modified xsi:type="dcterms:W3CDTF">2021-12-14T16:34:59Z</dcterms:modified>
</cp:coreProperties>
</file>