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154305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36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184150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71" w:lineRule="exact"/>
        <w:rPr>
          <w:sz w:val="24"/>
          <w:szCs w:val="24"/>
          <w:color w:val="auto"/>
        </w:rPr>
      </w:pPr>
    </w:p>
    <w:p>
      <w:pPr>
        <w:ind w:left="2900"/>
        <w:spacing w:after="0"/>
        <w:rPr>
          <w:sz w:val="20"/>
          <w:szCs w:val="20"/>
          <w:color w:val="auto"/>
        </w:rPr>
      </w:pPr>
      <w:r>
        <w:rPr>
          <w:rFonts w:ascii="Arial" w:cs="Arial" w:eastAsia="Arial" w:hAnsi="Arial"/>
          <w:sz w:val="43"/>
          <w:szCs w:val="43"/>
          <w:b w:val="1"/>
          <w:bCs w:val="1"/>
          <w:color w:val="auto"/>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227965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398145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209550</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269240</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92075</wp:posOffset>
            </wp:positionV>
            <wp:extent cx="1714500"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5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WM TECHNOLOGY, INC.</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3320" w:right="3319" w:firstLine="535"/>
        <w:spacing w:after="0" w:line="260" w:lineRule="auto"/>
        <w:tabs>
          <w:tab w:leader="none" w:pos="409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IRVINE, CALIFORNIA 92618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WEDNESDAY, JUNE 21, 2023 AT 10:00 A.M. PACIFIC TIME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Stockholders of WM Technology, Inc.:</w:t>
      </w:r>
    </w:p>
    <w:p>
      <w:pPr>
        <w:spacing w:after="0" w:line="11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 xml:space="preserve">You are cordially invited to attend the Annual Meeting of Stockholders (the “Annual Meeting”) of WM Technology, Inc., a Delaware corporation (the “Company”). The meeting will be held on </w:t>
      </w:r>
      <w:r>
        <w:rPr>
          <w:rFonts w:ascii="Arial" w:cs="Arial" w:eastAsia="Arial" w:hAnsi="Arial"/>
          <w:sz w:val="16"/>
          <w:szCs w:val="16"/>
          <w:b w:val="1"/>
          <w:bCs w:val="1"/>
          <w:color w:val="auto"/>
        </w:rPr>
        <w:t>Wednesday, June 21, 2023 at</w:t>
      </w:r>
      <w:r>
        <w:rPr>
          <w:rFonts w:ascii="Arial" w:cs="Arial" w:eastAsia="Arial" w:hAnsi="Arial"/>
          <w:sz w:val="16"/>
          <w:szCs w:val="16"/>
          <w:color w:val="auto"/>
        </w:rPr>
        <w:t xml:space="preserve"> </w:t>
      </w:r>
      <w:r>
        <w:rPr>
          <w:rFonts w:ascii="Arial" w:cs="Arial" w:eastAsia="Arial" w:hAnsi="Arial"/>
          <w:sz w:val="16"/>
          <w:szCs w:val="16"/>
          <w:b w:val="1"/>
          <w:bCs w:val="1"/>
          <w:color w:val="auto"/>
        </w:rPr>
        <w:t>10:00 a.m. Pacific Time</w:t>
      </w:r>
      <w:r>
        <w:rPr>
          <w:rFonts w:ascii="Arial" w:cs="Arial" w:eastAsia="Arial" w:hAnsi="Arial"/>
          <w:sz w:val="16"/>
          <w:szCs w:val="16"/>
          <w:color w:val="auto"/>
        </w:rPr>
        <w:t>. The Annual Meeting will be a virtual meeting of stockholders, which will be conducted</w:t>
      </w:r>
      <w:r>
        <w:rPr>
          <w:rFonts w:ascii="Arial" w:cs="Arial" w:eastAsia="Arial" w:hAnsi="Arial"/>
          <w:sz w:val="16"/>
          <w:szCs w:val="16"/>
          <w:b w:val="1"/>
          <w:bCs w:val="1"/>
          <w:color w:val="auto"/>
        </w:rPr>
        <w:t xml:space="preserve"> </w:t>
      </w:r>
      <w:r>
        <w:rPr>
          <w:rFonts w:ascii="Arial" w:cs="Arial" w:eastAsia="Arial" w:hAnsi="Arial"/>
          <w:sz w:val="16"/>
          <w:szCs w:val="16"/>
          <w:color w:val="auto"/>
        </w:rPr>
        <w:t>only via a live audio webcast. You will be able to attend the Annual Meeting, submit your questions and vote online during the meeting by visiting www.virtualshareholdermeeting.com/MAPS2023. We believe a virtual meeting provides expanded access, improves communication, enables increased stockholder attendance and participation, allows our stockholders, including our many international employees, around the world to attend the Annual Meeting, and provides cost savings for our stockholders and the Company. A complete list of record stockholders will be available for examination by any stockholder for any purpose germane to the Annual Meeting beginning ten days prior to the Annual Meeting at our corporate headquarters during regular business hours. In addition, the list of record stockholders will be available during the Annual Meeting for inspection by stockholders of record for any legally valid purpose related to the Annual Meeting at www.virtualshareholdermeeting.com/MAPS2023.</w:t>
      </w:r>
    </w:p>
    <w:p>
      <w:pPr>
        <w:spacing w:after="0" w:line="6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are holding the Annual Meeting for the following purposes, as more fully described in the accompanying proxy statement:</w:t>
      </w:r>
    </w:p>
    <w:p>
      <w:pPr>
        <w:spacing w:after="0" w:line="62" w:lineRule="exact"/>
        <w:rPr>
          <w:sz w:val="20"/>
          <w:szCs w:val="20"/>
          <w:color w:val="auto"/>
        </w:rPr>
      </w:pPr>
    </w:p>
    <w:p>
      <w:pPr>
        <w:jc w:val="both"/>
        <w:ind w:left="1000" w:right="31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the three nominees for Class II directors named in the accompanying proxy statement (“Proxy Statement”) to serve until the 2026 annual meeting of stockholders and until their successors are duly elected and qualified or until such director’s earlier death, disqualification, resignation or removal;</w:t>
      </w:r>
    </w:p>
    <w:p>
      <w:pPr>
        <w:spacing w:after="0" w:line="57"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as disclosed in the Proxy Statement of our principal executive officer, our principal financial officer, and our three most highly compensated executive officers (other than our principal executive officer and principal financial officer) who were serving as our executive officers at the end of the last completed fiscal year (the “Named Executive Officers”) for the year ended December 31, 2022;</w:t>
      </w:r>
    </w:p>
    <w:p>
      <w:pPr>
        <w:spacing w:after="0" w:line="79"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Baker Tilly US, LLP as our independent registered public accounting firm for the year ending December 31, 2023;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These items of business are more fully described in the Proxy Statement accompanying this Notice of Annual Meeting of Stockholders. The record date for the Annual Meeting is April 26, 2023. Only stockholders of record at the close of business on that date may vote at the meeting or any adjournment thereof. A complete list of the stockholders entitled to vote at the Annual Meeting will be made available to stockholders during the meeting at www.virtualshareholdermeeting.com/MAPS2023.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102870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5349240" cy="942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942975"/>
                    </a:xfrm>
                    <a:prstGeom prst="rect">
                      <a:avLst/>
                    </a:prstGeom>
                    <a:noFill/>
                  </pic:spPr>
                </pic:pic>
              </a:graphicData>
            </a:graphic>
          </wp:anchor>
        </w:drawing>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Stockholders’ Meeting to Be</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Held on Wednesday, June 21, 2023 at 10:00 a.m. Pacific Time online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www.virtualshareholdermeeting.com/MAPS2023.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to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are available at www.proxyvote.com</w:t>
      </w:r>
    </w:p>
    <w:p>
      <w:pPr>
        <w:spacing w:after="0" w:line="25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 Brian Camire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57785</wp:posOffset>
            </wp:positionV>
            <wp:extent cx="3008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3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Brian Camire</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General Counsel and Secretary</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Irvine, California</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90170</wp:posOffset>
            </wp:positionV>
            <wp:extent cx="5353050" cy="1118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3050" cy="111887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 are cordially invited to attend the Annual Meeting, which will be held virtually via the Internet.</w:t>
      </w:r>
    </w:p>
    <w:p>
      <w:pPr>
        <w:spacing w:after="0" w:line="39" w:lineRule="exact"/>
        <w:rPr>
          <w:sz w:val="20"/>
          <w:szCs w:val="20"/>
          <w:color w:val="auto"/>
        </w:rPr>
      </w:pPr>
    </w:p>
    <w:p>
      <w:pPr>
        <w:jc w:val="center"/>
        <w:ind w:left="1880"/>
        <w:spacing w:after="0" w:line="290" w:lineRule="auto"/>
        <w:rPr>
          <w:sz w:val="20"/>
          <w:szCs w:val="20"/>
          <w:color w:val="auto"/>
        </w:rPr>
      </w:pPr>
      <w:r>
        <w:rPr>
          <w:rFonts w:ascii="Arial" w:cs="Arial" w:eastAsia="Arial" w:hAnsi="Arial"/>
          <w:sz w:val="16"/>
          <w:szCs w:val="16"/>
          <w:b w:val="1"/>
          <w:bCs w:val="1"/>
          <w:color w:val="auto"/>
        </w:rPr>
        <w:t>Whether or not you expect to attend the Annual Meeting, please vote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173355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QUESTIONS AND ANSWERS ABOUT THESE PROXY MATERIALS AND VOTING</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8"/>
          </w:tcPr>
          <w:p>
            <w:pPr>
              <w:spacing w:after="0"/>
              <w:rPr>
                <w:sz w:val="20"/>
                <w:szCs w:val="20"/>
                <w:color w:val="auto"/>
              </w:rPr>
            </w:pPr>
            <w:r>
              <w:rPr>
                <w:rFonts w:ascii="Arial" w:cs="Arial" w:eastAsia="Arial" w:hAnsi="Arial"/>
                <w:sz w:val="18"/>
                <w:szCs w:val="18"/>
                <w:color w:val="0000EE"/>
              </w:rPr>
              <w:t>PROPOSAL 1 ELECTION OF DIRECTORS</w:t>
            </w:r>
          </w:p>
        </w:tc>
        <w:tc>
          <w:tcPr>
            <w:tcW w:w="220" w:type="dxa"/>
            <w:vAlign w:val="bottom"/>
            <w:gridSpan w:val="3"/>
          </w:tcPr>
          <w:p>
            <w:pPr>
              <w:jc w:val="right"/>
              <w:spacing w:after="0"/>
              <w:rPr>
                <w:sz w:val="20"/>
                <w:szCs w:val="20"/>
                <w:color w:val="auto"/>
              </w:rPr>
            </w:pPr>
            <w:r>
              <w:rPr>
                <w:rFonts w:ascii="Arial" w:cs="Arial" w:eastAsia="Arial" w:hAnsi="Arial"/>
                <w:sz w:val="18"/>
                <w:szCs w:val="18"/>
                <w:color w:val="0000EE"/>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INFORMATION REGARDING THE BOARD OF DIRECTORS AND CORPORATE GOVERNANCE</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11</w:t>
            </w:r>
          </w:p>
        </w:tc>
        <w:tc>
          <w:tcPr>
            <w:tcW w:w="6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8"/>
          </w:tcPr>
          <w:p>
            <w:pPr>
              <w:spacing w:after="0"/>
              <w:rPr>
                <w:sz w:val="20"/>
                <w:szCs w:val="20"/>
                <w:color w:val="auto"/>
              </w:rPr>
            </w:pPr>
            <w:r>
              <w:rPr>
                <w:rFonts w:ascii="Arial" w:cs="Arial" w:eastAsia="Arial" w:hAnsi="Arial"/>
                <w:sz w:val="18"/>
                <w:szCs w:val="18"/>
                <w:color w:val="0000EE"/>
              </w:rPr>
              <w:t>Director Independence</w:t>
            </w:r>
          </w:p>
        </w:tc>
        <w:tc>
          <w:tcPr>
            <w:tcW w:w="240" w:type="dxa"/>
            <w:vAlign w:val="bottom"/>
            <w:gridSpan w:val="4"/>
          </w:tcPr>
          <w:p>
            <w:pPr>
              <w:jc w:val="right"/>
              <w:spacing w:after="0"/>
              <w:rPr>
                <w:sz w:val="20"/>
                <w:szCs w:val="20"/>
                <w:color w:val="auto"/>
              </w:rPr>
            </w:pPr>
            <w:r>
              <w:rPr>
                <w:rFonts w:ascii="Arial" w:cs="Arial" w:eastAsia="Arial" w:hAnsi="Arial"/>
                <w:sz w:val="18"/>
                <w:szCs w:val="18"/>
                <w:color w:val="0000EE"/>
              </w:rPr>
              <w:t>11</w:t>
            </w:r>
          </w:p>
        </w:tc>
        <w:tc>
          <w:tcPr>
            <w:tcW w:w="6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Board Leadership Structure</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11</w:t>
            </w:r>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Role of the Board in Risk Oversight</w:t>
            </w:r>
          </w:p>
        </w:tc>
        <w:tc>
          <w:tcPr>
            <w:tcW w:w="240" w:type="dxa"/>
            <w:vAlign w:val="bottom"/>
            <w:gridSpan w:val="4"/>
          </w:tcPr>
          <w:p>
            <w:pPr>
              <w:jc w:val="right"/>
              <w:spacing w:after="0"/>
              <w:rPr>
                <w:sz w:val="20"/>
                <w:szCs w:val="20"/>
                <w:color w:val="auto"/>
              </w:rPr>
            </w:pPr>
            <w:r>
              <w:rPr>
                <w:rFonts w:ascii="Arial" w:cs="Arial" w:eastAsia="Arial" w:hAnsi="Arial"/>
                <w:sz w:val="18"/>
                <w:szCs w:val="18"/>
                <w:color w:val="0000EE"/>
              </w:rPr>
              <w:t>11</w:t>
            </w:r>
          </w:p>
        </w:tc>
        <w:tc>
          <w:tcPr>
            <w:tcW w:w="6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Meetings of the Board of Directors</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12</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8"/>
          </w:tcPr>
          <w:p>
            <w:pPr>
              <w:spacing w:after="0"/>
              <w:rPr>
                <w:sz w:val="20"/>
                <w:szCs w:val="20"/>
                <w:color w:val="auto"/>
              </w:rPr>
            </w:pPr>
            <w:r>
              <w:rPr>
                <w:rFonts w:ascii="Arial" w:cs="Arial" w:eastAsia="Arial" w:hAnsi="Arial"/>
                <w:sz w:val="18"/>
                <w:szCs w:val="18"/>
                <w:color w:val="0000EE"/>
              </w:rPr>
              <w:t>Information Regarding Committees of the Board of Directors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13</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Audit Committee</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13</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Report of the Audit Committee of the Board of Directors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14</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Compensation Committee</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14</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8"/>
          </w:tcPr>
          <w:p>
            <w:pPr>
              <w:spacing w:after="0"/>
              <w:rPr>
                <w:sz w:val="20"/>
                <w:szCs w:val="20"/>
                <w:color w:val="auto"/>
              </w:rPr>
            </w:pPr>
            <w:r>
              <w:rPr>
                <w:rFonts w:ascii="Arial" w:cs="Arial" w:eastAsia="Arial" w:hAnsi="Arial"/>
                <w:sz w:val="18"/>
                <w:szCs w:val="18"/>
                <w:color w:val="0000EE"/>
              </w:rPr>
              <w:t>Compensation Committee Processes and Procedures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14</w:t>
            </w:r>
          </w:p>
        </w:tc>
      </w:tr>
      <w:tr>
        <w:trPr>
          <w:trHeight w:val="75"/>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Compensation Committee Interlocks and Insider Participation</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15</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Nominating and Corporate Governance Committee</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15</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Stockholder Communications with the Board of Directors</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16</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8"/>
          </w:tcPr>
          <w:p>
            <w:pPr>
              <w:spacing w:after="0"/>
              <w:rPr>
                <w:sz w:val="20"/>
                <w:szCs w:val="20"/>
                <w:color w:val="auto"/>
              </w:rPr>
            </w:pPr>
            <w:r>
              <w:rPr>
                <w:rFonts w:ascii="Arial" w:cs="Arial" w:eastAsia="Arial" w:hAnsi="Arial"/>
                <w:sz w:val="18"/>
                <w:szCs w:val="18"/>
                <w:color w:val="0000EE"/>
              </w:rPr>
              <w:t>Code of Conduct</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17</w:t>
            </w:r>
          </w:p>
        </w:tc>
      </w:tr>
      <w:tr>
        <w:trPr>
          <w:trHeight w:val="75"/>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Corporate Governance Guidelines</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17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Hedging Policy</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17</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6860" w:type="dxa"/>
            <w:vAlign w:val="bottom"/>
            <w:tcBorders>
              <w:bottom w:val="single" w:sz="8" w:color="0000EE"/>
            </w:tcBorders>
            <w:gridSpan w:val="34"/>
            <w:shd w:val="clear" w:color="auto" w:fill="CCEEFF"/>
          </w:tcPr>
          <w:p>
            <w:pPr>
              <w:spacing w:after="0"/>
              <w:rPr>
                <w:sz w:val="20"/>
                <w:szCs w:val="20"/>
                <w:color w:val="auto"/>
              </w:rPr>
            </w:pPr>
            <w:r>
              <w:rPr>
                <w:rFonts w:ascii="Arial" w:cs="Arial" w:eastAsia="Arial" w:hAnsi="Arial"/>
                <w:sz w:val="18"/>
                <w:szCs w:val="18"/>
                <w:color w:val="0000EE"/>
                <w:w w:val="95"/>
              </w:rPr>
              <w:t>PROPOSAL NO. 2: ADVISORY VOTE, ON A NON-BINDING BASIS, TO APPROVE THE</w:t>
            </w:r>
          </w:p>
        </w:tc>
        <w:tc>
          <w:tcPr>
            <w:tcW w:w="1260" w:type="dxa"/>
            <w:vAlign w:val="bottom"/>
            <w:tcBorders>
              <w:bottom w:val="single" w:sz="8" w:color="CCEEFF"/>
            </w:tcBorders>
            <w:gridSpan w:val="4"/>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940" w:type="dxa"/>
            <w:vAlign w:val="bottom"/>
            <w:gridSpan w:val="37"/>
            <w:shd w:val="clear" w:color="auto" w:fill="CCEEFF"/>
          </w:tcPr>
          <w:p>
            <w:pPr>
              <w:spacing w:after="0" w:line="196" w:lineRule="exact"/>
              <w:rPr>
                <w:sz w:val="20"/>
                <w:szCs w:val="20"/>
                <w:color w:val="auto"/>
              </w:rPr>
            </w:pPr>
            <w:r>
              <w:rPr>
                <w:rFonts w:ascii="Arial" w:cs="Arial" w:eastAsia="Arial" w:hAnsi="Arial"/>
                <w:sz w:val="18"/>
                <w:szCs w:val="18"/>
                <w:color w:val="0000EE"/>
              </w:rPr>
              <w:t>COMPENSATION OF OUR NAMED EXECUTIVE OFFICERS FOR THE YEAR ENDED 2022</w:t>
            </w:r>
          </w:p>
        </w:tc>
        <w:tc>
          <w:tcPr>
            <w:tcW w:w="300" w:type="dxa"/>
            <w:vAlign w:val="bottom"/>
            <w:gridSpan w:val="5"/>
            <w:shd w:val="clear" w:color="auto" w:fill="CCEEFF"/>
          </w:tcPr>
          <w:p>
            <w:pPr>
              <w:jc w:val="right"/>
              <w:ind w:right="60"/>
              <w:spacing w:after="0" w:line="196" w:lineRule="exact"/>
              <w:rPr>
                <w:sz w:val="20"/>
                <w:szCs w:val="20"/>
                <w:color w:val="auto"/>
              </w:rPr>
            </w:pPr>
            <w:r>
              <w:rPr>
                <w:rFonts w:ascii="Arial" w:cs="Arial" w:eastAsia="Arial" w:hAnsi="Arial"/>
                <w:sz w:val="18"/>
                <w:szCs w:val="18"/>
                <w:color w:val="0000EE"/>
              </w:rPr>
              <w:t>18</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PROPOSAL 3 RATIFICATION OF SELECTION OF INDEPENDENT REGISTERED PUBLIC</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34"/>
          </w:tcPr>
          <w:p>
            <w:pPr>
              <w:spacing w:after="0" w:line="196" w:lineRule="exact"/>
              <w:rPr>
                <w:sz w:val="20"/>
                <w:szCs w:val="20"/>
                <w:color w:val="auto"/>
              </w:rPr>
            </w:pPr>
            <w:r>
              <w:rPr>
                <w:rFonts w:ascii="Arial" w:cs="Arial" w:eastAsia="Arial" w:hAnsi="Arial"/>
                <w:sz w:val="18"/>
                <w:szCs w:val="18"/>
                <w:color w:val="0000EE"/>
              </w:rPr>
              <w:t>ACCOUNTING FIRM</w:t>
            </w:r>
          </w:p>
        </w:tc>
        <w:tc>
          <w:tcPr>
            <w:tcW w:w="1120" w:type="dxa"/>
            <w:vAlign w:val="bottom"/>
            <w:gridSpan w:val="3"/>
          </w:tcPr>
          <w:p>
            <w:pPr>
              <w:spacing w:after="0"/>
              <w:rPr>
                <w:sz w:val="17"/>
                <w:szCs w:val="17"/>
                <w:color w:val="auto"/>
              </w:rPr>
            </w:pPr>
          </w:p>
        </w:tc>
        <w:tc>
          <w:tcPr>
            <w:tcW w:w="300" w:type="dxa"/>
            <w:vAlign w:val="bottom"/>
            <w:gridSpan w:val="5"/>
          </w:tcPr>
          <w:p>
            <w:pPr>
              <w:jc w:val="right"/>
              <w:ind w:right="60"/>
              <w:spacing w:after="0" w:line="196" w:lineRule="exact"/>
              <w:rPr>
                <w:sz w:val="20"/>
                <w:szCs w:val="20"/>
                <w:color w:val="auto"/>
              </w:rPr>
            </w:pPr>
            <w:r>
              <w:rPr>
                <w:rFonts w:ascii="Arial" w:cs="Arial" w:eastAsia="Arial" w:hAnsi="Arial"/>
                <w:sz w:val="18"/>
                <w:szCs w:val="18"/>
                <w:color w:val="0000EE"/>
              </w:rPr>
              <w:t>19</w:t>
            </w:r>
          </w:p>
        </w:tc>
      </w:tr>
      <w:tr>
        <w:trPr>
          <w:trHeight w:val="75"/>
        </w:trPr>
        <w:tc>
          <w:tcPr>
            <w:tcW w:w="18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Principal Accountant Fees and Services</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20</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8"/>
          </w:tcPr>
          <w:p>
            <w:pPr>
              <w:spacing w:after="0"/>
              <w:rPr>
                <w:sz w:val="20"/>
                <w:szCs w:val="20"/>
                <w:color w:val="auto"/>
              </w:rPr>
            </w:pPr>
            <w:r>
              <w:rPr>
                <w:rFonts w:ascii="Arial" w:cs="Arial" w:eastAsia="Arial" w:hAnsi="Arial"/>
                <w:sz w:val="18"/>
                <w:szCs w:val="18"/>
                <w:color w:val="0000EE"/>
              </w:rPr>
              <w:t>Pre-Approval Policies and Procedures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20</w:t>
            </w:r>
          </w:p>
        </w:tc>
      </w:tr>
      <w:tr>
        <w:trPr>
          <w:trHeight w:val="75"/>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EXECUTIVE OFFICERS</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21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22</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24</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Compensation Committee Report</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39</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Summary Compensation Table</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40</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Grants of Plan-Based Awards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41</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Outstanding Equity Awards at Fiscal Year-End</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42</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Option Exercises and Stock Vested</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45</w:t>
            </w:r>
          </w:p>
        </w:tc>
      </w:tr>
      <w:tr>
        <w:trPr>
          <w:trHeight w:val="75"/>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Potential Payments Upon Termination or Change in Control</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46</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Director Compensation</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48</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PAY VERSUS PERFORMANCE</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50</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8"/>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54</w:t>
            </w:r>
          </w:p>
        </w:tc>
      </w:tr>
      <w:tr>
        <w:trPr>
          <w:trHeight w:val="74"/>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HOUSEHOLDING OF PROXY MATERIALS</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59</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8"/>
          </w:tcPr>
          <w:p>
            <w:pPr>
              <w:spacing w:after="0"/>
              <w:rPr>
                <w:sz w:val="20"/>
                <w:szCs w:val="20"/>
                <w:color w:val="auto"/>
              </w:rPr>
            </w:pPr>
            <w:r>
              <w:rPr>
                <w:rFonts w:ascii="Arial" w:cs="Arial" w:eastAsia="Arial" w:hAnsi="Arial"/>
                <w:sz w:val="18"/>
                <w:szCs w:val="18"/>
                <w:color w:val="0000EE"/>
              </w:rPr>
              <w:t>OTHER MATTERS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60</w:t>
            </w:r>
          </w:p>
        </w:tc>
      </w:tr>
      <w:tr>
        <w:trPr>
          <w:trHeight w:val="75"/>
        </w:trPr>
        <w:tc>
          <w:tcPr>
            <w:tcW w:w="1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8"/>
            <w:shd w:val="clear" w:color="auto" w:fill="CCEEFF"/>
          </w:tcPr>
          <w:p>
            <w:pPr>
              <w:spacing w:after="0"/>
              <w:rPr>
                <w:sz w:val="20"/>
                <w:szCs w:val="20"/>
                <w:color w:val="auto"/>
              </w:rPr>
            </w:pPr>
            <w:r>
              <w:rPr>
                <w:rFonts w:ascii="Arial" w:cs="Arial" w:eastAsia="Arial" w:hAnsi="Arial"/>
                <w:sz w:val="18"/>
                <w:szCs w:val="18"/>
                <w:color w:val="0000EE"/>
              </w:rPr>
              <w:t>Appendix A—Supplemental Information About Financial Measures</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61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-7903210</wp:posOffset>
            </wp:positionV>
            <wp:extent cx="94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WM TECHNOLOGY, INC.</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TO BE HELD AT 10:00 A.M. PACIFIC TIME ON WEDNESDAY, JUNE 21, 2023</w:t>
      </w:r>
    </w:p>
    <w:p>
      <w:pPr>
        <w:spacing w:after="0" w:line="10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have sent you these proxy materials because the Board of Directors of WM Technology, Inc. (the “Board”) is soliciting your proxy to vote at the 2023 Annual Meeting of Stockholders (the “Annual Meeting”), including at any adjournments or postponements thereof, to be held via a live audio webcast on Wednesday, June 21, 2023 at 10:00 a.m. Pacific Time. The Annual Meeting can be accessed by visiting www.virtualshareholdermeeting.com/MAPS2023 where you will be able to listen to the meeting live, submit questions and vote online.</w:t>
      </w:r>
    </w:p>
    <w:p>
      <w:pPr>
        <w:spacing w:after="0" w:line="8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You are invited to attend the Annual Meeting to vote on the proposals described in this Proxy Statement. However, you do not need to attend the Annual Meeting to vote your shares. Instead, you may simply follow the instructions below to submit your proxy. The proxy materials, including this Proxy Statement and our 2022 Annual Report, are being distributed and made available on or about April 27, 2023. As used in this Proxy Statement, references to “we,” “us,” “our,” “WM Technology” and the “Company” refer to WM Technology, Inc. and its subsidiaries.</w:t>
      </w:r>
    </w:p>
    <w:p>
      <w:pPr>
        <w:spacing w:after="0" w:line="53"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Information contained on, or that can be accessed through, our website is not incorporated by reference into this proxy statement and references to our website address in this proxy statement are inactive textual references only.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provided some of our stockholders, including stockholders who have previously requested to receive paper copies of the proxy materials,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p>
    <w:p>
      <w:pPr>
        <w:spacing w:after="0" w:line="12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intend to mail the Notice on or about April 27, 2023 to all stockholders of record entitled to vote at the annual meeting.</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I receive any other proxy materials by mail?</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may send you a proxy card, along with a second Notice, on or after May 8, 2023.</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Annual Meeting, the Annual Meeting will be held through a live webcast at www.virtualshareholdermeeting.com/MAPS2023. You will not be able to attend the annual meeting in person. If you attend the annual meeting online, you will be able to vote and submit questions, at www.virtualshareholdermeeting.com/MAPS2023.</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we attend the Annual Meeting?</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You are entitled to attend the Annual Meeting if you were a stockholder as of the close of business on April 26, 2023. To be admitted to the Annual Meeting, you will need to visit www.virtualshareholdermeeting.com/MAPS2023 and enter the 16-digit Control Number found next to the label “Control Number” on your Notice of Internet Availability, proxy card or in the email sending you the Proxy Statement. If you are a beneficial owner, you should contact the bank, broker or other institution where you hold your account well in advance of the meeting if you have questions about obtaining your Control Number.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Whether or not you participate in the annual meeting, it is important that you vote your shares.</w:t>
      </w:r>
    </w:p>
    <w:p>
      <w:pPr>
        <w:spacing w:after="0" w:line="11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We encourage you to access the meeting prior to the start time. Online check-in will begin at 9:45 a.m. Pacific Time, and you should allow reasonable time for the check-in procedures. Participation in the meeting is limited due to the capacity of the host platform and access to the meeting will be accepted on a first come, first served basis.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cannot find my Control Number?</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Please note that if you do not have your Control Number and you are a registered stockholder, you will be able to login as a guest. To view the meeting webcast visit www.virtualshareholdermeeting.com/MAPS2023 and register as a guest. If you login as a guest, you will not be able to vote your shares or ask questions during the meeting.</w:t>
      </w:r>
    </w:p>
    <w:p>
      <w:pPr>
        <w:spacing w:after="0" w:line="4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For the ten days ending the day prior to the annual meeting, a list of our record stockholders as of the close of business on the record date will be available for examination by any stockholder of record for a legally valid purpose at our corporate headquarters during regular business hours.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we get technical assistance?</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you encounter any difficulties accessing the Annual Meeting during the check-in or meeting time, please call the technical support number that will be posted on the Annual Meeting log-in page.</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plan to have a Q&amp;A session at the annual meeting. Questions may be submitted prior to the annual meeting through www.virtualshareholdermeeting.com/MAPS2023. During the live Q&amp;A session of the Annual Meeting, we may answer questions as they come in to the extent relevant to the business of the Annual Meeting and as time permits.</w:t>
      </w:r>
    </w:p>
    <w:p>
      <w:pPr>
        <w:spacing w:after="0" w:line="79"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plan to have a Q&amp;A session at the Annual Meeting and will include as many stockholder questions as the allotted time permits. Stockholders may submit questions relevant to the business of the Annual Meeting in advance of the Annual Meeting. If you are a stockholder, you may submit a question in advance of the Annual Meeting at www.proxyvote.com after logging in with your Control Number. Questions may be submitted prior to the Annual Meeting through www.virtualshareholdermeeting.com/MAPS2023.</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If I miss the annual meeting, will there be a copy posted online?</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Yes, a replay of the annual meeting webcast will be available at www.virtualshareholdermeeting.com/MAPS2023 and remain for at least one year.</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Only stockholders of record at the close of business on April 26, 2022 will be entitled to vote at the Annual Meeting. On this record date, there were 92,575,191 shares of Class A Common Stock of the Company (the “Class A Common Stock”) and 55,486,361 shares of Class V Common Stock (the “Class V Common Stock”), and together with the Class A Common Stock, the “Common Stock”) outstanding and entitled to vote.</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If on April 26, 2023, your shares were registered directly in your name with the Company’s transfer agent, Continental Stock Transfer &amp; Trust Company, then you are a stockholder of record. If you are a stockholder of record, you may vote your shares at the Annual Meeting by following the instructions provided on the Notice to log in to www.proxyvote.com. You will be asked to provide the Control Number from your Notice. Whether or not you plan to attend the Annual Meeting, we urge you to vote by proxy to ensure your vote is counted. You may still attend and vote at the Annual Meeting even if you have already voted by proxy.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If on April 26, 2023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a beneficial owner is not the stockholder of record, you may not vote your shares live at the Annual Meeting unless you follow your broker, bank or other nominee’s procedures for obtaining a legal proxy.</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matters am I voting 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three matters scheduled for a vote:</w:t>
      </w:r>
    </w:p>
    <w:p>
      <w:pPr>
        <w:spacing w:after="0" w:line="117" w:lineRule="exact"/>
        <w:rPr>
          <w:sz w:val="20"/>
          <w:szCs w:val="20"/>
          <w:color w:val="auto"/>
        </w:rPr>
      </w:pPr>
    </w:p>
    <w:p>
      <w:pPr>
        <w:jc w:val="both"/>
        <w:ind w:left="1000" w:right="29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three nominees for Class II directors named in the accompanying Proxy Statement to serve until the 2026 annual meeting of stockholders and until their successors are duly elected and qualified (“Proposal 1”);</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year ended 2022 (“Proposal 2”);</w:t>
      </w:r>
    </w:p>
    <w:p>
      <w:pPr>
        <w:spacing w:after="0" w:line="62"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selection by the Audit Committee of the Board of Baker Tilly US, LLP as our independent registered public accounting firm for the year ending December 31, 2023 (“Proposal 3”).</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You may either vote “For” all the nominees to the Board or you may “Withhold” your vote for any nominee you specify. For each of the other matters to be voted on, you may vote “For” or “Against” or abstain from voting.</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procedures for voting are fairly simple: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are a stockholder of record, you may vote online at the Annual Meeting, vote by proxy over the telephone, vote by proxy through the Internet or vote by proxy using a proxy card that you may request or that we may elect to deliver at a later time:</w:t>
      </w:r>
    </w:p>
    <w:p>
      <w:pPr>
        <w:spacing w:after="0" w:line="76" w:lineRule="exact"/>
        <w:rPr>
          <w:sz w:val="20"/>
          <w:szCs w:val="20"/>
          <w:color w:val="auto"/>
        </w:rPr>
      </w:pPr>
    </w:p>
    <w:p>
      <w:pPr>
        <w:jc w:val="both"/>
        <w:ind w:left="1000" w:right="299" w:hanging="348"/>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during the Annual Meeting, if you are a stockholder of record as of the record date, follow the instructions at www.virtualshareholdermeeting.com/MAPS2023. You will need to enter the 16-digit Control Number found on your Notice of Internet Availability, or notice you receive or in the email sending you the Proxy Statement.</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prior to the Annual Meeting (until 11:59 p.m. Eastern Time on June 20, 2023), you may vote via the Internet at www.proxyvote.com; by telephone; or by completing and returning their proxy card or voting instruction form, as described below.</w:t>
      </w:r>
    </w:p>
    <w:p>
      <w:pPr>
        <w:spacing w:after="0" w:line="75"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6"/>
        </w:numPr>
        <w:rPr>
          <w:rFonts w:ascii="Arial" w:cs="Arial" w:eastAsia="Arial" w:hAnsi="Arial"/>
          <w:sz w:val="22"/>
          <w:szCs w:val="22"/>
          <w:color w:val="auto"/>
          <w:vertAlign w:val="superscript"/>
        </w:rPr>
      </w:pPr>
      <w:r>
        <w:rPr>
          <w:rFonts w:ascii="Arial" w:cs="Arial" w:eastAsia="Arial" w:hAnsi="Arial"/>
          <w:sz w:val="18"/>
          <w:szCs w:val="18"/>
          <w:color w:val="auto"/>
        </w:rPr>
        <w:t>To vote using the proxy card that may have been delivered to you, simply complete, sign and date the proxy card and return it promptly in the envelope provided. If you return your signed proxy card to us before the Annual Meeting, we will vote your shares as you direct.</w:t>
      </w:r>
    </w:p>
    <w:p>
      <w:pPr>
        <w:spacing w:after="0" w:line="94" w:lineRule="exact"/>
        <w:rPr>
          <w:rFonts w:ascii="Arial" w:cs="Arial" w:eastAsia="Arial" w:hAnsi="Arial"/>
          <w:sz w:val="22"/>
          <w:szCs w:val="22"/>
          <w:color w:val="auto"/>
          <w:vertAlign w:val="superscript"/>
        </w:rPr>
      </w:pPr>
    </w:p>
    <w:p>
      <w:pPr>
        <w:jc w:val="both"/>
        <w:ind w:left="1360" w:right="319" w:hanging="348"/>
        <w:spacing w:after="0" w:line="256" w:lineRule="auto"/>
        <w:tabs>
          <w:tab w:leader="none" w:pos="1360" w:val="left"/>
        </w:tabs>
        <w:numPr>
          <w:ilvl w:val="1"/>
          <w:numId w:val="6"/>
        </w:numPr>
        <w:rPr>
          <w:rFonts w:ascii="Arial" w:cs="Arial" w:eastAsia="Arial" w:hAnsi="Arial"/>
          <w:sz w:val="21"/>
          <w:szCs w:val="21"/>
          <w:color w:val="auto"/>
          <w:vertAlign w:val="superscript"/>
        </w:rPr>
      </w:pPr>
      <w:r>
        <w:rPr>
          <w:rFonts w:ascii="Arial" w:cs="Arial" w:eastAsia="Arial" w:hAnsi="Arial"/>
          <w:sz w:val="17"/>
          <w:szCs w:val="17"/>
          <w:color w:val="auto"/>
        </w:rPr>
        <w:t>To vote over the telephone, dial toll-free 1-800-690-6903 using a touch-tone phone and follow the recorded instructions. You will be asked to provide the Control Number from the Notice. Your vote must be received by 11:59 p.m. Eastern Time on June 20, 2023 to be counted.</w:t>
      </w:r>
    </w:p>
    <w:p>
      <w:pPr>
        <w:spacing w:after="0" w:line="81" w:lineRule="exact"/>
        <w:rPr>
          <w:rFonts w:ascii="Arial" w:cs="Arial" w:eastAsia="Arial" w:hAnsi="Arial"/>
          <w:sz w:val="21"/>
          <w:szCs w:val="21"/>
          <w:color w:val="auto"/>
          <w:vertAlign w:val="superscript"/>
        </w:rPr>
      </w:pPr>
    </w:p>
    <w:p>
      <w:pPr>
        <w:jc w:val="both"/>
        <w:ind w:left="1360" w:right="319" w:hanging="348"/>
        <w:spacing w:after="0" w:line="241" w:lineRule="auto"/>
        <w:tabs>
          <w:tab w:leader="none" w:pos="1360" w:val="left"/>
        </w:tabs>
        <w:numPr>
          <w:ilvl w:val="1"/>
          <w:numId w:val="6"/>
        </w:numPr>
        <w:rPr>
          <w:rFonts w:ascii="Arial" w:cs="Arial" w:eastAsia="Arial" w:hAnsi="Arial"/>
          <w:sz w:val="22"/>
          <w:szCs w:val="22"/>
          <w:color w:val="auto"/>
          <w:vertAlign w:val="superscript"/>
        </w:rPr>
      </w:pPr>
      <w:r>
        <w:rPr>
          <w:rFonts w:ascii="Arial" w:cs="Arial" w:eastAsia="Arial" w:hAnsi="Arial"/>
          <w:sz w:val="18"/>
          <w:szCs w:val="18"/>
          <w:color w:val="auto"/>
        </w:rPr>
        <w:t>To vote through the internet, go to www.proxyvote.com and follow the instructions to submit your vote on an electronic proxy card. You will be asked to provide the company number and Control Number from your Notice. Your vote must be received by 11:59 p.m. Eastern Time on June 20, 2023 to be counted.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If you are a beneficial owner of shares registered in the name of your broker, bank or other agent, you should have received a Notice containing voting instructions from that organization rather than from the Company. You must follow the voting instructions provided by your broker, bank or other nominee in order to direct your broker, bank or other nominee on how to vote your shares. Beneficial owners of shares held in street name should generally be able to vote by returning a voting instruction form, or by telephone or on the Internet. However, the availability of telephone and Internet voting will depend on the voting process of your broker, bank or other nominee. As discussed above, if you are a beneficial owner of shares held in street name, you may not vote your shares live at the Annual Meeting unless you obtain a legal proxy from your broker, bank or other nominee.</w:t>
      </w:r>
    </w:p>
    <w:p>
      <w:pPr>
        <w:spacing w:after="0" w:line="66"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On each matter to be voted upon, you have one vote for each share of Class A Common Stock and each share of Class V Common Stock you own as of April 26, 2023. Holders of Class A Common Stock and Class V Common Stock will vote together as one class on all proposals.</w:t>
      </w:r>
    </w:p>
    <w:p>
      <w:pPr>
        <w:spacing w:after="0" w:line="180" w:lineRule="exact"/>
        <w:rPr>
          <w:sz w:val="20"/>
          <w:szCs w:val="20"/>
          <w:color w:val="auto"/>
        </w:rPr>
      </w:pPr>
    </w:p>
    <w:p>
      <w:pPr>
        <w:ind w:left="300" w:right="419"/>
        <w:spacing w:after="0" w:line="282"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5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at the Annual Meeting, your shares will not be voted.</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three nominees for director, “For” the advisory approval of executive compensation and “For” the ratification of the selection by the Audit Committee of the Board of Baker Tilly US, LLP as our independent registered public accounting firm for the year ending December 31, 2023. If any other matter is properly presented at the meeting, your proxyholder (one of the individuals named on your proxy card) will vote your shares using his or her best judgment.</w:t>
      </w:r>
    </w:p>
    <w:p>
      <w:pPr>
        <w:spacing w:after="0" w:line="188" w:lineRule="exact"/>
        <w:rPr>
          <w:sz w:val="20"/>
          <w:szCs w:val="20"/>
          <w:color w:val="auto"/>
        </w:rPr>
      </w:pPr>
    </w:p>
    <w:p>
      <w:pPr>
        <w:ind w:left="300" w:right="499"/>
        <w:spacing w:after="0" w:line="282" w:lineRule="auto"/>
        <w:rPr>
          <w:sz w:val="20"/>
          <w:szCs w:val="20"/>
          <w:color w:val="auto"/>
        </w:rPr>
      </w:pPr>
      <w:r>
        <w:rPr>
          <w:rFonts w:ascii="Arial" w:cs="Arial" w:eastAsia="Arial" w:hAnsi="Arial"/>
          <w:sz w:val="18"/>
          <w:szCs w:val="18"/>
          <w:b w:val="1"/>
          <w:bCs w:val="1"/>
          <w:color w:val="auto"/>
        </w:rPr>
        <w:t>If I am a beneficial owner of shares held in street name and I do not provide my broker or bank with voting instructions, what happens?</w:t>
      </w:r>
    </w:p>
    <w:p>
      <w:pPr>
        <w:spacing w:after="0" w:line="58"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but not with respect to “non-routine” matters. In this regard, Proposals 1 and 2 are considered to be “non-routine” meaning that your broker may not vote your shares on those proposals in the absence of your voting instructions. However, Proposal 3 is considered to be a “routine” matters meaning that if you do not return voting instructions to your broker by its deadline, your shares may be voted by your broker in its discretion on Proposal 3.</w:t>
      </w:r>
    </w:p>
    <w:p>
      <w:pPr>
        <w:spacing w:after="0" w:line="70"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 xml:space="preserve">If you a beneficial owner of shares held in street name,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If you receive more than one Notice, your shares may be registered in more than one name or in different accounts.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Please follow the voting instructions on the Notices to ensure that all of your shares are voted.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62"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WM Technology, Inc., Attn: Corporate Secretary at 41 Discovery, Irvine, California 92618. Such notice will be considered timely if it is received at the indicated address by the close of business on the business day one week preceding the date of the Annual Meeting.</w:t>
      </w:r>
    </w:p>
    <w:p>
      <w:pPr>
        <w:spacing w:after="0" w:line="78"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attend the Annual Meeting and vote online. Simply attending the meeting will not, by itself, revoke your proxy.</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If your shares are held by your broker, bank as a nominee or other agent, you should follow the instructions provided by your broker, bank or other agent.</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December 30, 2023, to WM Technology, Inc., Attn: Corporate Secretary, 41 Discovery, Irvine, California 92618. If you wish to submit a proposal (including a director nomination) at the meeting that is not to be included in next year’s proxy materials, you must do so by submitting your proposal in writing which must be received by the Corporate Secretary not earlier than the close of business on the 120th day and not later than the close of business on the 90th day prior to the anniversary of the preceding year’s annual meeting of stockholders. Therefore, we must receive notice of such a proposal or nomination for the 2024 Annual Meeting no earlier than the close of business on February 21, 2024 and no later than the close of business on March 23, 2024. The notice must contain the information required by our Bylaws. In the event that the date of the 2024 Annual Meeting is not within 30 days before or delayed by more than 60 days from the first anniversary of the preceding year’s annual meeting of stockholders, or no annual meeting was held during the preceding year, then the Corporate Secretary must receive such written notice not earlier than the close of business on the 120th day prior to the 2024 Annual Meeting and not later than the close of business on the later of the 90th day prior to 2024 Annual Meeting or the closing of business on the tenth day following the day on which public announcement of the date of such meeting is first made. In addition, stockholders who intend to solicit proxies in support of director nominees other than WM Technology, Inc.’s nominees must also comply with the additional requirements of Rule 14a-19(b).</w:t>
      </w:r>
    </w:p>
    <w:p>
      <w:pPr>
        <w:spacing w:after="0" w:line="64" w:lineRule="exact"/>
        <w:rPr>
          <w:sz w:val="20"/>
          <w:szCs w:val="20"/>
          <w:color w:val="auto"/>
        </w:rPr>
      </w:pPr>
    </w:p>
    <w:p>
      <w:pPr>
        <w:jc w:val="both"/>
        <w:ind w:left="300" w:right="299"/>
        <w:spacing w:after="0" w:line="303" w:lineRule="auto"/>
        <w:rPr>
          <w:sz w:val="20"/>
          <w:szCs w:val="20"/>
          <w:color w:val="auto"/>
        </w:rPr>
      </w:pPr>
      <w:r>
        <w:rPr>
          <w:rFonts w:ascii="Arial" w:cs="Arial" w:eastAsia="Arial" w:hAnsi="Arial"/>
          <w:sz w:val="16"/>
          <w:szCs w:val="16"/>
          <w:b w:val="1"/>
          <w:bCs w:val="1"/>
          <w:color w:val="auto"/>
        </w:rPr>
        <w:t>In addition to satisfying the foregoing requirements under our bylaws, to comply with the universal proxy rules (once effective), stockholders who intend to solicit proxies in support of director nominees other than the Board’s nominees must provide notice that sets forth any additional information required by Rule 14a-19 promulgated under the Securities Exchange Act of 1934, as amended, no later than April 22, 2024.</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Votes will be counted by the inspector of election appointed for the Annual Meeting, who will separately count, for the proposal to elect directors, votes “For,” “Withhold” and broker non-votes; and, with respect to the other proposals, votes “For” and “Against,” abstentions and, if applicable, broker non-votes. Abstentions will be counted towards the vote total for each of Proposals 2 and 3, and will have the same effect as “Against” votes. Broker non-votes on Proposal 1 and 2 will have no effect and will not be counted towards the vote total for any of those proposals. Proposal 3 is considered a “routine” matter, accordingly, if you hold your shares in street name and do not provide voting instructions to your broker, bank, or other agent that holds your shares, your broker, bank, or other agent has discretionary authority to vote your shares on Proposal 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Proposals 1 and 2 are considered to be “non-routine”, and are proposals for which brokers do not have discretionary voting authority. We therefore expect broker non-votes to exist in connection with those proposals. Proposal 3 is a “routine” matter and therefore broker non-votes are not expected to exist in connection with this proposal.</w:t>
      </w:r>
    </w:p>
    <w:p>
      <w:pPr>
        <w:spacing w:after="0" w:line="70"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Proposal 1: For the election of directors, the three Class II nominees receiving the most “For” votes from the holders of shares present or represented by proxy and entitled to vote on the election of directors will be elected. Only votes “For” will affect the outcome. “Withhold” votes, “Abstain” votes and broker non-votes will have no effect.</w:t>
      </w:r>
    </w:p>
    <w:p>
      <w:pPr>
        <w:spacing w:after="0" w:line="4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Proposal 2: The advisory vote, on a non-binding basis, on the compensation of our Named Executive Officers for the year ended 2022 will be considered to be approved if it receives “For” votes from the holders of a majority in voting power of shares of Common Stock present or represented by proxy and entitled to vote on the matter. “Abstain” votes and broker non-votes will have no effect.</w:t>
      </w:r>
    </w:p>
    <w:p>
      <w:pPr>
        <w:spacing w:after="0" w:line="7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Proposal 3: To ratify the selection of Baker Tilly US, LLP as our independent registered public accounting firm for the year ending December 31, 2023, the proposal must receive “For” votes from the holders of a majority in voting power of the shares of Common Stock present by remote communication at the meeting or represented by proxy and entitled to vote on the matter. If you “Abstain” from voting, it will have the same effect as an “Against” vote. 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 xml:space="preserve">A quorum of stockholders is necessary to hold a valid meeting. A quorum will be present if stockholders holding a majority in voting power of the shares of Common Stock entitled to vote are present by remote communication at the meeting or represented by proxy. On the record date, there were 148,061,552 shares of Common Stock outstanding and entitled to vote. </w:t>
      </w:r>
      <w:r>
        <w:rPr>
          <w:rFonts w:ascii="Arial" w:cs="Arial" w:eastAsia="Arial" w:hAnsi="Arial"/>
          <w:sz w:val="16"/>
          <w:szCs w:val="16"/>
          <w:b w:val="1"/>
          <w:bCs w:val="1"/>
          <w:color w:val="auto"/>
        </w:rPr>
        <w:t>Thus, the holders of 74,030,777 shares of Common Stock must be present by</w:t>
      </w:r>
      <w:r>
        <w:rPr>
          <w:rFonts w:ascii="Arial" w:cs="Arial" w:eastAsia="Arial" w:hAnsi="Arial"/>
          <w:sz w:val="16"/>
          <w:szCs w:val="16"/>
          <w:color w:val="auto"/>
        </w:rPr>
        <w:t xml:space="preserve"> </w:t>
      </w:r>
      <w:r>
        <w:rPr>
          <w:rFonts w:ascii="Arial" w:cs="Arial" w:eastAsia="Arial" w:hAnsi="Arial"/>
          <w:sz w:val="16"/>
          <w:szCs w:val="16"/>
          <w:b w:val="1"/>
          <w:bCs w:val="1"/>
          <w:color w:val="auto"/>
        </w:rPr>
        <w:t>remote communication at the meeting or represented by proxy at the Annual Meeting to have a quorum</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Broker non-votes and abstentions are counted for purposes of determining whether a quorum is present.</w:t>
      </w:r>
    </w:p>
    <w:p>
      <w:pPr>
        <w:spacing w:after="0" w:line="5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Abstentions and broker non-votes will be counted towards the quorum requirement. If there is no quorum, the holders of a majority in voting power of the shares of Common Stock present by remote communication at the meeting or represented by proxy may adjourn the meeting to another date.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Board is divided into three classes, designated as Class I, Class II and Class III, each of which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or until such director’s earlier death, disqualification, resignation or removal.</w:t>
      </w:r>
    </w:p>
    <w:p>
      <w:pPr>
        <w:spacing w:after="0" w:line="53"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Board presently has eight members. There are three directors in the class whose term of office expires in 2022. Each of the nominees listed below is currently a director who was previously elected by the stockholders. If elected at the Annual Meeting, each of these nominees would serve until the 2026 annual meeting and until his or her successor has been duly elected and qualified, or, if sooner, until the director’s death, resignation or removal. Our policy is to encourage directors and nominees for director to attend the Annual Meeting. Seven of the current directors attended the 2022 Annual Meeting of Stockholders</w:t>
      </w:r>
    </w:p>
    <w:p>
      <w:pPr>
        <w:spacing w:after="0" w:line="70"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Directors are elected by a plurality of the votes of the shares present online at meeting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us, if any. Each person nominated for election has agreed to serve if elected. Our management has no reason to believe that any nominee will be unable to serve.</w:t>
      </w:r>
    </w:p>
    <w:p>
      <w:pPr>
        <w:spacing w:after="0" w:line="5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is a brief biography of each nominee and each director whose term will continue after the Annual Meeting.</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II Nominees for Election for a Three-Year Term Expiring at the 2026 Annual Meeting</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age 58, has served as a member of the Board since June 2021. Since April 2021,</w:t>
      </w:r>
      <w:r>
        <w:rPr>
          <w:rFonts w:ascii="Arial" w:cs="Arial" w:eastAsia="Arial" w:hAnsi="Arial"/>
          <w:sz w:val="17"/>
          <w:szCs w:val="17"/>
          <w:i w:val="1"/>
          <w:iCs w:val="1"/>
          <w:color w:val="auto"/>
        </w:rPr>
        <w:t xml:space="preserve"> </w:t>
      </w:r>
      <w:r>
        <w:rPr>
          <w:rFonts w:ascii="Arial" w:cs="Arial" w:eastAsia="Arial" w:hAnsi="Arial"/>
          <w:sz w:val="17"/>
          <w:szCs w:val="17"/>
          <w:color w:val="auto"/>
        </w:rPr>
        <w:t>Mr. Aquila has served as the Chief Executive Officer of Canoo, Inc., a mobility technology company, since April 2021,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also serves as a member of the Arkansas Council on Future Mobility since February 2022. Mr. Aquila also serves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From November 2018 to July 2020, Mr. Aquila served as the Global Chairperson of Sportradar Group, a sports data and content company.</w:t>
      </w:r>
    </w:p>
    <w:p>
      <w:pPr>
        <w:spacing w:after="0" w:line="7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Mr. Aquila was selected to serve on the Board based on his business experience as a founder, inventor, chief executive officer and director of publicly-listed companies and his investing experience.</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Brenda Freeman</w:t>
      </w:r>
      <w:r>
        <w:rPr>
          <w:rFonts w:ascii="Arial" w:cs="Arial" w:eastAsia="Arial" w:hAnsi="Arial"/>
          <w:sz w:val="17"/>
          <w:szCs w:val="17"/>
          <w:color w:val="auto"/>
        </w:rPr>
        <w:t>. Ms. Freeman, age 58, has served as a member of the Board since June 2021. Since March 2022,</w:t>
      </w:r>
      <w:r>
        <w:rPr>
          <w:rFonts w:ascii="Arial" w:cs="Arial" w:eastAsia="Arial" w:hAnsi="Arial"/>
          <w:sz w:val="17"/>
          <w:szCs w:val="17"/>
          <w:i w:val="1"/>
          <w:iCs w:val="1"/>
          <w:color w:val="auto"/>
        </w:rPr>
        <w:t xml:space="preserve"> </w:t>
      </w:r>
      <w:r>
        <w:rPr>
          <w:rFonts w:ascii="Arial" w:cs="Arial" w:eastAsia="Arial" w:hAnsi="Arial"/>
          <w:sz w:val="17"/>
          <w:szCs w:val="17"/>
          <w:color w:val="auto"/>
        </w:rPr>
        <w:t>Ms. Freeman has served as Chief Brand Officer of Wunderkind Corporation and since April 2021, she has served as a partner of Debut Capital. Ms. Freeman founded and has served as President of Joyeux Advisory Group LLC, a firm providing advisory services to early-stage startups and Fortune 500 companies, since January 2018.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9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Ms. Freeman was selected to serve on the Board based on her business experience and technology industry expertise.</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Olga Gonzalez</w:t>
      </w:r>
      <w:r>
        <w:rPr>
          <w:rFonts w:ascii="Arial" w:cs="Arial" w:eastAsia="Arial" w:hAnsi="Arial"/>
          <w:sz w:val="17"/>
          <w:szCs w:val="17"/>
          <w:color w:val="auto"/>
        </w:rPr>
        <w:t>. Ms. Gonzalez, age 56, has served as a member of the Board since June 2021. Since April 2022,</w:t>
      </w:r>
      <w:r>
        <w:rPr>
          <w:rFonts w:ascii="Arial" w:cs="Arial" w:eastAsia="Arial" w:hAnsi="Arial"/>
          <w:sz w:val="17"/>
          <w:szCs w:val="17"/>
          <w:i w:val="1"/>
          <w:iCs w:val="1"/>
          <w:color w:val="auto"/>
        </w:rPr>
        <w:t xml:space="preserve"> </w:t>
      </w:r>
      <w:r>
        <w:rPr>
          <w:rFonts w:ascii="Arial" w:cs="Arial" w:eastAsia="Arial" w:hAnsi="Arial"/>
          <w:sz w:val="17"/>
          <w:szCs w:val="17"/>
          <w:color w:val="auto"/>
        </w:rPr>
        <w:t>Ms. Gonzalez has served as Global COO for Wild Fork Foods and as Global Business Leader for Wild Fork Foods, an online specialty food service, from January 2021 to April 2022.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Ms. Gonzalez was selected to serve on the Board based on her business experience and financial expertise.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IN FAVOR OF EACH NAMED NOMINEE.</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III Directors Continuing in Office Until the 2024 Annual Meeting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i w:val="1"/>
          <w:iCs w:val="1"/>
          <w:color w:val="auto"/>
        </w:rPr>
        <w:t>Douglas Francis</w:t>
      </w:r>
      <w:r>
        <w:rPr>
          <w:rFonts w:ascii="Arial" w:cs="Arial" w:eastAsia="Arial" w:hAnsi="Arial"/>
          <w:sz w:val="18"/>
          <w:szCs w:val="18"/>
          <w:color w:val="auto"/>
        </w:rPr>
        <w:t>. Mr. Francis, age 45, has served as a member of the Board since June 2021, and as Executive Chair</w:t>
      </w:r>
      <w:r>
        <w:rPr>
          <w:rFonts w:ascii="Arial" w:cs="Arial" w:eastAsia="Arial" w:hAnsi="Arial"/>
          <w:sz w:val="18"/>
          <w:szCs w:val="18"/>
          <w:i w:val="1"/>
          <w:iCs w:val="1"/>
          <w:color w:val="auto"/>
        </w:rPr>
        <w:t xml:space="preserve"> </w:t>
      </w:r>
      <w:r>
        <w:rPr>
          <w:rFonts w:ascii="Arial" w:cs="Arial" w:eastAsia="Arial" w:hAnsi="Arial"/>
          <w:sz w:val="18"/>
          <w:szCs w:val="18"/>
          <w:color w:val="auto"/>
        </w:rPr>
        <w:t>since August 2022. Mr. Francis is a co-founder of Legacy WMH, and served as Chairperson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Mr. Francis was selected to serve on the Board based on his perspective, experience and institutional knowledge as WMH’s co-founder and his long tenure as WMH’s President and Chief Executive Officer.</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i w:val="1"/>
          <w:iCs w:val="1"/>
          <w:color w:val="auto"/>
        </w:rPr>
        <w:t>Scott Gordon</w:t>
      </w:r>
      <w:r>
        <w:rPr>
          <w:rFonts w:ascii="Arial" w:cs="Arial" w:eastAsia="Arial" w:hAnsi="Arial"/>
          <w:sz w:val="16"/>
          <w:szCs w:val="16"/>
          <w:color w:val="auto"/>
        </w:rPr>
        <w:t>. Mr. Gordon, age 61, has served as a member of the Board since June 2021. Mr. Gordon has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Chairperson of Silver Spike’s board of directors and has served as its Chief Executive Officer since its inception. Since 2016, Mr. Gordon has been the co-founder and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Mr. Gordon was selected to serve on the Board based on his experience in emerging markets and in the cannabis sector.</w:t>
      </w:r>
    </w:p>
    <w:p>
      <w:pPr>
        <w:spacing w:after="0" w:line="62"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age 39, has served as a member of the Board since June 2021. Mr. Hartfield is a co-founder of Legacy WMH, and served as a member of Legacy WMH’s board of managers since inception and served as Legacy WMH’s Chairperson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Mr. Hartfield was selected to serve on the Board based on his perspective, experience and institutional knowledge as WMH’s co-founder and his long tenure as WMH’s President and Chief Executive Officer.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 Directors Continuing in Office Until the 2025 Annual Meeting</w:t>
      </w:r>
    </w:p>
    <w:p>
      <w:pPr>
        <w:spacing w:after="0" w:line="12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i w:val="1"/>
          <w:iCs w:val="1"/>
          <w:color w:val="auto"/>
        </w:rPr>
        <w:t>Fiona Tan</w:t>
      </w:r>
      <w:r>
        <w:rPr>
          <w:rFonts w:ascii="Arial" w:cs="Arial" w:eastAsia="Arial" w:hAnsi="Arial"/>
          <w:sz w:val="16"/>
          <w:szCs w:val="16"/>
          <w:color w:val="auto"/>
        </w:rPr>
        <w:t>. Ms. Tan, age 52, has served as a member of the Board since June 2021. Since March 2022, Ms. Tan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Chief Technology Officer for Wayfair LLC and as Global Head of Customer and Supplier Technology for Wayfair LLC from September 2020 to March 2022.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 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Ms. Tan was selected to serve on the Board based on her business experience and technology industry expertise.</w:t>
      </w:r>
    </w:p>
    <w:p>
      <w:pPr>
        <w:spacing w:after="0" w:line="140"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i w:val="1"/>
          <w:iCs w:val="1"/>
          <w:color w:val="auto"/>
        </w:rPr>
        <w:t>Anthony Bay</w:t>
      </w:r>
      <w:r>
        <w:rPr>
          <w:rFonts w:ascii="Arial" w:cs="Arial" w:eastAsia="Arial" w:hAnsi="Arial"/>
          <w:sz w:val="17"/>
          <w:szCs w:val="17"/>
          <w:color w:val="auto"/>
        </w:rPr>
        <w:t>. Mr. Bay, age 67, has served as a member of the Board since March 2022. Prior to WM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Mr. Bay has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Earlier,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At Apple from 1986 to 1994, Mr. Bay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Mr. Bay was selected to serve on the Board based on his business experience as a founder, chief executive officer and various leadership positions of technology companies, and as a director of private and publicly-listed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Board Diversity</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Board Diversity Matrix below provides the diversity statistics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66040</wp:posOffset>
            </wp:positionV>
            <wp:extent cx="5349240" cy="3463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3463290"/>
                    </a:xfrm>
                    <a:prstGeom prst="rect">
                      <a:avLst/>
                    </a:prstGeom>
                    <a:noFill/>
                  </pic:spPr>
                </pic:pic>
              </a:graphicData>
            </a:graphic>
          </wp:anchor>
        </w:drawing>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Board Diversity Matrix (as of April 26, 2023)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00" w:type="dxa"/>
            <w:vAlign w:val="bottom"/>
          </w:tcPr>
          <w:p>
            <w:pPr>
              <w:spacing w:after="0"/>
              <w:rPr>
                <w:sz w:val="21"/>
                <w:szCs w:val="21"/>
                <w:color w:val="auto"/>
              </w:rPr>
            </w:pP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Total Number of Directors</w:t>
            </w:r>
          </w:p>
        </w:tc>
        <w:tc>
          <w:tcPr>
            <w:tcW w:w="88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rPr>
              <w:t>9</w:t>
            </w:r>
          </w:p>
        </w:tc>
        <w:tc>
          <w:tcPr>
            <w:tcW w:w="1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Female</w:t>
            </w:r>
          </w:p>
        </w:tc>
        <w:tc>
          <w:tcPr>
            <w:tcW w:w="6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Male</w:t>
            </w:r>
          </w:p>
        </w:tc>
        <w:tc>
          <w:tcPr>
            <w:tcW w:w="10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Non-Binary</w:t>
            </w:r>
          </w:p>
        </w:tc>
        <w:tc>
          <w:tcPr>
            <w:tcW w:w="258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1"/>
              </w:rPr>
              <w:t>Did Not Disclose</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Part I: Gender Identity</w:t>
            </w:r>
          </w:p>
        </w:tc>
        <w:tc>
          <w:tcPr>
            <w:tcW w:w="880" w:type="dxa"/>
            <w:vAlign w:val="bottom"/>
            <w:tcBorders>
              <w:right w:val="single" w:sz="8" w:color="auto"/>
            </w:tcBorders>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70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68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Directors</w:t>
            </w: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rPr>
              <w:t>3</w:t>
            </w:r>
          </w:p>
        </w:tc>
        <w:tc>
          <w:tcPr>
            <w:tcW w:w="68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5</w:t>
            </w:r>
          </w:p>
        </w:tc>
        <w:tc>
          <w:tcPr>
            <w:tcW w:w="10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58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Part II: Demographic Background</w:t>
            </w:r>
          </w:p>
        </w:tc>
        <w:tc>
          <w:tcPr>
            <w:tcW w:w="880" w:type="dxa"/>
            <w:vAlign w:val="bottom"/>
            <w:tcBorders>
              <w:right w:val="single" w:sz="8" w:color="auto"/>
            </w:tcBorders>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370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68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African American or Black</w:t>
            </w: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58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Alaskan Native or Native American</w:t>
            </w:r>
          </w:p>
        </w:tc>
        <w:tc>
          <w:tcPr>
            <w:tcW w:w="880" w:type="dxa"/>
            <w:vAlign w:val="bottom"/>
            <w:tcBorders>
              <w:right w:val="single" w:sz="8" w:color="auto"/>
            </w:tcBorders>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70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68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Asian</w:t>
            </w: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58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Hispanic or Latinx</w:t>
            </w:r>
          </w:p>
        </w:tc>
        <w:tc>
          <w:tcPr>
            <w:tcW w:w="880" w:type="dxa"/>
            <w:vAlign w:val="bottom"/>
            <w:tcBorders>
              <w:right w:val="single" w:sz="8" w:color="auto"/>
            </w:tcBorders>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70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68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Native Hawaiian or Pacific Islander</w:t>
            </w: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58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White</w:t>
            </w:r>
          </w:p>
        </w:tc>
        <w:tc>
          <w:tcPr>
            <w:tcW w:w="880" w:type="dxa"/>
            <w:vAlign w:val="bottom"/>
            <w:tcBorders>
              <w:right w:val="single" w:sz="8" w:color="auto"/>
            </w:tcBorders>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1080" w:type="dxa"/>
            <w:vAlign w:val="bottom"/>
            <w:tcBorders>
              <w:right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70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68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Two or More Races or Ethnicities</w:t>
            </w: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58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LGBTQ+</w:t>
            </w:r>
          </w:p>
        </w:tc>
        <w:tc>
          <w:tcPr>
            <w:tcW w:w="880" w:type="dxa"/>
            <w:vAlign w:val="bottom"/>
            <w:tcBorders>
              <w:right w:val="single" w:sz="8" w:color="auto"/>
            </w:tcBorders>
            <w:shd w:val="clear" w:color="auto" w:fill="CCEEFF"/>
          </w:tcPr>
          <w:p>
            <w:pPr>
              <w:spacing w:after="0"/>
              <w:rPr>
                <w:sz w:val="24"/>
                <w:szCs w:val="24"/>
                <w:color w:val="auto"/>
              </w:rPr>
            </w:pPr>
          </w:p>
        </w:tc>
        <w:tc>
          <w:tcPr>
            <w:tcW w:w="800" w:type="dxa"/>
            <w:vAlign w:val="bottom"/>
            <w:tcBorders>
              <w:righ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370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CCEEFF"/>
            </w:tcBorders>
            <w:shd w:val="clear" w:color="auto" w:fill="CCEEFF"/>
          </w:tcPr>
          <w:p>
            <w:pPr>
              <w:spacing w:after="0"/>
              <w:rPr>
                <w:sz w:val="5"/>
                <w:szCs w:val="5"/>
                <w:color w:val="auto"/>
              </w:rPr>
            </w:pPr>
          </w:p>
        </w:tc>
        <w:tc>
          <w:tcPr>
            <w:tcW w:w="680" w:type="dxa"/>
            <w:vAlign w:val="bottom"/>
            <w:tcBorders>
              <w:bottom w:val="single" w:sz="8" w:color="auto"/>
              <w:right w:val="single" w:sz="8" w:color="CCEEFF"/>
            </w:tcBorders>
            <w:shd w:val="clear" w:color="auto" w:fill="CCEEFF"/>
          </w:tcPr>
          <w:p>
            <w:pPr>
              <w:spacing w:after="0"/>
              <w:rPr>
                <w:sz w:val="5"/>
                <w:szCs w:val="5"/>
                <w:color w:val="auto"/>
              </w:rPr>
            </w:pPr>
          </w:p>
        </w:tc>
        <w:tc>
          <w:tcPr>
            <w:tcW w:w="1080" w:type="dxa"/>
            <w:vAlign w:val="bottom"/>
            <w:tcBorders>
              <w:bottom w:val="single" w:sz="8" w:color="auto"/>
              <w:right w:val="single" w:sz="8" w:color="CCEEFF"/>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Did Not Disclose Demographic Background</w:t>
            </w: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68"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seven directors are independent directors within the meaning of the applicable Nasdaq listing standards: Messrs. Aquila, Bay, Gordon and Hartfield and Mses. Freeman, Gonzalez and Tan. In making this determination, the Board found that none of these directors or nominees for director had a material or other disqualifying relationship with the Company.</w:t>
      </w:r>
    </w:p>
    <w:p>
      <w:pPr>
        <w:spacing w:after="0" w:line="7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titled “Related Person Transactions” that occurred during any 12-month period within the last three fiscal years.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The Board is currently chaired by the Executive Chair of the Company, Mr. Francis, who has an active role in leading the Company as our principal executive officer after Christopher Beals terminated from his roles as Chief Executive Officer and member of the Board. Ms. Freeman currently serves as our lead independent director.</w:t>
      </w:r>
    </w:p>
    <w:p>
      <w:pPr>
        <w:spacing w:after="0" w:line="4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Company believes that during this transformational period, it is valuable to have Mr. Francis in the combined positions of principal executive officer and Board chair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5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Executive Chair: the lead independent director is empowered to, among other duties and responsibilities, approve agendas and meeting schedules for regular Board meetings, preside over Board meetings in the absence of the Executive Chair, preside over and establish the agendas for meetings of the independent directors, act as liaison between the Executive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Executive Chair, for example, by facilitating the inclusion on meeting agendas of matters of concern to the independent directors.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58"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currently include oversight of cybersecurity risk management, although the Board is evaluating potential future changes to the split of responsibility between the Audit and Technology Committees for oversight of cybersecurity risks.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Meetings of the Board of Directors</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Board met eight times during 2022. All directors except Mr. Hartfield attended 75% or more of the aggregate number of meetings of the Board and of the committees on which they served, held during the portion of the last fiscal year for which they were a director or member. Mr. Hartfield was unable to attend two meetings of the Technology Committee because of the illness of an immediate family member.</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As required under applicable Nasdaq listing standards, in 2022, the Company’s independent directors met three times in regularly scheduled executive sessions at which only independent directors were present. The Chairpersons of the Audit Committee, the Compensation Committee and the Nominating and Corporate Governance Committee alternated presiding over the executive sessions.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Board established the Audit Committee, the Compensation Committee, the Nominating and Corporate Governance Committee and the Technology Committee. The Board adopted a charter for each of the Audit, Compensation and Nominating and Corporate Governance committees, which complies with the applicable requirements of current Nasdaq rules and can be found at our website at ir.weedmaps.com. The Board had not adopted a charter for the Technology Committee as of December 31, 2022.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2022 for each of the standing Board committees: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Audit</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Nominating and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186"/>
        </w:trPr>
        <w:tc>
          <w:tcPr>
            <w:tcW w:w="44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Corporate Governance</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Tony Aquila</w:t>
            </w: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Anthony Bay</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X</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Francis*</w:t>
            </w: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Brenda Freeman</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X**</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Olga Gonzalez</w:t>
            </w:r>
          </w:p>
        </w:tc>
        <w:tc>
          <w:tcPr>
            <w:tcW w:w="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w:t>
            </w:r>
          </w:p>
        </w:tc>
        <w:tc>
          <w:tcPr>
            <w:tcW w:w="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X</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Hartfield</w:t>
            </w: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Fiona Tan</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X</w:t>
            </w:r>
          </w:p>
        </w:tc>
        <w:tc>
          <w:tcPr>
            <w:tcW w:w="72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meetings in the year ended December 31, 2022</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54"/>
        </w:trPr>
        <w:tc>
          <w:tcPr>
            <w:tcW w:w="4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-1868170</wp:posOffset>
            </wp:positionV>
            <wp:extent cx="102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-1868170</wp:posOffset>
            </wp:positionV>
            <wp:extent cx="102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-1868170</wp:posOffset>
            </wp:positionV>
            <wp:extent cx="102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-1868170</wp:posOffset>
            </wp:positionV>
            <wp:extent cx="102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ind w:left="300" w:right="6499" w:hanging="8"/>
        <w:spacing w:after="0" w:line="371" w:lineRule="auto"/>
        <w:tabs>
          <w:tab w:leader="none" w:pos="651" w:val="left"/>
        </w:tabs>
        <w:numPr>
          <w:ilvl w:val="0"/>
          <w:numId w:val="8"/>
        </w:numPr>
        <w:rPr>
          <w:rFonts w:ascii="Arial" w:cs="Arial" w:eastAsia="Arial" w:hAnsi="Arial"/>
          <w:sz w:val="13"/>
          <w:szCs w:val="13"/>
          <w:color w:val="auto"/>
        </w:rPr>
      </w:pPr>
      <w:r>
        <w:rPr>
          <w:rFonts w:ascii="Arial" w:cs="Arial" w:eastAsia="Arial" w:hAnsi="Arial"/>
          <w:sz w:val="13"/>
          <w:szCs w:val="13"/>
          <w:color w:val="auto"/>
        </w:rPr>
        <w:t>Executive Chair (as of 12/31/22) ** Committee Chairperson</w:t>
      </w:r>
    </w:p>
    <w:p>
      <w:pPr>
        <w:spacing w:after="0" w:line="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Audit Committee consists of Mses. Gonzalez and Freeman and Messrs. Bay and Gordon. The Board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84"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We named Ms. Gonzalez as the Chairperson of the Audit Committee. The Board determined that Ms. Gonzalez and Mr. Bay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2022.</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registered public accounting firm; oversee the work of our independent registered public accounting firm;</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related party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Report of the Audit Committee of the Board of Directors</w:t>
      </w:r>
      <w:r>
        <w:rPr>
          <w:rFonts w:ascii="Arial" w:cs="Arial" w:eastAsia="Arial" w:hAnsi="Arial"/>
          <w:sz w:val="29"/>
          <w:szCs w:val="29"/>
          <w:b w:val="1"/>
          <w:bCs w:val="1"/>
          <w:color w:val="auto"/>
          <w:vertAlign w:val="superscript"/>
        </w:rPr>
        <w:t>(1)</w:t>
      </w:r>
    </w:p>
    <w:p>
      <w:pPr>
        <w:spacing w:after="0" w:line="47" w:lineRule="exact"/>
        <w:rPr>
          <w:sz w:val="20"/>
          <w:szCs w:val="20"/>
          <w:color w:val="auto"/>
        </w:rPr>
      </w:pPr>
    </w:p>
    <w:p>
      <w:pPr>
        <w:jc w:val="both"/>
        <w:ind w:left="300" w:right="299"/>
        <w:spacing w:after="0" w:line="251" w:lineRule="auto"/>
        <w:rPr>
          <w:sz w:val="20"/>
          <w:szCs w:val="20"/>
          <w:color w:val="auto"/>
        </w:rPr>
      </w:pPr>
      <w:r>
        <w:rPr>
          <w:rFonts w:ascii="Arial" w:cs="Arial" w:eastAsia="Arial" w:hAnsi="Arial"/>
          <w:sz w:val="18"/>
          <w:szCs w:val="18"/>
          <w:color w:val="auto"/>
        </w:rPr>
        <w:t>The Audit Committee has reviewed and discussed the audited financial statements for the fiscal year ended December 31, 2022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2022.</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Respectfully submitted by the members of the Audit Committee of the Board.</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Olga Gonzalez (Chairperson)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Brenda Freeman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Scott Gordon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Anthony 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194945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6" w:lineRule="exact"/>
        <w:rPr>
          <w:sz w:val="20"/>
          <w:szCs w:val="20"/>
          <w:color w:val="auto"/>
        </w:rPr>
      </w:pPr>
    </w:p>
    <w:p>
      <w:pPr>
        <w:jc w:val="both"/>
        <w:ind w:left="640" w:right="299" w:hanging="348"/>
        <w:spacing w:after="0" w:line="238"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The Compensation Committee consists of Messrs. Aquila, Bay and Gordon. We named Mr. Aquila as the Chairperson of the Compensation Committee. The Board has determined that each of the members of the Compensation Committee is a non-employee director, as defined in Rule 16b-3 promulgated under the Exchange Act and satisfies the independence requirements of Nasdaq. The Compensation Committee met one time during 2022.</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functions of the Compensation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regularly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70"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During the past fiscal year, after taking into consideration those factors prescribed by the SEC and Nasdaq, the Compensation Committee engaged Compensia Inc. (“Compensia”) as compensation consultants.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During the year ended December 31, 2022, Compensia provided the following services:</w:t>
      </w:r>
    </w:p>
    <w:p>
      <w:pPr>
        <w:spacing w:after="0" w:line="117"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Discussion and Analysis drafting and review for the 2021 Proxy;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provided guidance on other compensation topics including peer group selection, clawback programs, Compensation Committee calendar review, and ad hoc market data and practices.</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Per its charter, the Compensation Committee is responsible for reviewing and approving most of the significant adjustments to annual compensation, and determines base salary, bonus and equity awards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68"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2022.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None of the members of the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the Board or Compensation Committee.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Nominating and Corporate Governance Committee consists of Mses. Tan and Freeman.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2022.</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functions of the Nominating and Corporate Governance Committee include, among other things: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the Board and its committees;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assess the performance of members of the Board and make recommendations regarding committee and chairperson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 desired qualifications for Board membership and conduct searches for potential members of the Board;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8"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2022, the Nominating and Corporate Governance Committee paid fees to True Capital Partners, LLC to assist in the process of identifying or evaluating director candidates.</w:t>
      </w:r>
    </w:p>
    <w:p>
      <w:pPr>
        <w:spacing w:after="0" w:line="63"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70"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We have not adopted a formal process for stockholder communications with the Board. Nevertheless, every effort has been made to ensure that the views of stockholders are heard by the Board or individual directors, as applicable,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that appropriate responses are provided to stockholders in a timely manner. We believe our responsiveness to stockholder communications to the Board has been excellent and therefore a formal process is not necessary.</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Our Corporate Governance Guidelines, as well as the charters for each committee of the Board, may be viewed at investors.weedmaps.com.</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360" w:lineRule="exact"/>
        <w:rPr>
          <w:sz w:val="20"/>
          <w:szCs w:val="20"/>
          <w:color w:val="auto"/>
        </w:rPr>
      </w:pPr>
    </w:p>
    <w:p>
      <w:pPr>
        <w:jc w:val="center"/>
        <w:ind w:left="300" w:right="359"/>
        <w:spacing w:after="0" w:line="282" w:lineRule="auto"/>
        <w:rPr>
          <w:sz w:val="20"/>
          <w:szCs w:val="20"/>
          <w:color w:val="auto"/>
        </w:rPr>
      </w:pPr>
      <w:r>
        <w:rPr>
          <w:rFonts w:ascii="Arial" w:cs="Arial" w:eastAsia="Arial" w:hAnsi="Arial"/>
          <w:sz w:val="18"/>
          <w:szCs w:val="18"/>
          <w:b w:val="1"/>
          <w:bCs w:val="1"/>
          <w:color w:val="auto"/>
        </w:rPr>
        <w:t>ADVISORY VOTE, ON A NON-BINDING BASIS, TO APPROVE THE COMPENSATION OF OUR NAMED EXECUTIVE OFFICERS FOR THE YEAR ENDED 2022</w:t>
      </w:r>
    </w:p>
    <w:p>
      <w:pPr>
        <w:spacing w:after="0" w:line="58"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At the 2022 Annual Meeting of Stockholders, our stockholders indicated their preference that the Company solicit a non-binding advisory vote on the compensation of the named executive officers, commonly referred to as a “say-on-pay vote,” every year. The Board has adopted a policy that is consistent with that preference. In accordance with that policy, this year, the Company is again asking our stockholders to approve, on an advisory basis, the compensation of the Company’s named executive officers as disclosed in this proxy statement in accordance with SEC rules.</w:t>
      </w:r>
    </w:p>
    <w:p>
      <w:pPr>
        <w:spacing w:after="0" w:line="53"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Discussion and Analysis, the compensation tables, and the related narrative disclosure contained in this Proxy Statement. As discussed in those disclosures, the Company believes that its compensation policies and decisions are reasonable, competitive, and appropriately balance the goals of attracting, motivating, rewarding, and retaining its Named Executive Officers with the goal of aligning their interests with those of the stockholders. Compensation of the Company’s Named Executive Officers is designed to enable the Company to attract and retain talented and experienced executives to lead the Company successfully in a competitive environment.</w:t>
      </w:r>
    </w:p>
    <w:p>
      <w:pPr>
        <w:spacing w:after="0" w:line="5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Accordingly, the Board is asking the Company’s stockholders to indicate their support for the compensation of the Company’s Named Executive Officers as described in this Proxy Statement by casting a non-binding advisory vote “FOR” the following resolution:</w:t>
      </w:r>
    </w:p>
    <w:p>
      <w:pPr>
        <w:spacing w:after="0" w:line="76"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Advisory approval of this proposal requires the vote of the holders of a majority in voting power of the shares of Common Stock present or represented by proxy and entitled to vote on the matter at the Annual Meeting. Unless the Board decides to modify its policy regarding the frequency of soliciting advisory votes on the compensation of the Company’s Named Executive Officers, the next scheduled say-on-pay vote will be at the 2024 Annual Meeting of Stockholders.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IN FAVOR OF PROPOSAL NO.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SELECTION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03"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Audit Committee has selected Baker Tilly US, LLP (“Baker Tilly”) as our independent registered public accounting firm for the year ending December 31, 2023 and has further directed that management submit the selection of its independent registered public accounting firm for ratification by the stockholders at the annual meeting. Baker Tilly (and its predecessor by acquisition, Squar Milner, which it acquired on November 1, 2020) has audited our financial statements since the year ended December 31, 2013. Representatives of Baker Tilly are expected to be present at the Annual Meeting. They will have an opportunity to make a statement if they so desire and will be available to respond to appropriate questions.</w:t>
      </w:r>
    </w:p>
    <w:p>
      <w:pPr>
        <w:spacing w:after="0" w:line="6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Neither our Bylaws nor other governing documents or law require stockholder ratification of the selection of Baker Tilly as our independent registered public accounting firm. However, the Audit Committee is submitting the selection of Baker Tilly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for us and our stockholders.</w:t>
      </w:r>
    </w:p>
    <w:p>
      <w:pPr>
        <w:spacing w:after="0" w:line="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affirmative vote of the holders of a majority in voting power of the shares present by remote communication or represented by proxy and entitled to vote on the matter at the annual meeting will be required to ratify the selection of Baker Tilly.</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 in Independent Registered Accounting Firm</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On June 16, 2021 (the “Closing Date”), the Board approved the engagement of Baker Tilly as our independent registered public accounting firm to audit our consolidated financial statements for the year ending December 31, 2021. Baker Tilly served as the independent registered public accounting firm of WM Holding Company, LLC, (when referred to in its pre-Business Combination capacity, “Legacy WMH”) prior to the Business Combination. Accordingly, Marcum LLP (“Marcum”), the SSPK’s independent registered public accounting firm prior to the Business Combination, was informed on the Closing Date that it would be dismissed and replaced by Baker Tilly as our independent registered public accounting firm.</w:t>
      </w:r>
    </w:p>
    <w:p>
      <w:pPr>
        <w:spacing w:after="0" w:line="6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Marcum’s report on the SSPK’s balance sheets as of December 31, 2020 and 2019, the related statements of operations, stockholders’ equity and cash flows for the year ended December 31, 2020 and for the period from June 7, 2019 (inception) to December 31, 2019, and the related notes to the financial statements (collectively, the “financial statements”) did not contain any adverse opinion or disclaimer of opinion, nor were they qualified or modified as to uncertainty, audit scope or accounting principles, except for the substantial doubt about SSPK’s ability to continue as a going concern.</w:t>
      </w:r>
    </w:p>
    <w:p>
      <w:pPr>
        <w:spacing w:after="0" w:line="8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During the period from June 7, 2019 (inception) to December 31, 2020 and the subsequent interim period through June 21, 2021, there were no: (i) disagreements with Marcum on any matter of accounting principles or practices, financial statement disclosures or audited scope or procedures, which disagreements if not resolved to Marcum’s satisfaction would have caused Marcum to make reference to the subject matter of the disagreement in connection with its report or (ii) reportable events as defined in Item 304(a)(1)(v) of Regulation S-K under the Exchange Act.</w:t>
      </w:r>
    </w:p>
    <w:p>
      <w:pPr>
        <w:spacing w:after="0" w:line="53"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During the period from June 7, 2019 (inception) to December 31, 2020, and the interim period through March 31, 2021, we did not consult Baker Tilly with respect to either (i) the application of accounting principles to a specified transaction, either completed or proposed; or the type of audit opinion that might be rendered on our financial statements, and no written report or oral advice was provided to us by Baker Tilly that Baker Tilly concluded was an important factor considered by us in reaching a decision as to the accounting, auditing or financial reporting issue; or</w:t>
      </w:r>
    </w:p>
    <w:p>
      <w:pPr>
        <w:spacing w:after="0" w:line="2" w:lineRule="exact"/>
        <w:rPr>
          <w:sz w:val="20"/>
          <w:szCs w:val="20"/>
          <w:color w:val="auto"/>
        </w:rPr>
      </w:pPr>
    </w:p>
    <w:p>
      <w:pPr>
        <w:jc w:val="both"/>
        <w:ind w:left="300" w:right="319" w:hanging="8"/>
        <w:spacing w:after="0" w:line="253" w:lineRule="auto"/>
        <w:tabs>
          <w:tab w:leader="none" w:pos="5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have provided Marcum with a copy of the disclosures made by us and received from Marcum a letter addressed to the SEC stating whether it agrees with the statements made by the Company in response to this Item 4.01 and, if not, stating the respects in which it does not agree. The letter from Marcum was filed as Exhibit 16.1 to our Current Report on Form 8-K filed with the SEC on June 22, 2021.</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2021 and December 31, 2022, by Baker Tilly, the Company’s principal accountant.</w:t>
      </w:r>
    </w:p>
    <w:p>
      <w:pPr>
        <w:spacing w:after="0" w:line="121"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39370</wp:posOffset>
            </wp:positionV>
            <wp:extent cx="1037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1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426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5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(1)(3)</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$842,400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$565,866</w:t>
            </w:r>
          </w:p>
        </w:tc>
        <w:tc>
          <w:tcPr>
            <w:tcW w:w="20" w:type="dxa"/>
            <w:vAlign w:val="bottom"/>
            <w:shd w:val="clear" w:color="auto" w:fill="CCEEFF"/>
          </w:tcPr>
          <w:p>
            <w:pPr>
              <w:spacing w:after="0"/>
              <w:rPr>
                <w:sz w:val="24"/>
                <w:szCs w:val="24"/>
                <w:color w:val="auto"/>
              </w:rPr>
            </w:pPr>
          </w:p>
        </w:tc>
      </w:tr>
      <w:tr>
        <w:trPr>
          <w:trHeight w:val="365"/>
        </w:trPr>
        <w:tc>
          <w:tcPr>
            <w:tcW w:w="42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(2)(3)</w:t>
            </w: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19,440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34,496</w:t>
            </w:r>
          </w:p>
        </w:tc>
        <w:tc>
          <w:tcPr>
            <w:tcW w:w="20" w:type="dxa"/>
            <w:vAlign w:val="bottom"/>
          </w:tcPr>
          <w:p>
            <w:pPr>
              <w:spacing w:after="0"/>
              <w:rPr>
                <w:sz w:val="24"/>
                <w:szCs w:val="24"/>
                <w:color w:val="auto"/>
              </w:rPr>
            </w:pPr>
          </w:p>
        </w:tc>
      </w:tr>
      <w:tr>
        <w:trPr>
          <w:trHeight w:val="304"/>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25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6"/>
        </w:trPr>
        <w:tc>
          <w:tcPr>
            <w:tcW w:w="4260" w:type="dxa"/>
            <w:vAlign w:val="bottom"/>
          </w:tcPr>
          <w:p>
            <w:pPr>
              <w:spacing w:after="0"/>
              <w:rPr>
                <w:sz w:val="20"/>
                <w:szCs w:val="20"/>
                <w:color w:val="auto"/>
              </w:rPr>
            </w:pPr>
            <w:r>
              <w:rPr>
                <w:rFonts w:ascii="Arial" w:cs="Arial" w:eastAsia="Arial" w:hAnsi="Arial"/>
                <w:sz w:val="18"/>
                <w:szCs w:val="18"/>
                <w:color w:val="auto"/>
              </w:rPr>
              <w:t>All Other Fees</w:t>
            </w:r>
          </w:p>
        </w:tc>
        <w:tc>
          <w:tcPr>
            <w:tcW w:w="252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42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25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861,840</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600,362</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-1105535</wp:posOffset>
            </wp:positionV>
            <wp:extent cx="171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-1105535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28"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“Audit Fees” consist of fees in connection with the audit of the Company’s annual consolidated financial statements, including audited financial statements presented in its Registration Statement on Form S-4 filed with the SEC in connection with the Business Combination, audited financial statements presented in its Registration Statements on Form S-1 filed with the SEC,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those fiscal years. Included in the 2021 Audit Fees are fees billed in connection with the Business Combination.</w:t>
      </w:r>
    </w:p>
    <w:p>
      <w:pPr>
        <w:spacing w:after="0" w:line="22"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“Audit-Related Fees” consist of fees in connection with employee benefit plan audits and due diligence related to the Business Combination.</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amounts for 2021 have been reclassified from audit-related to audit to conform with the presentation of 2022 fees.</w:t>
      </w:r>
    </w:p>
    <w:p>
      <w:pPr>
        <w:spacing w:after="0" w:line="10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All 2022 fees described above were pre-approved by the Audit Committee, except with respect to $19,440 paid to Baker Tilly in connection with two employee benefit plan audits that were subsequently approved by the Audit Committee.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Our Audit Committee has adopted a policy and procedures for the pre-approval of audit and non-audit services rendered by our independent registered public accounting firm, Baker Tilly. The policy generally pre-approves specified services in the defined categories of audit services, audit-related services and tax services up to specified amounts. Pre-approval may also be given on a collective basis pursuant to such policy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6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Our Audit Committee has determined that the rendering of services other than audit services by Baker Tilly is compatible with maintaining the principal accountant’s independence.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IN FAVOR OF PROPOSAL NO.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following table sets forth certain information with respect to our current executive officers as of April 26, 2023.</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Douglas Francis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Chair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Arden Lee</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Randa McMinn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Marketing Officer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Duncan Grazier</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Technology Officer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Brian Camire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-1216660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-1216660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sets forth biographical information with respect to our executive officers who are not directors.</w:t>
      </w:r>
    </w:p>
    <w:p>
      <w:pPr>
        <w:spacing w:after="0" w:line="12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i w:val="1"/>
          <w:iCs w:val="1"/>
          <w:color w:val="auto"/>
        </w:rPr>
        <w:t>Arden Lee</w:t>
      </w:r>
      <w:r>
        <w:rPr>
          <w:rFonts w:ascii="Arial" w:cs="Arial" w:eastAsia="Arial" w:hAnsi="Arial"/>
          <w:sz w:val="18"/>
          <w:szCs w:val="18"/>
          <w:color w:val="auto"/>
        </w:rPr>
        <w:t>. Mr. Lee served as our Chief Financial Officer since June 2021. Mr. Lee served as Legacy WMH’s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8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i w:val="1"/>
          <w:iCs w:val="1"/>
          <w:color w:val="auto"/>
        </w:rPr>
        <w:t>Randa McMinn</w:t>
      </w:r>
      <w:r>
        <w:rPr>
          <w:rFonts w:ascii="Arial" w:cs="Arial" w:eastAsia="Arial" w:hAnsi="Arial"/>
          <w:sz w:val="17"/>
          <w:szCs w:val="17"/>
          <w:color w:val="auto"/>
        </w:rPr>
        <w:t>. Ms. McMinn has served as our Chief Marketing Officer since November 2022.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WM Technology, Ms. McMinn served as Chief Marketing Officer at Reali, from September 2019 to October 2022. From May 2018 to September 2019, Ms. McMinn served as Senior Vice President of Marketing at Ten-X and as Vice President of Integrated Marketing from February 2017 to April 2018. Ms. McMinn has served as an advisory board member at Aiquire Inc. since July 2021. Ms. McMinn holds a B.A. in Communications from the University of Nevada, Las Vegas and a MBA from the University of Texas at Dallas.</w:t>
      </w:r>
    </w:p>
    <w:p>
      <w:pPr>
        <w:spacing w:after="0" w:line="7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i w:val="1"/>
          <w:iCs w:val="1"/>
          <w:color w:val="auto"/>
        </w:rPr>
        <w:t>Duncan Grazier</w:t>
      </w:r>
      <w:r>
        <w:rPr>
          <w:rFonts w:ascii="Arial" w:cs="Arial" w:eastAsia="Arial" w:hAnsi="Arial"/>
          <w:sz w:val="18"/>
          <w:szCs w:val="18"/>
          <w:color w:val="auto"/>
        </w:rPr>
        <w:t>. Mr. Grazier has served as our Chief Technology Officer since December 2022. Mr. Grazier</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served (for both Legacy WMH and the Company) as Senior Vice President, Engineering from November 2020 to December 2022. Mr. Grazier served as an advisor to American Field from January 2019 to April 2019, and served as VP of Engineering at MealPal, from April 2019 to August 2019. He also previously served as founding Chief Technology Officer for Voray, Inc. from December 2015 to November 2018. Mr. Grazier attended the Rochester Institute of Technology from 2005 to 2008.</w:t>
      </w:r>
    </w:p>
    <w:p>
      <w:pPr>
        <w:spacing w:after="0" w:line="8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i w:val="1"/>
          <w:iCs w:val="1"/>
          <w:color w:val="auto"/>
        </w:rPr>
        <w:t>Brian Camire</w:t>
      </w:r>
      <w:r>
        <w:rPr>
          <w:rFonts w:ascii="Arial" w:cs="Arial" w:eastAsia="Arial" w:hAnsi="Arial"/>
          <w:sz w:val="18"/>
          <w:szCs w:val="18"/>
          <w:color w:val="auto"/>
        </w:rPr>
        <w:t>. Mr. Camire has served as our General Counsel and Secretary since June 2021. Mr. Camire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April 20, 2023,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Class A Common Stock and Class V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5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beneficial ownership percentages set forth in the table below are based on 148,059,827 shares of our Class A Common Stock and Class V Common Stock issued and outstanding as of April 20, 2023 and do not take into account the issuance of any shares of Class A Common Stock upon (i) the exercise of 19,499,973 Warrants to purchase an aggregate of 19,499,973 shares of Class A Common Stock or (ii) the exchange of 15,024,862 Class P Units for up to 15,024,862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5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of</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of</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Class A</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Class V</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 of Class V</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A</w:t>
            </w: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220" w:type="dxa"/>
            <w:vAlign w:val="bottom"/>
            <w:vMerge w:val="restart"/>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8"/>
              </w:rPr>
              <w:t>Power</w:t>
            </w:r>
            <w:r>
              <w:rPr>
                <w:rFonts w:ascii="Arial" w:cs="Arial" w:eastAsia="Arial" w:hAnsi="Arial"/>
                <w:sz w:val="23"/>
                <w:szCs w:val="23"/>
                <w:b w:val="1"/>
                <w:bCs w:val="1"/>
                <w:color w:val="auto"/>
                <w:w w:val="88"/>
                <w:vertAlign w:val="superscript"/>
              </w:rPr>
              <w:t>(3)</w:t>
            </w:r>
          </w:p>
        </w:tc>
        <w:tc>
          <w:tcPr>
            <w:tcW w:w="0" w:type="dxa"/>
            <w:vAlign w:val="bottom"/>
          </w:tcPr>
          <w:p>
            <w:pPr>
              <w:spacing w:after="0"/>
              <w:rPr>
                <w:sz w:val="1"/>
                <w:szCs w:val="1"/>
                <w:color w:val="auto"/>
              </w:rPr>
            </w:pPr>
          </w:p>
        </w:tc>
      </w:tr>
      <w:tr>
        <w:trPr>
          <w:trHeight w:val="298"/>
        </w:trPr>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80" w:type="dxa"/>
            <w:vAlign w:val="bottom"/>
            <w:gridSpan w:val="2"/>
          </w:tcPr>
          <w:p>
            <w:pPr>
              <w:spacing w:after="0"/>
              <w:rPr>
                <w:sz w:val="20"/>
                <w:szCs w:val="20"/>
                <w:color w:val="auto"/>
              </w:rPr>
            </w:pPr>
            <w:r>
              <w:rPr>
                <w:rFonts w:ascii="Arial" w:cs="Arial" w:eastAsia="Arial" w:hAnsi="Arial"/>
                <w:sz w:val="18"/>
                <w:szCs w:val="18"/>
                <w:color w:val="auto"/>
              </w:rPr>
              <w:t>Christopher Beals</w:t>
            </w:r>
            <w:r>
              <w:rPr>
                <w:rFonts w:ascii="Arial" w:cs="Arial" w:eastAsia="Arial" w:hAnsi="Arial"/>
                <w:sz w:val="29"/>
                <w:szCs w:val="29"/>
                <w:color w:val="auto"/>
                <w:vertAlign w:val="superscript"/>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428,773</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6,166,819</w:t>
            </w:r>
          </w:p>
        </w:tc>
        <w:tc>
          <w:tcPr>
            <w:tcW w:w="2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3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5,020,186</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38"/>
        </w:trPr>
        <w:tc>
          <w:tcPr>
            <w:tcW w:w="3880" w:type="dxa"/>
            <w:vAlign w:val="bottom"/>
            <w:gridSpan w:val="2"/>
          </w:tcPr>
          <w:p>
            <w:pPr>
              <w:spacing w:after="0"/>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4,981,723</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22,970,182</w:t>
            </w:r>
          </w:p>
        </w:tc>
        <w:tc>
          <w:tcPr>
            <w:tcW w:w="2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33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29,318,217</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800" w:type="dxa"/>
            <w:vAlign w:val="bottom"/>
          </w:tcPr>
          <w:p>
            <w:pPr>
              <w:jc w:val="right"/>
              <w:spacing w:after="0"/>
              <w:rPr>
                <w:sz w:val="20"/>
                <w:szCs w:val="20"/>
                <w:color w:val="auto"/>
              </w:rPr>
            </w:pPr>
            <w:r>
              <w:rPr>
                <w:rFonts w:ascii="Arial" w:cs="Arial" w:eastAsia="Arial" w:hAnsi="Arial"/>
                <w:sz w:val="18"/>
                <w:szCs w:val="18"/>
                <w:color w:val="auto"/>
              </w:rPr>
              <w:t>124,481</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Fiona Tan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88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800" w:type="dxa"/>
            <w:vAlign w:val="bottom"/>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Anthony Bay</w:t>
            </w:r>
          </w:p>
        </w:tc>
        <w:tc>
          <w:tcPr>
            <w:tcW w:w="800" w:type="dxa"/>
            <w:vAlign w:val="bottom"/>
          </w:tcPr>
          <w:p>
            <w:pPr>
              <w:jc w:val="right"/>
              <w:spacing w:after="0"/>
              <w:rPr>
                <w:sz w:val="20"/>
                <w:szCs w:val="20"/>
                <w:color w:val="auto"/>
              </w:rPr>
            </w:pPr>
            <w:r>
              <w:rPr>
                <w:rFonts w:ascii="Arial" w:cs="Arial" w:eastAsia="Arial" w:hAnsi="Arial"/>
                <w:sz w:val="18"/>
                <w:szCs w:val="18"/>
                <w:color w:val="auto"/>
              </w:rPr>
              <w:t>25,292</w:t>
            </w:r>
          </w:p>
        </w:tc>
        <w:tc>
          <w:tcPr>
            <w:tcW w:w="22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Arden Lee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212,907</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6"/>
        </w:trPr>
        <w:tc>
          <w:tcPr>
            <w:tcW w:w="3880" w:type="dxa"/>
            <w:vAlign w:val="bottom"/>
            <w:gridSpan w:val="2"/>
          </w:tcPr>
          <w:p>
            <w:pPr>
              <w:spacing w:after="0"/>
              <w:rPr>
                <w:sz w:val="20"/>
                <w:szCs w:val="20"/>
                <w:color w:val="auto"/>
              </w:rPr>
            </w:pPr>
            <w:r>
              <w:rPr>
                <w:rFonts w:ascii="Arial" w:cs="Arial" w:eastAsia="Arial" w:hAnsi="Arial"/>
                <w:sz w:val="18"/>
                <w:szCs w:val="18"/>
                <w:color w:val="auto"/>
              </w:rPr>
              <w:t>Brian Camire</w:t>
            </w:r>
          </w:p>
        </w:tc>
        <w:tc>
          <w:tcPr>
            <w:tcW w:w="800" w:type="dxa"/>
            <w:vAlign w:val="bottom"/>
          </w:tcPr>
          <w:p>
            <w:pPr>
              <w:jc w:val="right"/>
              <w:spacing w:after="0"/>
              <w:rPr>
                <w:sz w:val="20"/>
                <w:szCs w:val="20"/>
                <w:color w:val="auto"/>
              </w:rPr>
            </w:pPr>
            <w:r>
              <w:rPr>
                <w:rFonts w:ascii="Arial" w:cs="Arial" w:eastAsia="Arial" w:hAnsi="Arial"/>
                <w:sz w:val="18"/>
                <w:szCs w:val="18"/>
                <w:color w:val="auto"/>
              </w:rPr>
              <w:t>66,063</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Duncan Grazier</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3880" w:type="dxa"/>
            <w:vAlign w:val="bottom"/>
            <w:gridSpan w:val="2"/>
          </w:tcPr>
          <w:p>
            <w:pPr>
              <w:spacing w:after="0"/>
              <w:rPr>
                <w:sz w:val="20"/>
                <w:szCs w:val="20"/>
                <w:color w:val="auto"/>
              </w:rPr>
            </w:pPr>
            <w:r>
              <w:rPr>
                <w:rFonts w:ascii="Arial" w:cs="Arial" w:eastAsia="Arial" w:hAnsi="Arial"/>
                <w:sz w:val="18"/>
                <w:szCs w:val="18"/>
                <w:color w:val="auto"/>
              </w:rPr>
              <w:t>Justin Dean</w:t>
            </w:r>
            <w:r>
              <w:rPr>
                <w:rFonts w:ascii="Arial" w:cs="Arial" w:eastAsia="Arial" w:hAnsi="Arial"/>
                <w:sz w:val="29"/>
                <w:szCs w:val="29"/>
                <w:color w:val="auto"/>
                <w:vertAlign w:val="superscript"/>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61,447</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Juanjo Feijoo</w:t>
            </w:r>
            <w:r>
              <w:rPr>
                <w:rFonts w:ascii="Arial" w:cs="Arial" w:eastAsia="Arial" w:hAnsi="Arial"/>
                <w:sz w:val="29"/>
                <w:szCs w:val="29"/>
                <w:color w:val="auto"/>
                <w:vertAlign w:val="superscript"/>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106,511</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2"/>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of the</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3880" w:type="dxa"/>
            <w:vAlign w:val="bottom"/>
            <w:gridSpan w:val="2"/>
          </w:tcPr>
          <w:p>
            <w:pPr>
              <w:ind w:left="180"/>
              <w:spacing w:after="0" w:line="312" w:lineRule="exact"/>
              <w:rPr>
                <w:sz w:val="20"/>
                <w:szCs w:val="20"/>
                <w:color w:val="auto"/>
              </w:rPr>
            </w:pPr>
            <w:r>
              <w:rPr>
                <w:rFonts w:ascii="Arial" w:cs="Arial" w:eastAsia="Arial" w:hAnsi="Arial"/>
                <w:sz w:val="18"/>
                <w:szCs w:val="18"/>
                <w:b w:val="1"/>
                <w:bCs w:val="1"/>
                <w:color w:val="auto"/>
              </w:rPr>
              <w:t>Company as a Group (14 Individuals)</w:t>
            </w:r>
            <w:r>
              <w:rPr>
                <w:rFonts w:ascii="Arial" w:cs="Arial" w:eastAsia="Arial" w:hAnsi="Arial"/>
                <w:sz w:val="29"/>
                <w:szCs w:val="29"/>
                <w:b w:val="1"/>
                <w:bCs w:val="1"/>
                <w:color w:val="auto"/>
                <w:vertAlign w:val="superscript"/>
              </w:rPr>
              <w:t>(8)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11,143,181</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49,986,027</w:t>
            </w:r>
          </w:p>
        </w:tc>
        <w:tc>
          <w:tcPr>
            <w:tcW w:w="2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90.1%</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80" w:type="dxa"/>
            <w:vAlign w:val="bottom"/>
            <w:gridSpan w:val="2"/>
          </w:tcPr>
          <w:p>
            <w:pPr>
              <w:spacing w:after="0"/>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(6)(7)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8,469,191</w:t>
            </w:r>
          </w:p>
        </w:tc>
        <w:tc>
          <w:tcPr>
            <w:tcW w:w="2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3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Senvest Management, LLC</w:t>
            </w:r>
            <w:r>
              <w:rPr>
                <w:rFonts w:ascii="Arial" w:cs="Arial" w:eastAsia="Arial" w:hAnsi="Arial"/>
                <w:sz w:val="29"/>
                <w:szCs w:val="29"/>
                <w:color w:val="auto"/>
                <w:vertAlign w:val="superscript"/>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7,806,571</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20"/>
        </w:trPr>
        <w:tc>
          <w:tcPr>
            <w:tcW w:w="3880" w:type="dxa"/>
            <w:vAlign w:val="bottom"/>
            <w:gridSpan w:val="2"/>
          </w:tcPr>
          <w:p>
            <w:pPr>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(10)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5,962,048</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-4243705</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-4243705</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-4243705</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-4243705</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-4243705</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6" w:lineRule="exact"/>
        <w:rPr>
          <w:sz w:val="20"/>
          <w:szCs w:val="20"/>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beneficial ownership of less than 0.1%</w:t>
      </w:r>
    </w:p>
    <w:p>
      <w:pPr>
        <w:spacing w:after="0" w:line="42" w:lineRule="exact"/>
        <w:rPr>
          <w:sz w:val="20"/>
          <w:szCs w:val="20"/>
          <w:color w:val="auto"/>
        </w:rPr>
      </w:pPr>
    </w:p>
    <w:p>
      <w:pPr>
        <w:ind w:left="640" w:hanging="348"/>
        <w:spacing w:after="0"/>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Holders of Class A Common Stock and Class V Common Stock are entitled to one vote for each share of Class A Common Stock or Class 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at and after December 13, 2022, unless we determine to pay cash consideration for such Paired Interests.</w:t>
      </w:r>
    </w:p>
    <w:p>
      <w:pPr>
        <w:spacing w:after="0" w:line="23" w:lineRule="exact"/>
        <w:rPr>
          <w:sz w:val="20"/>
          <w:szCs w:val="20"/>
          <w:color w:val="auto"/>
        </w:rPr>
      </w:pPr>
    </w:p>
    <w:p>
      <w:pPr>
        <w:ind w:left="640" w:right="29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pacing w:after="0" w:line="1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Beneficial ownership information for the Company’s former executive officers, Messrs. Beals, Dean and Feijoo, is as of November 7, 2022, December 5, 2022, and December 29, 2022, respectively, which are the dates on which such individuals ceased to be employees of the Company and are the most recent date for which information is available.</w:t>
      </w:r>
    </w:p>
    <w:p>
      <w:pPr>
        <w:spacing w:after="0" w:line="20" w:lineRule="exact"/>
        <w:rPr>
          <w:rFonts w:ascii="Arial" w:cs="Arial" w:eastAsia="Arial" w:hAnsi="Arial"/>
          <w:sz w:val="14"/>
          <w:szCs w:val="14"/>
          <w:color w:val="auto"/>
        </w:rPr>
      </w:pPr>
    </w:p>
    <w:p>
      <w:pPr>
        <w:jc w:val="both"/>
        <w:ind w:left="640" w:right="299" w:hanging="348"/>
        <w:spacing w:after="0" w:line="247"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a managing member of AFV Management Advisors LLC, which exercises ultimate voting and investment power with respect to the shares held by AFV 5 and AFV 6 and a co-trustee of each of the Trusts and as such may be deemed to hold voting and dispositive power with respect to the shares held in the aggregate by such Trusts. It also includes 1,260,093 shares of Class A Common Stock that Mr. Aquila personally holds and 10,093 shares of underlying restricted stock units that vest on June 16, 2023. The business address of the reporting person is 2126 Hamilton Road Suite 260, Argyle, TX 76226.</w:t>
      </w:r>
    </w:p>
    <w:p>
      <w:pPr>
        <w:spacing w:after="0" w:line="16" w:lineRule="exact"/>
        <w:rPr>
          <w:rFonts w:ascii="Arial" w:cs="Arial" w:eastAsia="Arial" w:hAnsi="Arial"/>
          <w:sz w:val="13"/>
          <w:szCs w:val="13"/>
          <w:color w:val="auto"/>
        </w:rPr>
      </w:pPr>
    </w:p>
    <w:p>
      <w:pPr>
        <w:jc w:val="both"/>
        <w:ind w:left="640" w:right="299" w:hanging="348"/>
        <w:spacing w:after="0" w:line="227"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 The 4,981,723 shares of Class A Common Stock held by Mr. Francis include 240,963 shares of underlying restricted stock units that vest on May 15, 2023 and 10,093 shares of underlying restricted stock units that vest on June 16, 2023.</w:t>
      </w:r>
    </w:p>
    <w:p>
      <w:pPr>
        <w:spacing w:after="0" w:line="23"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Class A Common shares consist of (i) 10,751,614 shares held of record by our current and former executive officers and directors, and (ii) 391,567 shares issuable upon the vesting of RSUs within 60 days of April 20, 2023.</w:t>
      </w:r>
    </w:p>
    <w:p>
      <w:pPr>
        <w:spacing w:after="0" w:line="11" w:lineRule="exact"/>
        <w:rPr>
          <w:rFonts w:ascii="Arial" w:cs="Arial" w:eastAsia="Arial" w:hAnsi="Arial"/>
          <w:sz w:val="14"/>
          <w:szCs w:val="14"/>
          <w:color w:val="auto"/>
        </w:rPr>
      </w:pPr>
    </w:p>
    <w:p>
      <w:pPr>
        <w:jc w:val="both"/>
        <w:ind w:left="640" w:right="299" w:hanging="348"/>
        <w:spacing w:after="0" w:line="241"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solely on information obtained from a Schedule 13G filed by Senvest Management, LLC and Richard Mashaal on February 10, 2023, includes 7,806,571 shares of Class A Common Stock (including 1,959,017 shares of Class A Common Stock issuable upon exercise of warrants) held by Senvest Master Fund, LP, Senvest Technology Partners Master Fund, LP and Senvest Global (KY), LP (the “Investment Vehicles”). Senvest Management, LLC may be deemed to beneficially own the securities in the case of the shares of Class A Common Stock underlying the warrants, held by the Investment Vehicles by virtue of Senvest Management, LLC’s position as investment manager of the Investment Vehicles. Mr. Mashaal may be deemed to beneficially own the securities in the case of the shares of Class A Common Stock underlying the warrants, held by the Investment Vehicles by virtue of Mr. Mashaal’s status as the managing member of Senvest Management, LLC. The business address of the reporting person is 540 Madison Avenue, 32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Floor, New York, New York 10022.</w:t>
      </w:r>
    </w:p>
    <w:p>
      <w:pPr>
        <w:spacing w:after="0" w:line="1" w:lineRule="exact"/>
        <w:rPr>
          <w:rFonts w:ascii="Arial" w:cs="Arial" w:eastAsia="Arial" w:hAnsi="Arial"/>
          <w:sz w:val="13"/>
          <w:szCs w:val="13"/>
          <w:color w:val="auto"/>
        </w:rPr>
      </w:pPr>
    </w:p>
    <w:p>
      <w:pPr>
        <w:ind w:left="640" w:right="319" w:hanging="348"/>
        <w:spacing w:after="0" w:line="271"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solely on information obtained from a Schedule 13G filed by The Vanguard Group on February 9, 2023, includes 5,962,048 shares of Class A Common Stock. The business address of the reporting person is 100 Vanguard Blvd, Malvern, Pennsylvania 19355.</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Delinquent Section 16(a) Reports</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Officers, directors and greater than ten percent stockholders are required by SEC regulation to furnish us with copies of all Section 16(a) forms they file.</w:t>
      </w:r>
    </w:p>
    <w:p>
      <w:pPr>
        <w:spacing w:after="0" w:line="49"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To our knowledge, based solely on a review of the copies of such reports furnished to us and written representations that no other reports were required, during the year ended December 31, 2022, all Section 16(a) filing requirements applicable to our officers, directors and greater than ten percent stockholders were complied with, with the exception of one Form 4 for the sale of shares of Class A Common Stock, which was inadvertently filed late for each of Messrs. Hartfield and Francis and one Form 4 for a restricted stock unit grant, which was inadvertently filed late for Mr. Bay due to an administrative error.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discussion and analysis provides information regarding the 2022 compensation program for our</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Named Executive Officers. For 2022, our Named Executive Officers were:</w:t>
      </w:r>
    </w:p>
    <w:p>
      <w:pPr>
        <w:spacing w:after="0" w:line="83"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Douglas Francis, our principal executive officer and Executive Chair</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27" w:lineRule="exact"/>
        <w:rPr>
          <w:rFonts w:ascii="Arial" w:cs="Arial" w:eastAsia="Arial" w:hAnsi="Arial"/>
          <w:sz w:val="36"/>
          <w:szCs w:val="36"/>
          <w:color w:val="auto"/>
          <w:vertAlign w:val="superscript"/>
        </w:rPr>
      </w:pPr>
    </w:p>
    <w:p>
      <w:pPr>
        <w:ind w:left="1000" w:hanging="348"/>
        <w:spacing w:after="0" w:line="187" w:lineRule="auto"/>
        <w:tabs>
          <w:tab w:leader="none" w:pos="10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Christopher Beals, our former Chief Executive Officer and Director</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 w:lineRule="exact"/>
        <w:rPr>
          <w:rFonts w:ascii="Arial" w:cs="Arial" w:eastAsia="Arial" w:hAnsi="Arial"/>
          <w:sz w:val="36"/>
          <w:szCs w:val="36"/>
          <w:color w:val="auto"/>
          <w:vertAlign w:val="superscript"/>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Arden Lee, our Chief Financial Officer;</w:t>
      </w:r>
    </w:p>
    <w:p>
      <w:pPr>
        <w:spacing w:after="0" w:line="80"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Juan Jose Feijoo, our former Chief Operating Officer</w:t>
      </w:r>
      <w:r>
        <w:rPr>
          <w:rFonts w:ascii="Arial" w:cs="Arial" w:eastAsia="Arial" w:hAnsi="Arial"/>
          <w:sz w:val="29"/>
          <w:szCs w:val="29"/>
          <w:color w:val="auto"/>
          <w:vertAlign w:val="superscript"/>
        </w:rPr>
        <w:t>3</w:t>
      </w:r>
      <w:r>
        <w:rPr>
          <w:rFonts w:ascii="Arial" w:cs="Arial" w:eastAsia="Arial" w:hAnsi="Arial"/>
          <w:sz w:val="18"/>
          <w:szCs w:val="18"/>
          <w:color w:val="auto"/>
        </w:rPr>
        <w:t>; and</w:t>
      </w:r>
    </w:p>
    <w:p>
      <w:pPr>
        <w:spacing w:after="0" w:line="27" w:lineRule="exact"/>
        <w:rPr>
          <w:rFonts w:ascii="Arial" w:cs="Arial" w:eastAsia="Arial" w:hAnsi="Arial"/>
          <w:sz w:val="36"/>
          <w:szCs w:val="36"/>
          <w:color w:val="auto"/>
          <w:vertAlign w:val="superscript"/>
        </w:rPr>
      </w:pPr>
    </w:p>
    <w:p>
      <w:pPr>
        <w:ind w:left="1000" w:hanging="348"/>
        <w:spacing w:after="0" w:line="187" w:lineRule="auto"/>
        <w:tabs>
          <w:tab w:leader="none" w:pos="10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Justin Dean, our former Chief Technology Officer and Chief Information Officer</w:t>
      </w:r>
      <w:r>
        <w:rPr>
          <w:rFonts w:ascii="Arial" w:cs="Arial" w:eastAsia="Arial" w:hAnsi="Arial"/>
          <w:sz w:val="29"/>
          <w:szCs w:val="29"/>
          <w:color w:val="auto"/>
          <w:vertAlign w:val="superscript"/>
        </w:rPr>
        <w:t>4</w:t>
      </w:r>
      <w:r>
        <w:rPr>
          <w:rFonts w:ascii="Arial" w:cs="Arial" w:eastAsia="Arial" w:hAnsi="Arial"/>
          <w:sz w:val="18"/>
          <w:szCs w:val="18"/>
          <w:color w:val="auto"/>
        </w:rPr>
        <w:t>;</w:t>
      </w:r>
    </w:p>
    <w:p>
      <w:pPr>
        <w:spacing w:after="0" w:line="1" w:lineRule="exact"/>
        <w:rPr>
          <w:rFonts w:ascii="Arial" w:cs="Arial" w:eastAsia="Arial" w:hAnsi="Arial"/>
          <w:sz w:val="36"/>
          <w:szCs w:val="36"/>
          <w:color w:val="auto"/>
          <w:vertAlign w:val="superscript"/>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Brian Camire, our General Counsel and Secretary.</w:t>
      </w:r>
    </w:p>
    <w:p>
      <w:pPr>
        <w:spacing w:after="0" w:line="6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Duncan Grazier, our Chief Technology Officer</w:t>
      </w:r>
      <w:r>
        <w:rPr>
          <w:rFonts w:ascii="Arial" w:cs="Arial" w:eastAsia="Arial" w:hAnsi="Arial"/>
          <w:sz w:val="29"/>
          <w:szCs w:val="29"/>
          <w:color w:val="auto"/>
          <w:vertAlign w:val="superscript"/>
        </w:rPr>
        <w:t>5</w:t>
      </w:r>
    </w:p>
    <w:p>
      <w:pPr>
        <w:jc w:val="both"/>
        <w:ind w:left="300" w:right="299"/>
        <w:spacing w:after="0" w:line="252" w:lineRule="auto"/>
        <w:rPr>
          <w:sz w:val="20"/>
          <w:szCs w:val="20"/>
          <w:color w:val="auto"/>
        </w:rPr>
      </w:pPr>
      <w:r>
        <w:rPr>
          <w:rFonts w:ascii="Arial" w:cs="Arial" w:eastAsia="Arial" w:hAnsi="Arial"/>
          <w:sz w:val="18"/>
          <w:szCs w:val="18"/>
          <w:color w:val="auto"/>
        </w:rPr>
        <w:t>The following discussion and analysis describes the material elements of our executive compensation program during 2022. It also provides an overview of our executive compensation philosophy, including our principal compensation policies and practices. Finally, it analyzes how and why we arrived at the specific compensation decisions for our Named Executive Officers in 2022 and discusses the key factors that were considered in determining their compensation.</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Who We Are</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Founded in 2008 we operate a leading online cannabis marketplace for consumers together with a comprehensive set of eCommerce and compliance software solutions for cannabis businesses, which are sold to both storefront locations and delivery operators (“retailers”) and brands in the United States, U.S. territories and Canadian legalized cannabis markets. Our comprehensive business-to-consumer (“B2C”) and business-to-business (“B2B”) suite of products afford cannabis retailers and brands of all sizes integrated tools to compliantly run their businesses and to reach, convert, and retain consumers.</w:t>
      </w:r>
    </w:p>
    <w:p>
      <w:pPr>
        <w:spacing w:after="0" w:line="84"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 These tools support cannabis businesses at every stage in the consumer funnel, enabling them to:</w:t>
      </w:r>
    </w:p>
    <w:p>
      <w:pPr>
        <w:spacing w:after="0" w:line="70"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Strategically reach prospective cannabis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pickup, delivery and inventory in compliance with local regulations;</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Help improve the customer experience by creating online browsing and ordering functionality on a brand or retailer (including delivery) operator’s website and by extending that functionality in-store with kiosks;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Foster customer loyalty and re-engage with segments of consumers;</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Leverage the Weedmaps for Business products in conjunction with any other preferred software solutions via integrations and application programming interfaces (“APIs”); and</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informed marketing and merchandising decisions using performance analytics and consumer and brand insights to promote products to specific consumer groups.</w:t>
      </w:r>
    </w:p>
    <w:p>
      <w:pPr>
        <w:ind w:left="460" w:hanging="168"/>
        <w:spacing w:after="0" w:line="224"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Mr. Francis, our Executive Chair, became our principal executive officer effective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60" w:hanging="168"/>
        <w:spacing w:after="0" w:line="192"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Mr. Beals, our former Chief Executive Officer and Director, terminated effective November 7, 2022.</w:t>
      </w:r>
    </w:p>
    <w:p>
      <w:pPr>
        <w:ind w:left="460" w:hanging="168"/>
        <w:spacing w:after="0" w:line="192"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Mr. Feijoo, our former Chief Operating Officer, terminated effective December 31, 2022.</w:t>
      </w:r>
    </w:p>
    <w:p>
      <w:pPr>
        <w:ind w:left="460" w:hanging="168"/>
        <w:spacing w:after="0" w:line="193" w:lineRule="auto"/>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Mr. Dean, our former Chief Technology Officer, terminated effective December 5, 2022.</w:t>
      </w:r>
    </w:p>
    <w:p>
      <w:pPr>
        <w:spacing w:after="0" w:line="14" w:lineRule="exact"/>
        <w:rPr>
          <w:sz w:val="20"/>
          <w:szCs w:val="20"/>
          <w:color w:val="auto"/>
        </w:rPr>
      </w:pPr>
    </w:p>
    <w:p>
      <w:pPr>
        <w:ind w:left="460" w:hanging="168"/>
        <w:spacing w:after="0"/>
        <w:tabs>
          <w:tab w:leader="none" w:pos="46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Mr. Grazier, formerly our Senior Vice President, Engineering, was appointed our Chief Technology Officer, effective December 5,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2022 Business Highlights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 xml:space="preserve">Certain key financial results, and strategic and operational achievements are highlighted below, while full financial results, including reconciliations of the non-GAAP financial measures to the most comparable GAAP financial measures, are reflected in Appendix A, beginning on page </w:t>
      </w:r>
      <w:r>
        <w:rPr>
          <w:rFonts w:ascii="Arial" w:cs="Arial" w:eastAsia="Arial" w:hAnsi="Arial"/>
          <w:sz w:val="18"/>
          <w:szCs w:val="18"/>
          <w:u w:val="single" w:color="auto"/>
          <w:color w:val="0000EE"/>
        </w:rPr>
        <w:t>61</w:t>
      </w:r>
      <w:r>
        <w:rPr>
          <w:rFonts w:ascii="Arial" w:cs="Arial" w:eastAsia="Arial" w:hAnsi="Arial"/>
          <w:sz w:val="18"/>
          <w:szCs w:val="18"/>
          <w:color w:val="auto"/>
        </w:rPr>
        <w:t xml:space="preserve"> of this proxy statement and in our Annual Report on Form 10-K for the year ended December 31, 2022, which can be found at our website at </w:t>
      </w:r>
      <w:r>
        <w:rPr>
          <w:rFonts w:ascii="Arial" w:cs="Arial" w:eastAsia="Arial" w:hAnsi="Arial"/>
          <w:sz w:val="18"/>
          <w:szCs w:val="18"/>
          <w:i w:val="1"/>
          <w:iCs w:val="1"/>
          <w:color w:val="auto"/>
        </w:rPr>
        <w:t>ir.weedmaps.com</w:t>
      </w:r>
      <w:r>
        <w:rPr>
          <w:rFonts w:ascii="Arial" w:cs="Arial" w:eastAsia="Arial" w:hAnsi="Arial"/>
          <w:sz w:val="18"/>
          <w:szCs w:val="18"/>
          <w:color w:val="auto"/>
        </w:rPr>
        <w:t xml:space="preserve"> and on the SEC’s website. </w:t>
      </w:r>
    </w:p>
    <w:p>
      <w:pPr>
        <w:spacing w:after="0" w:line="80"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In fiscal year 2022, we achieved revenue of $216 million, which represents a 12% increase over fiscal year 2021. Our growth was impacted by end market challenges, especially in our largest markets, that limited overall industry growth to less than 5%. We saw elevated churn from clients who faced financial health challenges starting in Q2 of fiscal 2022 as the continued licensed end-market declines across large states like California and Colorado were further exacerbated by rising fuel costs and macro inflationary pressures on operating margins of many of our clients with Delivery operations. These headwinds resulted in pressure on Average Monthly Revenue per Paying Client, which declined quarter-over-quarter in Q2 through Q4 of fiscal 2022. During this time, we continued to grow our client base and ended the year with 5,457 average monthly paying clients, a 25% increase over 2021.</w:t>
      </w:r>
    </w:p>
    <w:p>
      <w:pPr>
        <w:spacing w:after="0" w:line="57"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We also welcomed back our co-founder, Doug Francis, to lead the business which we believe is the right strategic move given his extensive company and industry knowledge and that he is the best person to lead WM Technology, and work with our clients, through this challenging period in the cannabis end market. We believe that given these changes, we are in a strong position to capture growth opportunities in front of us, including;</w:t>
      </w:r>
    </w:p>
    <w:p>
      <w:pPr>
        <w:spacing w:after="0" w:line="9" w:lineRule="exact"/>
        <w:rPr>
          <w:sz w:val="20"/>
          <w:szCs w:val="20"/>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leverage and optimize our first-party data assets.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Growing our marketplace.</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our existing markets and entering new markets.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Expanding our solutions and increasing monetization opportunities as federal and state laws allow.</w:t>
      </w:r>
    </w:p>
    <w:p>
      <w:pPr>
        <w:spacing w:after="0" w:line="74" w:lineRule="exact"/>
        <w:rPr>
          <w:rFonts w:ascii="Arial" w:cs="Arial" w:eastAsia="Arial" w:hAnsi="Arial"/>
          <w:sz w:val="17"/>
          <w:szCs w:val="17"/>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Pursuing strategic partnership opportunities.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Finally, given the investments in the business we have made over the past few years, we resized our cost structure in 2022 to enable, beginning in fiscal 2023, a return to our historical roots, prior to 2022 of positive Adjusted EBITDA and cash flows (cash flows defined as operating cash flows less capital expenditures).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2022 financial highlights include;</w:t>
      </w:r>
    </w:p>
    <w:p>
      <w:pPr>
        <w:spacing w:after="0" w:line="63" w:lineRule="exact"/>
        <w:rPr>
          <w:sz w:val="20"/>
          <w:szCs w:val="20"/>
          <w:color w:val="auto"/>
        </w:rPr>
      </w:pPr>
    </w:p>
    <w:p>
      <w:pPr>
        <w:ind w:left="1000" w:right="299" w:hanging="348"/>
        <w:spacing w:after="0" w:line="277"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Revenue was $215.5 million for the year ended December 31, 2022, as compared to $193.1 million in the prior year.</w:t>
      </w:r>
    </w:p>
    <w:p>
      <w:pPr>
        <w:ind w:left="1000" w:hanging="348"/>
        <w:spacing w:after="0" w:line="235" w:lineRule="auto"/>
        <w:tabs>
          <w:tab w:leader="none" w:pos="1000" w:val="left"/>
        </w:tabs>
        <w:numPr>
          <w:ilvl w:val="1"/>
          <w:numId w:val="30"/>
        </w:numPr>
        <w:rPr>
          <w:rFonts w:ascii="Arial" w:cs="Arial" w:eastAsia="Arial" w:hAnsi="Arial"/>
          <w:sz w:val="36"/>
          <w:szCs w:val="36"/>
          <w:color w:val="auto"/>
          <w:vertAlign w:val="superscript"/>
        </w:rPr>
      </w:pPr>
      <w:r>
        <w:rPr>
          <w:rFonts w:ascii="Arial" w:cs="Arial" w:eastAsia="Arial" w:hAnsi="Arial"/>
          <w:sz w:val="18"/>
          <w:szCs w:val="18"/>
          <w:color w:val="auto"/>
        </w:rPr>
        <w:t>Average monthly paying clients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5,457, as compared to 4,337 in the prior year</w:t>
      </w:r>
    </w:p>
    <w:p>
      <w:pPr>
        <w:spacing w:after="0" w:line="1" w:lineRule="exact"/>
        <w:rPr>
          <w:rFonts w:ascii="Arial" w:cs="Arial" w:eastAsia="Arial" w:hAnsi="Arial"/>
          <w:sz w:val="36"/>
          <w:szCs w:val="36"/>
          <w:color w:val="auto"/>
          <w:vertAlign w:val="superscript"/>
        </w:rPr>
      </w:pPr>
    </w:p>
    <w:p>
      <w:pPr>
        <w:ind w:left="1000" w:hanging="348"/>
        <w:spacing w:after="0" w:line="181" w:lineRule="auto"/>
        <w:tabs>
          <w:tab w:leader="none" w:pos="1000" w:val="left"/>
        </w:tabs>
        <w:numPr>
          <w:ilvl w:val="1"/>
          <w:numId w:val="30"/>
        </w:numPr>
        <w:rPr>
          <w:rFonts w:ascii="Arial" w:cs="Arial" w:eastAsia="Arial" w:hAnsi="Arial"/>
          <w:sz w:val="31"/>
          <w:szCs w:val="31"/>
          <w:color w:val="auto"/>
          <w:vertAlign w:val="superscript"/>
        </w:rPr>
      </w:pPr>
      <w:r>
        <w:rPr>
          <w:rFonts w:ascii="Arial" w:cs="Arial" w:eastAsia="Arial" w:hAnsi="Arial"/>
          <w:sz w:val="16"/>
          <w:szCs w:val="16"/>
          <w:color w:val="auto"/>
        </w:rPr>
        <w:t>Average monthly revenue per paying client</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was $3,291, as compared to $3,711 in the prior year.</w:t>
      </w:r>
    </w:p>
    <w:p>
      <w:pPr>
        <w:spacing w:after="0" w:line="1" w:lineRule="exact"/>
        <w:rPr>
          <w:rFonts w:ascii="Arial" w:cs="Arial" w:eastAsia="Arial" w:hAnsi="Arial"/>
          <w:sz w:val="31"/>
          <w:szCs w:val="31"/>
          <w:color w:val="auto"/>
          <w:vertAlign w:val="superscript"/>
        </w:rPr>
      </w:pPr>
    </w:p>
    <w:p>
      <w:pPr>
        <w:ind w:left="1000" w:hanging="348"/>
        <w:spacing w:after="0"/>
        <w:tabs>
          <w:tab w:leader="none" w:pos="10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Gross profit was $200.1 million, implying a 93% margin rate as compared to 96% in the prior year.</w:t>
      </w:r>
    </w:p>
    <w:p>
      <w:pPr>
        <w:spacing w:after="0" w:line="5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Net loss was $82.7 million as compared to net income of $152.2 million in the prior year. The net loss included the impact of severance payments related to headcount reductions as well as non-cash charges related to a full valuation allowance recorded against deferred tax assets and changes in fair value of warrant liability.</w:t>
      </w:r>
    </w:p>
    <w:p>
      <w:pPr>
        <w:spacing w:after="0" w:line="4" w:lineRule="exact"/>
        <w:rPr>
          <w:rFonts w:ascii="Arial" w:cs="Arial" w:eastAsia="Arial" w:hAnsi="Arial"/>
          <w:sz w:val="18"/>
          <w:szCs w:val="18"/>
          <w:color w:val="auto"/>
        </w:rPr>
      </w:pPr>
    </w:p>
    <w:p>
      <w:pPr>
        <w:ind w:left="1000" w:hanging="348"/>
        <w:spacing w:after="0"/>
        <w:tabs>
          <w:tab w:leader="none" w:pos="1000" w:val="left"/>
        </w:tabs>
        <w:numPr>
          <w:ilvl w:val="1"/>
          <w:numId w:val="30"/>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was $(9.6) million as compared to $31.7 million in the prior year.</w:t>
      </w:r>
    </w:p>
    <w:p>
      <w:pPr>
        <w:spacing w:after="0" w:line="5" w:lineRule="exact"/>
        <w:rPr>
          <w:rFonts w:ascii="Arial" w:cs="Arial" w:eastAsia="Arial" w:hAnsi="Arial"/>
          <w:sz w:val="36"/>
          <w:szCs w:val="36"/>
          <w:color w:val="auto"/>
          <w:vertAlign w:val="superscript"/>
        </w:rPr>
      </w:pPr>
    </w:p>
    <w:p>
      <w:pPr>
        <w:ind w:left="460" w:right="299" w:hanging="168"/>
        <w:spacing w:after="0" w:line="195" w:lineRule="auto"/>
        <w:tabs>
          <w:tab w:leader="none" w:pos="46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Average monthly paying clients are defined as the average of the number of paying clients billed in a month across a particular period (and for which services were provided).</w:t>
      </w:r>
    </w:p>
    <w:p>
      <w:pPr>
        <w:spacing w:after="0" w:line="21" w:lineRule="exact"/>
        <w:rPr>
          <w:rFonts w:ascii="Arial" w:cs="Arial" w:eastAsia="Arial" w:hAnsi="Arial"/>
          <w:sz w:val="20"/>
          <w:szCs w:val="20"/>
          <w:color w:val="auto"/>
          <w:vertAlign w:val="superscript"/>
        </w:rPr>
      </w:pPr>
    </w:p>
    <w:p>
      <w:pPr>
        <w:ind w:left="460" w:right="319" w:hanging="168"/>
        <w:spacing w:after="0" w:line="203" w:lineRule="auto"/>
        <w:tabs>
          <w:tab w:leader="none" w:pos="46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w:t>
      </w:r>
    </w:p>
    <w:p>
      <w:pPr>
        <w:spacing w:after="0" w:line="20" w:lineRule="exact"/>
        <w:rPr>
          <w:rFonts w:ascii="Arial" w:cs="Arial" w:eastAsia="Arial" w:hAnsi="Arial"/>
          <w:sz w:val="20"/>
          <w:szCs w:val="20"/>
          <w:color w:val="auto"/>
          <w:vertAlign w:val="superscript"/>
        </w:rPr>
      </w:pPr>
    </w:p>
    <w:p>
      <w:pPr>
        <w:jc w:val="both"/>
        <w:ind w:left="460" w:right="299" w:hanging="168"/>
        <w:spacing w:after="0" w:line="208" w:lineRule="auto"/>
        <w:tabs>
          <w:tab w:leader="none" w:pos="46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For further information about how we calculate EBITDA and Adjusted EBITDA as well as limitations of their use and a reconciliation of EBITDA and Adjusted EBITDA to net (loss) income, see “Reconciliation of Net (Loss) Income to EBITDA, Adjusted EBITDA, and Adjusted EBITDA before Provision for Doubtful Accounts in Appendix A at the end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-779780</wp:posOffset>
            </wp:positionV>
            <wp:extent cx="8229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2022 Executive Compensation Highlights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2022, the compensation of our Named Executive Officers</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was as follows:</w:t>
      </w:r>
    </w:p>
    <w:p>
      <w:pPr>
        <w:spacing w:after="0" w:line="43" w:lineRule="exact"/>
        <w:rPr>
          <w:sz w:val="20"/>
          <w:szCs w:val="20"/>
          <w:color w:val="auto"/>
        </w:rPr>
      </w:pPr>
    </w:p>
    <w:p>
      <w:pPr>
        <w:ind w:left="1000" w:right="319" w:hanging="348"/>
        <w:spacing w:after="0" w:line="212" w:lineRule="auto"/>
        <w:tabs>
          <w:tab w:leader="none" w:pos="1000" w:val="left"/>
        </w:tabs>
        <w:numPr>
          <w:ilvl w:val="0"/>
          <w:numId w:val="31"/>
        </w:numPr>
        <w:rPr>
          <w:rFonts w:ascii="Arial" w:cs="Arial" w:eastAsia="Arial" w:hAnsi="Arial"/>
          <w:sz w:val="34"/>
          <w:szCs w:val="34"/>
          <w:color w:val="auto"/>
          <w:vertAlign w:val="superscript"/>
        </w:rPr>
      </w:pPr>
      <w:r>
        <w:rPr>
          <w:rFonts w:ascii="Arial" w:cs="Arial" w:eastAsia="Arial" w:hAnsi="Arial"/>
          <w:sz w:val="17"/>
          <w:szCs w:val="17"/>
          <w:b w:val="1"/>
          <w:bCs w:val="1"/>
          <w:i w:val="1"/>
          <w:iCs w:val="1"/>
          <w:color w:val="auto"/>
        </w:rPr>
        <w:t xml:space="preserve">Base Salaries </w:t>
      </w:r>
      <w:r>
        <w:rPr>
          <w:rFonts w:ascii="Arial" w:cs="Arial" w:eastAsia="Arial" w:hAnsi="Arial"/>
          <w:sz w:val="17"/>
          <w:szCs w:val="17"/>
          <w:color w:val="auto"/>
        </w:rPr>
        <w:t>– The annual base salary of our former Chief Executive Officer was $600,000</w:t>
      </w:r>
      <w:r>
        <w:rPr>
          <w:rFonts w:ascii="Arial" w:cs="Arial" w:eastAsia="Arial" w:hAnsi="Arial"/>
          <w:sz w:val="27"/>
          <w:szCs w:val="27"/>
          <w:color w:val="auto"/>
          <w:vertAlign w:val="superscript"/>
        </w:rPr>
        <w:t>7</w:t>
      </w:r>
      <w:r>
        <w:rPr>
          <w:rFonts w:ascii="Arial" w:cs="Arial" w:eastAsia="Arial" w:hAnsi="Arial"/>
          <w:sz w:val="17"/>
          <w:szCs w:val="17"/>
          <w:color w:val="auto"/>
        </w:rPr>
        <w:t>, while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annual base salaries of our other Named Executive Officers ranged from $402,500</w:t>
      </w:r>
      <w:r>
        <w:rPr>
          <w:rFonts w:ascii="Arial" w:cs="Arial" w:eastAsia="Arial" w:hAnsi="Arial"/>
          <w:sz w:val="27"/>
          <w:szCs w:val="27"/>
          <w:color w:val="auto"/>
          <w:vertAlign w:val="superscript"/>
        </w:rPr>
        <w:t>8</w:t>
      </w:r>
      <w:r>
        <w:rPr>
          <w:rFonts w:ascii="Arial" w:cs="Arial" w:eastAsia="Arial" w:hAnsi="Arial"/>
          <w:sz w:val="17"/>
          <w:szCs w:val="17"/>
          <w:color w:val="auto"/>
        </w:rPr>
        <w:t xml:space="preserve"> to $500,000.</w:t>
      </w:r>
    </w:p>
    <w:p>
      <w:pPr>
        <w:spacing w:after="0" w:line="1" w:lineRule="exact"/>
        <w:rPr>
          <w:rFonts w:ascii="Arial" w:cs="Arial" w:eastAsia="Arial" w:hAnsi="Arial"/>
          <w:sz w:val="34"/>
          <w:szCs w:val="34"/>
          <w:color w:val="auto"/>
          <w:vertAlign w:val="superscript"/>
        </w:rPr>
      </w:pPr>
    </w:p>
    <w:p>
      <w:pPr>
        <w:jc w:val="both"/>
        <w:ind w:left="1000" w:right="299" w:hanging="348"/>
        <w:spacing w:after="0" w:line="289"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Bonus Payments </w:t>
      </w:r>
      <w:r>
        <w:rPr>
          <w:rFonts w:ascii="Arial" w:cs="Arial" w:eastAsia="Arial" w:hAnsi="Arial"/>
          <w:sz w:val="16"/>
          <w:szCs w:val="16"/>
          <w:color w:val="auto"/>
        </w:rPr>
        <w:t>– In 2022, our Named Executive Officers were eligible for annual discretionary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bonuses based on the attainment of performance goals approved by the Compensation Committee of the Board (the “Compensation Committee”). For 2022, these cash bonus payments ranged, in the aggregate, from $11,531 to $162,592 for our other Named Executive Officers. Our former Chief Executive Officer and our former Chief Operating Officer did not receive ordinary course cash bonus payments but did receive a cash termination payment in 2022 (See “Executive Employment Arrangements” below).</w:t>
      </w:r>
    </w:p>
    <w:p>
      <w:pPr>
        <w:spacing w:after="0" w:line="58" w:lineRule="exact"/>
        <w:rPr>
          <w:rFonts w:ascii="Arial" w:cs="Arial" w:eastAsia="Arial" w:hAnsi="Arial"/>
          <w:sz w:val="16"/>
          <w:szCs w:val="16"/>
          <w:color w:val="auto"/>
        </w:rPr>
      </w:pPr>
    </w:p>
    <w:p>
      <w:pPr>
        <w:jc w:val="both"/>
        <w:ind w:left="1000" w:right="319" w:hanging="348"/>
        <w:spacing w:after="0" w:line="25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Long-Term Incentive Compensation </w:t>
      </w:r>
      <w:r>
        <w:rPr>
          <w:rFonts w:ascii="Arial" w:cs="Arial" w:eastAsia="Arial" w:hAnsi="Arial"/>
          <w:sz w:val="18"/>
          <w:szCs w:val="18"/>
          <w:color w:val="auto"/>
        </w:rPr>
        <w:t>– Our Named Executive Officers, other than Mr. Grazier, did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long-term incentive compensation grants in 2022, as the performance based restricted stock unit (“PRSU”) and time-based restricted stock unit (“RSU”) grants in December 2021 described in “Long-Term Equity Incentive Compensation” below were intended to cover 2022 and 2023. Mr. Grazier did not receive PRSUs because he was promoted to his position during the fiscal year, however he did receive RSU awards as described below.</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Relationship Between Pay and Performance</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8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emphasize variable compensation that appropriately rewards our Named Executive Officers through two separate compensation elements:</w:t>
      </w:r>
    </w:p>
    <w:p>
      <w:pPr>
        <w:spacing w:after="0" w:line="66" w:lineRule="exact"/>
        <w:rPr>
          <w:sz w:val="20"/>
          <w:szCs w:val="20"/>
          <w:color w:val="auto"/>
        </w:rPr>
      </w:pPr>
    </w:p>
    <w:p>
      <w:pPr>
        <w:jc w:val="both"/>
        <w:ind w:left="1000" w:right="319" w:hanging="348"/>
        <w:spacing w:after="0" w:line="238" w:lineRule="auto"/>
        <w:tabs>
          <w:tab w:leader="none" w:pos="1000" w:val="left"/>
        </w:tabs>
        <w:numPr>
          <w:ilvl w:val="0"/>
          <w:numId w:val="32"/>
        </w:numPr>
        <w:rPr>
          <w:rFonts w:ascii="Arial" w:cs="Arial" w:eastAsia="Arial" w:hAnsi="Arial"/>
          <w:sz w:val="32"/>
          <w:szCs w:val="32"/>
          <w:color w:val="auto"/>
          <w:vertAlign w:val="superscript"/>
        </w:rPr>
      </w:pPr>
      <w:r>
        <w:rPr>
          <w:rFonts w:ascii="Arial" w:cs="Arial" w:eastAsia="Arial" w:hAnsi="Arial"/>
          <w:sz w:val="16"/>
          <w:szCs w:val="16"/>
          <w:color w:val="auto"/>
        </w:rPr>
        <w:t>The Compensation Committee adopted a formal cash bonus plan for 2022</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that provides our Named Executive Officers with the opportunity to earn cash bonus payments if we produce short-term financial, operational, and strategic results that meet or exceed pre-established corporate performance goals and includes the evaluation of certain individual contributions in achieving those goals.</w:t>
      </w:r>
    </w:p>
    <w:p>
      <w:pPr>
        <w:spacing w:after="0" w:line="96" w:lineRule="exact"/>
        <w:rPr>
          <w:rFonts w:ascii="Arial" w:cs="Arial" w:eastAsia="Arial" w:hAnsi="Arial"/>
          <w:sz w:val="32"/>
          <w:szCs w:val="32"/>
          <w:color w:val="auto"/>
          <w:vertAlign w:val="superscript"/>
        </w:rPr>
      </w:pPr>
    </w:p>
    <w:p>
      <w:pPr>
        <w:jc w:val="both"/>
        <w:ind w:left="1000" w:right="319" w:hanging="348"/>
        <w:spacing w:after="0" w:line="275"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addition, we grant both PRSU awards and time-based 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68"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57" w:lineRule="exact"/>
        <w:rPr>
          <w:sz w:val="20"/>
          <w:szCs w:val="20"/>
          <w:color w:val="auto"/>
        </w:rPr>
      </w:pPr>
    </w:p>
    <w:p>
      <w:pPr>
        <w:jc w:val="both"/>
        <w:ind w:left="300" w:right="299"/>
        <w:spacing w:after="0" w:line="225" w:lineRule="auto"/>
        <w:rPr>
          <w:sz w:val="20"/>
          <w:szCs w:val="20"/>
          <w:color w:val="auto"/>
        </w:rPr>
      </w:pPr>
      <w:r>
        <w:rPr>
          <w:rFonts w:ascii="Arial" w:cs="Arial" w:eastAsia="Arial" w:hAnsi="Arial"/>
          <w:sz w:val="18"/>
          <w:szCs w:val="18"/>
          <w:color w:val="auto"/>
        </w:rPr>
        <w:t>In 2022, approximately 60% of our former Chief Executive Officer’s target total direct compensation and approximately 44%, on average, of our other Named Executive Officers</w:t>
      </w:r>
      <w:r>
        <w:rPr>
          <w:rFonts w:ascii="Arial" w:cs="Arial" w:eastAsia="Arial" w:hAnsi="Arial"/>
          <w:sz w:val="29"/>
          <w:szCs w:val="29"/>
          <w:color w:val="auto"/>
          <w:vertAlign w:val="superscript"/>
        </w:rPr>
        <w:t>10</w:t>
      </w:r>
      <w:r>
        <w:rPr>
          <w:rFonts w:ascii="Arial" w:cs="Arial" w:eastAsia="Arial" w:hAnsi="Arial"/>
          <w:sz w:val="18"/>
          <w:szCs w:val="18"/>
          <w:color w:val="auto"/>
        </w:rPr>
        <w:t xml:space="preserve"> target total direct compensation consisted of variable, “at-risk” compensation.</w:t>
      </w:r>
    </w:p>
    <w:p>
      <w:pPr>
        <w:spacing w:after="0" w:line="96"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ind w:left="460" w:hanging="168"/>
        <w:spacing w:after="0" w:line="230"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Excludes our PEO Douglas Francis, as he did not receive employee compensation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8229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460" w:hanging="168"/>
        <w:spacing w:after="0" w:line="192"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Mr. Beals’ annual base salary was $600,000; he terminated effective November 7, 2022.</w:t>
      </w:r>
    </w:p>
    <w:p>
      <w:pPr>
        <w:ind w:left="460" w:hanging="168"/>
        <w:spacing w:after="0" w:line="192"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Mr. Grazier’s salary of $350,000 was increased to $402,500 on March 1, 2022.</w:t>
      </w:r>
    </w:p>
    <w:p>
      <w:pPr>
        <w:ind w:left="460" w:hanging="168"/>
        <w:spacing w:after="0" w:line="221"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Excludes our PEO, Douglas Francis, and our Chief Technology Officer, Duncan Grazier.</w:t>
      </w:r>
    </w:p>
    <w:p>
      <w:pPr>
        <w:spacing w:after="0" w:line="32" w:lineRule="exact"/>
        <w:rPr>
          <w:rFonts w:ascii="Arial" w:cs="Arial" w:eastAsia="Arial" w:hAnsi="Arial"/>
          <w:sz w:val="22"/>
          <w:szCs w:val="22"/>
          <w:color w:val="auto"/>
          <w:vertAlign w:val="superscript"/>
        </w:rPr>
      </w:pPr>
    </w:p>
    <w:p>
      <w:pPr>
        <w:ind w:left="300"/>
        <w:spacing w:after="0" w:line="208"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10</w:t>
      </w:r>
      <w:r>
        <w:rPr>
          <w:rFonts w:ascii="Arial" w:cs="Arial" w:eastAsia="Arial" w:hAnsi="Arial"/>
          <w:sz w:val="14"/>
          <w:szCs w:val="14"/>
          <w:color w:val="auto"/>
        </w:rPr>
        <w:t xml:space="preserve"> Excludes Mr. Francis, who was not an employee in 2022.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2022:</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What We Do:</w:t>
      </w:r>
    </w:p>
    <w:p>
      <w:pPr>
        <w:spacing w:after="0" w:line="117" w:lineRule="exact"/>
        <w:rPr>
          <w:sz w:val="20"/>
          <w:szCs w:val="20"/>
          <w:color w:val="auto"/>
        </w:rPr>
      </w:pPr>
    </w:p>
    <w:p>
      <w:pPr>
        <w:jc w:val="both"/>
        <w:ind w:left="1000" w:right="319" w:hanging="348"/>
        <w:spacing w:after="0" w:line="279"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Independent Compensation Committee. </w:t>
      </w:r>
      <w:r>
        <w:rPr>
          <w:rFonts w:ascii="Arial" w:cs="Arial" w:eastAsia="Arial" w:hAnsi="Arial"/>
          <w:sz w:val="17"/>
          <w:szCs w:val="17"/>
          <w:color w:val="auto"/>
        </w:rPr>
        <w:t>The Compensation Committee is comprised solely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who determine our compensation policies and practices and who have established effective means for communicating with our stockholders regarding their executive compensation views and concerns, as described in this Proxy Statement.</w:t>
      </w:r>
    </w:p>
    <w:p>
      <w:pPr>
        <w:spacing w:after="0" w:line="63"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an Independent Compensation Consultant. </w:t>
      </w:r>
      <w:r>
        <w:rPr>
          <w:rFonts w:ascii="Arial" w:cs="Arial" w:eastAsia="Arial" w:hAnsi="Arial"/>
          <w:sz w:val="18"/>
          <w:szCs w:val="18"/>
          <w:color w:val="auto"/>
        </w:rPr>
        <w:t>In 2022, the Compensation Committee engaged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compensation consultant to provide information, analysis, and other advice on compensation matters independent of management. This compensation consultant performed no other services for us during 2022.</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Executive Compensation Review. </w:t>
      </w:r>
      <w:r>
        <w:rPr>
          <w:rFonts w:ascii="Arial" w:cs="Arial" w:eastAsia="Arial" w:hAnsi="Arial"/>
          <w:sz w:val="18"/>
          <w:szCs w:val="18"/>
          <w:color w:val="auto"/>
        </w:rPr>
        <w:t>The Compensation Committee reviews and approves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strategy and policies planned to be done annually, including review and approval of the 2022 short-term incentive plan for executive officers.</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“At-Risk.” </w:t>
      </w:r>
      <w:r>
        <w:rPr>
          <w:rFonts w:ascii="Arial" w:cs="Arial" w:eastAsia="Arial" w:hAnsi="Arial"/>
          <w:sz w:val="18"/>
          <w:szCs w:val="18"/>
          <w:color w:val="auto"/>
        </w:rPr>
        <w:t>Our executive compensation program is designed so that a significant 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Named Executive Officers’ target annual total direct compensation is “at-risk” based on corporate performance, as well as equity-based, to align the interests of our Named Executive Officers and stockholders.</w:t>
      </w:r>
    </w:p>
    <w:p>
      <w:pPr>
        <w:spacing w:after="0" w:line="78"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Use of “Pay-for-Performance” Philosophy. </w:t>
      </w:r>
      <w:r>
        <w:rPr>
          <w:rFonts w:ascii="Arial" w:cs="Arial" w:eastAsia="Arial" w:hAnsi="Arial"/>
          <w:sz w:val="16"/>
          <w:szCs w:val="16"/>
          <w:color w:val="auto"/>
        </w:rPr>
        <w:t>The majority of our Named Executive Officers’ target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direct compensation is directly linked to our financial results and our stock price performance.</w:t>
      </w:r>
    </w:p>
    <w:p>
      <w:pPr>
        <w:spacing w:after="0" w:line="15" w:lineRule="exact"/>
        <w:rPr>
          <w:rFonts w:ascii="Arial" w:cs="Arial" w:eastAsia="Arial" w:hAnsi="Arial"/>
          <w:sz w:val="16"/>
          <w:szCs w:val="16"/>
          <w:color w:val="auto"/>
        </w:rPr>
      </w:pPr>
    </w:p>
    <w:p>
      <w:pPr>
        <w:jc w:val="both"/>
        <w:ind w:left="1000" w:right="29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Multi-Year Vesting Requirements. </w:t>
      </w:r>
      <w:r>
        <w:rPr>
          <w:rFonts w:ascii="Arial" w:cs="Arial" w:eastAsia="Arial" w:hAnsi="Arial"/>
          <w:sz w:val="18"/>
          <w:szCs w:val="18"/>
          <w:color w:val="auto"/>
        </w:rPr>
        <w:t>The annual equity awards granted to our Named Executive Officers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and/or vest over multi-year periods, consistent with current market practice and our retention objectives.</w:t>
      </w:r>
    </w:p>
    <w:p>
      <w:pPr>
        <w:spacing w:after="0" w:line="75" w:lineRule="exact"/>
        <w:rPr>
          <w:rFonts w:ascii="Arial" w:cs="Arial" w:eastAsia="Arial" w:hAnsi="Arial"/>
          <w:sz w:val="18"/>
          <w:szCs w:val="18"/>
          <w:color w:val="auto"/>
        </w:rPr>
      </w:pPr>
    </w:p>
    <w:p>
      <w:pPr>
        <w:jc w:val="both"/>
        <w:ind w:left="1000" w:right="319" w:hanging="348"/>
        <w:spacing w:after="0" w:line="272"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“Double-Trigger” Change-in-Control Arrangements. </w:t>
      </w:r>
      <w:r>
        <w:rPr>
          <w:rFonts w:ascii="Arial" w:cs="Arial" w:eastAsia="Arial" w:hAnsi="Arial"/>
          <w:sz w:val="17"/>
          <w:szCs w:val="17"/>
          <w:color w:val="auto"/>
        </w:rPr>
        <w:t>Our Named Executive Officers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69"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 and Welfare Benefits. </w:t>
      </w:r>
      <w:r>
        <w:rPr>
          <w:rFonts w:ascii="Arial" w:cs="Arial" w:eastAsia="Arial" w:hAnsi="Arial"/>
          <w:sz w:val="17"/>
          <w:szCs w:val="17"/>
          <w:color w:val="auto"/>
        </w:rPr>
        <w:t>Our Named Executive Officers participate in broad-based Company-sponsored health and welfare benefit programs on the same basis as our other employees.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Succession Planning. </w:t>
      </w:r>
      <w:r>
        <w:rPr>
          <w:rFonts w:ascii="Arial" w:cs="Arial" w:eastAsia="Arial" w:hAnsi="Arial"/>
          <w:sz w:val="18"/>
          <w:szCs w:val="18"/>
          <w:color w:val="auto"/>
        </w:rPr>
        <w:t>We review the risks associated with our key executive officer positions to ensure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 succession plans are in place.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What We Don’t Do:</w:t>
      </w:r>
    </w:p>
    <w:p>
      <w:pPr>
        <w:spacing w:after="0" w:line="117" w:lineRule="exact"/>
        <w:rPr>
          <w:sz w:val="20"/>
          <w:szCs w:val="20"/>
          <w:color w:val="auto"/>
        </w:rPr>
      </w:pPr>
    </w:p>
    <w:p>
      <w:pPr>
        <w:jc w:val="both"/>
        <w:ind w:left="1000" w:right="299" w:hanging="348"/>
        <w:spacing w:after="0" w:line="25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Executive Officer Retirement Plans. </w:t>
      </w:r>
      <w:r>
        <w:rPr>
          <w:rFonts w:ascii="Arial" w:cs="Arial" w:eastAsia="Arial" w:hAnsi="Arial"/>
          <w:sz w:val="18"/>
          <w:szCs w:val="18"/>
          <w:color w:val="auto"/>
        </w:rPr>
        <w:t>We do not currently offer, nor do we have plans to offer,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79"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Executive Officer Perquisites. </w:t>
      </w:r>
      <w:r>
        <w:rPr>
          <w:rFonts w:ascii="Arial" w:cs="Arial" w:eastAsia="Arial" w:hAnsi="Arial"/>
          <w:sz w:val="18"/>
          <w:szCs w:val="18"/>
          <w:color w:val="auto"/>
        </w:rPr>
        <w:t>We generally provide benefits to our Named Executive Officers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basis as provided to all of our employees, including health, dental and vision insurance; accidental death and dismemberment insurance; disability insurance; and a tax-qualified Section 401(k)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000" w:right="29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Payments on Change-in-Control Arrangements. </w:t>
      </w:r>
      <w:r>
        <w:rPr>
          <w:rFonts w:ascii="Arial" w:cs="Arial" w:eastAsia="Arial" w:hAnsi="Arial"/>
          <w:sz w:val="18"/>
          <w:szCs w:val="18"/>
          <w:color w:val="auto"/>
        </w:rPr>
        <w:t>We do not provide any excise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payments (including “gross-ups”) on payments or benefits that are contingent upon a change-in-control of the Company.</w:t>
      </w:r>
    </w:p>
    <w:p>
      <w:pPr>
        <w:spacing w:after="0" w:line="75" w:lineRule="exact"/>
        <w:rPr>
          <w:rFonts w:ascii="Arial" w:cs="Arial" w:eastAsia="Arial" w:hAnsi="Arial"/>
          <w:sz w:val="18"/>
          <w:szCs w:val="18"/>
          <w:color w:val="auto"/>
        </w:rPr>
      </w:pPr>
    </w:p>
    <w:p>
      <w:pPr>
        <w:jc w:val="both"/>
        <w:ind w:left="1000" w:right="299" w:hanging="348"/>
        <w:spacing w:after="0" w:line="255"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Hedging or Pledging of our Securities. </w:t>
      </w:r>
      <w:r>
        <w:rPr>
          <w:rFonts w:ascii="Arial" w:cs="Arial" w:eastAsia="Arial" w:hAnsi="Arial"/>
          <w:sz w:val="18"/>
          <w:szCs w:val="18"/>
          <w:color w:val="auto"/>
        </w:rPr>
        <w:t>As part of our insider trading policy, all our directors,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Advisory Votes on Named Executive Officer Compensation</w:t>
      </w:r>
    </w:p>
    <w:p>
      <w:pPr>
        <w:spacing w:after="0" w:line="1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At the annual meeting to which this Proxy Statement relates, we will be conducting a non-binding vote on the compensation of our Named Executive Officers (commonly known as a “Say-on-Pay” vote).</w:t>
      </w:r>
    </w:p>
    <w:p>
      <w:pPr>
        <w:spacing w:after="0" w:line="6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See “Proposal 2: Advisory Vote, on a Non-binding Basis, to Approve the Compensation of Our Named Executive Officers for the Year Ended 2022” in this Proxy Statement.</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Although these are non-binding, advisory votes, we value the opinions of our stockholders. At our 2022 Annual Meeting of Stockholders, our stockholders approved, on an advisory basis, the compensation of our Named Executive Officers (91.5% of votes cast). The Board and the Compensation Committee believe this level of stockholder support reflects a very strong endorsement of our compensation policies and decisions. The Compensation Committee has considered the results of this advisory vote on executive compensation in determining our compensation policies and decisions for 2023 and has determined that these policies and decisions are appropriate and in our best interests and those of our stockholders at this time.</w:t>
      </w:r>
    </w:p>
    <w:p>
      <w:pPr>
        <w:spacing w:after="0" w:line="6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Compensation Committee will consider the outcome of the 2023 Say-on-Pay vote, in addition to other relevant stockholder feedback that may be received throughout the year, when making further compensation decisions for our Named Executive Officers.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57" w:lineRule="exact"/>
        <w:rPr>
          <w:sz w:val="20"/>
          <w:szCs w:val="20"/>
          <w:color w:val="auto"/>
        </w:rPr>
      </w:pPr>
    </w:p>
    <w:p>
      <w:pPr>
        <w:ind w:left="1000" w:right="319" w:hanging="348"/>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 Top Talent </w:t>
      </w:r>
      <w:r>
        <w:rPr>
          <w:rFonts w:ascii="Arial" w:cs="Arial" w:eastAsia="Arial" w:hAnsi="Arial"/>
          <w:sz w:val="16"/>
          <w:szCs w:val="16"/>
          <w:color w:val="auto"/>
        </w:rPr>
        <w:t>– Given the nature of our business and our long-term financial and strategic objectives,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must compete with other top technology companies for talent to build and grow our Company;</w:t>
      </w:r>
    </w:p>
    <w:p>
      <w:pPr>
        <w:spacing w:after="0" w:line="15"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and Maintain a Performance-Based Culture </w:t>
      </w:r>
      <w:r>
        <w:rPr>
          <w:rFonts w:ascii="Arial" w:cs="Arial" w:eastAsia="Arial" w:hAnsi="Arial"/>
          <w:sz w:val="18"/>
          <w:szCs w:val="18"/>
          <w:color w:val="auto"/>
        </w:rPr>
        <w:t>– To be successful in a highly competitive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78"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Exceptional Employees </w:t>
      </w:r>
      <w:r>
        <w:rPr>
          <w:rFonts w:ascii="Arial" w:cs="Arial" w:eastAsia="Arial" w:hAnsi="Arial"/>
          <w:sz w:val="18"/>
          <w:szCs w:val="18"/>
          <w:color w:val="auto"/>
        </w:rPr>
        <w:t>– To ensure that we can meet our objectives, we must foster a culture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instills a sense of commitment to the organization and each other while, at the same time, recognizing and rewarding individual contributions and impact.</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9"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Design</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design of our executive compensation program is influenced by a variety of factors, with the primary goals being to align the interests of our Named Executive Officers and stockholders and link pay with performance. In April 2021, management approved an updated compensation peer group with the assistance of our compensation consultant (as described below), to analyze the compensation of our Named Executive Officers. Based on an analysis performed in 2021, base compensation for our Named Executive Officers was not adjusted in 2022. In addition, in 2022, our Named Executive Officers were eligible for annual discretionary cash bonuses based on the attainment of performance goals approved by the Compensation Committee and includes the evaluation of certain individual contributions in achieving those goals. Also, as noted above, we grant both PRSU awards and time-based RSU awards the value of which depend entirely on the value of our Class A Common Stock, thereby incentivizing our Named Executive Officers to build sustainable long-term value for the benefit of our stockholders. We expect the specific direction, emphasis, and components of our executive compensation program will continue to evolve as determined by the Compensation Committee. We continue to transition to a more empirically-based approach that involves positioning our executive compensation against the competitive market based on an analysis of peer group data and broad-based executive compensation surveys.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Compensation-Setting Process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Role of Compensation Committee</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Compensation Committee is responsible for discharging the responsibilities of the Board relating to the compensation of our Named Executive Officers and the non-employee members of the Board. The Compensation Committee has overall responsibility for overseeing our compensation and benefits policies generally, and overseeing, evaluating and approving the compensation plans, policies, and practices applicable to our Named Executive Officers.</w:t>
      </w:r>
    </w:p>
    <w:p>
      <w:pPr>
        <w:spacing w:after="0" w:line="80"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expect that the compensation of our Named Executive Officers will be reviewed at least annually by the Compensation Committee and will be informed by the recommendations of our Chief Executive Officer or Executive Chair. The Compensation Committee will then evaluate and determine any recommended compensation adjustments or awards to our Named Executive Officers or make recommendations to the Board for final determination. We expect that as part of this review process, the Compensation Committee will apply the objectives described above within the context of our overall compensation philosophy while simultaneously considering the compensation levels to ensure our executive compensation program remains competitive based on input and market data from its compensation consultant. The Compensation Committee will also evaluate whether we are meeting our retention objectives and the potential cost of replacing any of our Named Executive Officers.</w:t>
      </w:r>
    </w:p>
    <w:p>
      <w:pPr>
        <w:spacing w:after="0" w:line="58"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8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Compensation Committee’s authority, duties, and responsibilities are further described in its charter, which is intended to be reviewed annually and revised and updated as warranted. Our Compensation Committee charter is located at our website at ir.weedmaps.com.</w:t>
      </w:r>
    </w:p>
    <w:p>
      <w:pPr>
        <w:spacing w:after="0" w:line="76"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The Compensation Committee has retained a compensation consultant (as described below) to provide support in its review and assessment of our executive compensation program; however, the Compensation Committee exercises its own judgment in making final decisions with respect to the compensation of our Named Executive Officers.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Setting Target Total Direct Compensation</w:t>
      </w:r>
    </w:p>
    <w:p>
      <w:pPr>
        <w:spacing w:after="0" w:line="117"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Going forward, the Compensation Committee intends to schedule, during the first quarter of each year, a review of the compensation arrangements of our Named Executive Officers. As part of this review, the Compensation Committee will evaluate the base salary levels, cash bonus opportunities, and long-term incentive compensation opportunities of our Named Executive Officers and all related performance criteria.</w:t>
      </w:r>
    </w:p>
    <w:p>
      <w:pPr>
        <w:spacing w:after="0" w:line="63"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Compensation Committee does not intend to establish a specific target for formulating the target annual total direct compensation opportunities of our Named Executive Officers. In making decisions about the compensation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our Named Executive Officers, the members of the Compensation Committee rely primarily on their general experience and subjective considerations of various factors, including the following:</w:t>
      </w:r>
    </w:p>
    <w:p>
      <w:pPr>
        <w:spacing w:after="0" w:line="62" w:lineRule="exact"/>
        <w:rPr>
          <w:sz w:val="20"/>
          <w:szCs w:val="20"/>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executive compensation program objectives;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performance against the financial, operational, and strategic objectives established by the Compensation Committee and the Board;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individual Named Executive Officer’s knowledge, skills, experience, qualifications, and tenure relative to other similarly situated executives at companies in the competitive market;</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each Named Executive Officer’s role and responsibilities compared to other similarly situated executives at the companies in the competitive market;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 performance of each Named Executive Officer, based on a subjective assessment of the Named Executive Officer’s contributions to our overall performance, ability to lead the applicable business unit or function and work as part of a team;</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of each Named Executive Officer to contribute to our long-term financial, operational and strategic objectives;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Chief Executive Officer’s compensation relative to that of our other Named Executive Officers, and compensation parity among our Named Executive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financial performance relative to our peers;</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the companies in selected broad-based compensation surveys and the positioning of each Named Executive Officer’s compensation in a ranking of peer company compensation levels based on an analysis of competitive market data and selected broad-based compensation surveys;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recommendations of our Chief Executive Officer or Executive Chair with respect to the compensation of our Named Executive Officers (except with respect to his own compensation).</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These factors provide the framework for compensation decision-making and final decisions regarding the compensation opportunity for our Named Executive Officers. No single factor is determinative in setting compensation levels, nor is the impact of any individual factor on the determination of pay levels quantifiable.</w:t>
      </w:r>
    </w:p>
    <w:p>
      <w:pPr>
        <w:spacing w:after="0" w:line="5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Compensation Committee does not intend to weigh these factors in any predetermined manner, nor will it apply any formulas in developing its compensation decisions. The members of the Compensation Committee will consider this information in light of their individual experience, knowledge of the Company, knowledge of the competitive market, knowledge of each Named Executive Officer, and business judgment in making their decisions.</w:t>
      </w:r>
    </w:p>
    <w:p>
      <w:pPr>
        <w:spacing w:after="0" w:line="4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Compensation Committee does not intend to engage in formal benchmarking against other companies’ compensation programs or practices, to set compensation levels or make specific compensation decisions with respect to our Named Executive Officers. Instead, in making its determinations, the Compensation Committee will review information summarizing the compensation paid at a representative group of peer companies, to the extent that the executive positions at these companies are considered comparable to our positions and informative of the competitive environment, and more broad-based compensation surveys to gain a general understanding of market compensation levels.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 discharging its responsibilities, the Compensation Committee intends to work with members of our management, including our Chief Executive Officer or Executive Chair. Our management will assist the Compensation Committee by providing information on corporate and individual performance, market compensation data, and management’s perspective on compensation matters (other than their own compensation). The Compensation Committee will solicit and review our Chief Executive Officer’s or Executive Chair’s proposals with respect to program structures, as well as his recommendations for adjustments to annual cash compensation, long-term incentive compensation opportunities, and other compensation-related matters for our Named Executive Officers (except with respect to his own compensation).</w:t>
      </w:r>
    </w:p>
    <w:p>
      <w:pPr>
        <w:spacing w:after="0" w:line="70"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At least once each year, our Chief Executive Officer or Executive Chair will review the performance of our other Named Executive Officers, based on such individual’s level of success in accomplishing the business objectives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established in the prior year and overall individual performance during that year, and then will make recommendations to, the Compensation Committee. The Compensation Committee will review and discuss our Chief Executive Officer’s or Executive Chair’s proposals and recommendations with him and consider them as one factor in determining and approving the compensation of our other Named Executive Officers. Our Chief Executive Officer or Executive Chair generally attends meetings of the Board and the Compensation Committee at which executive compensation matters are addressed, except during discussions about his own compensation.</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Compensation Committee has the sole authority to retain an external compensation consultant to assist it by providing information, analysis, and other advice relating to the compensation of our Named Executive Officers, including the authority to approve the consultant’s reasonable fees and other retention terms. The compensation consultant reports directly to the Compensation Committee and its chairperson, and serves at the discretion of the Compensation Committee, which reviews the engagement annually.</w:t>
      </w:r>
    </w:p>
    <w:p>
      <w:pPr>
        <w:spacing w:after="0" w:line="80"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In 2022, the Compensation Committee engaged Compensia, Inc. (“Compensia”), a national compensation consulting firm, to serve as its compensation consultant to advise on executive compensation matters, including competitive market pay practices for our Named Executive Officers and with data analysis and selection of the compensation peer group.</w:t>
      </w:r>
    </w:p>
    <w:p>
      <w:pPr>
        <w:spacing w:after="0" w:line="7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During 2022, Compensia attended the meetings of the Compensation Committee as requested (both with and without management present) and provided various services including the analysis of our compensation peer group, the review and analysis for certain long-term incentive compensation opportunities for our Named Executive Officers, the development of tools for the efficient administration of the Compensation Committee, and a review of non-employee Board compensation. The terms of Compensia’s engagement includes reporting directly to the Compensation Committee chairperson. Compensia also coordinated with our management for data collection and informal market comparisons for our Named Executive Officers. In 2022, Compensia did not provide any other services to us.</w:t>
      </w:r>
    </w:p>
    <w:p>
      <w:pPr>
        <w:spacing w:after="0" w:line="84"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2022. Based on this review, as well as consideration of the factors affecting independence set forth in Exchange Act Rule 10C-1(b)(4), Rule 5605(d)(3)(D) of the Nasdaq listing rules, and such other factors as were deemed relevant under the circumstances, the Compensation Committee has determined that no conflict of interest was raised as a result of the work performed by Compensia.</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believe that peer group comparisons are useful guides to evaluate the competitiveness of our executive compensation program and related policies and practices. For purposes of assessing our executive compensation against the competitive market going forward, the Compensation Committee intends to review and consider the compensation levels and practices of a select group of peer companies. This compensation peer group will consist of technology, Internet-related, interactive media, and retail consumer-related companies that are similar to us in terms of certain financial characteristics (primarily revenue and market capitalization) and other important criteria that are similar to us in terms of certain financial characteristics (primarily revenue and market capitalization) and other important criteria. The compensation data drawn from this compensation peer group is one of several factors that the Compensation Committee will consider in making its decisions with respect to the compensation of our Named Executive Officers.</w:t>
      </w:r>
    </w:p>
    <w:p>
      <w:pPr>
        <w:spacing w:after="0" w:line="7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2022, our Compensation Committee made adjustments to the compensation arrangements of our Named Executive Officers (other than Mr. Grazier) as determined in their discretion and based in part upon the recommendation of our former Chief Executive Officer using his assessment of each Named Executive Officer’s individual skills, experience, performance, expected future contributions, his knowledge of the Company and the competitive market for executive talent, and his business judgment.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300" w:right="1320"/>
        <w:spacing w:after="0" w:line="286" w:lineRule="auto"/>
        <w:rPr>
          <w:sz w:val="20"/>
          <w:szCs w:val="20"/>
          <w:color w:val="auto"/>
        </w:rPr>
      </w:pPr>
      <w:r>
        <w:rPr>
          <w:rFonts w:ascii="Arial" w:cs="Arial" w:eastAsia="Arial" w:hAnsi="Arial"/>
          <w:sz w:val="17"/>
          <w:szCs w:val="17"/>
          <w:color w:val="auto"/>
        </w:rPr>
        <w:t>In April 2021, management approved an updated compensation peer group with the assistance of Compensia to analyze the compensation of our Named Executive Officers. In identifying and selecting the companies to comprise the compensation peer group, Compensia considered the following primary criteria:</w:t>
      </w:r>
    </w:p>
    <w:p>
      <w:pPr>
        <w:spacing w:after="0" w:line="57" w:lineRule="exact"/>
        <w:rPr>
          <w:sz w:val="20"/>
          <w:szCs w:val="20"/>
          <w:color w:val="auto"/>
        </w:rPr>
      </w:pPr>
    </w:p>
    <w:p>
      <w:pPr>
        <w:ind w:left="2000" w:hanging="348"/>
        <w:spacing w:after="0"/>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publicly-traded companies headquartered in the United States;</w:t>
      </w:r>
    </w:p>
    <w:p>
      <w:pPr>
        <w:spacing w:after="0" w:line="117" w:lineRule="exact"/>
        <w:rPr>
          <w:rFonts w:ascii="Arial" w:cs="Arial" w:eastAsia="Arial" w:hAnsi="Arial"/>
          <w:sz w:val="18"/>
          <w:szCs w:val="18"/>
          <w:color w:val="auto"/>
        </w:rPr>
      </w:pPr>
    </w:p>
    <w:p>
      <w:pPr>
        <w:ind w:left="2000" w:right="1320" w:hanging="348"/>
        <w:spacing w:after="0" w:line="308" w:lineRule="auto"/>
        <w:tabs>
          <w:tab w:leader="none" w:pos="2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companies with an emphasis on application software, internet services and infrastructure, interactive media and services, healthcare technology, internal and direct marketing retail, and systems software;</w:t>
      </w:r>
    </w:p>
    <w:p>
      <w:pPr>
        <w:spacing w:after="0" w:line="38" w:lineRule="exact"/>
        <w:rPr>
          <w:rFonts w:ascii="Arial" w:cs="Arial" w:eastAsia="Arial" w:hAnsi="Arial"/>
          <w:sz w:val="17"/>
          <w:szCs w:val="17"/>
          <w:color w:val="auto"/>
        </w:rPr>
      </w:pPr>
    </w:p>
    <w:p>
      <w:pPr>
        <w:ind w:left="2000" w:right="1320" w:hanging="348"/>
        <w:spacing w:after="0" w:line="277" w:lineRule="auto"/>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companies with annual revenue within the range of approximately 0.5x to approximately 2.0x our estimated 2021 revenue of $205 million; and</w:t>
      </w:r>
    </w:p>
    <w:p>
      <w:pPr>
        <w:spacing w:after="0" w:line="62"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companies with market capitalizations within the range of approximately 0.25x to approximately 4.0x our estimated market capitalization of approximately $3 billion at April 2021.</w:t>
      </w:r>
    </w:p>
    <w:p>
      <w:pPr>
        <w:spacing w:after="0" w:line="62" w:lineRule="exact"/>
        <w:rPr>
          <w:sz w:val="20"/>
          <w:szCs w:val="20"/>
          <w:color w:val="auto"/>
        </w:rPr>
      </w:pPr>
    </w:p>
    <w:p>
      <w:pPr>
        <w:jc w:val="both"/>
        <w:ind w:left="1300" w:right="1300"/>
        <w:spacing w:after="0" w:line="308" w:lineRule="auto"/>
        <w:rPr>
          <w:sz w:val="20"/>
          <w:szCs w:val="20"/>
          <w:color w:val="auto"/>
        </w:rPr>
      </w:pPr>
      <w:r>
        <w:rPr>
          <w:rFonts w:ascii="Arial" w:cs="Arial" w:eastAsia="Arial" w:hAnsi="Arial"/>
          <w:sz w:val="17"/>
          <w:szCs w:val="17"/>
          <w:color w:val="auto"/>
        </w:rPr>
        <w:t>After evaluating the proposed peer companies against these criteria, the Compensation Committee approved the following compensation peer group for the rest of 2021 and its impending status as a public company:</w:t>
      </w:r>
    </w:p>
    <w:p>
      <w:pPr>
        <w:spacing w:after="0" w:line="11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AppFolio, Inc. (APPF)</w:t>
            </w:r>
          </w:p>
        </w:tc>
        <w:tc>
          <w:tcPr>
            <w:tcW w:w="3000" w:type="dxa"/>
            <w:vAlign w:val="bottom"/>
          </w:tcPr>
          <w:p>
            <w:pPr>
              <w:ind w:left="380"/>
              <w:spacing w:after="0"/>
              <w:rPr>
                <w:sz w:val="20"/>
                <w:szCs w:val="20"/>
                <w:color w:val="auto"/>
              </w:rPr>
            </w:pPr>
            <w:r>
              <w:rPr>
                <w:rFonts w:ascii="Arial" w:cs="Arial" w:eastAsia="Arial" w:hAnsi="Arial"/>
                <w:sz w:val="18"/>
                <w:szCs w:val="18"/>
                <w:color w:val="auto"/>
              </w:rPr>
              <w:t>GoodRx Holdings, Inc. (GDRX)</w:t>
            </w:r>
          </w:p>
        </w:tc>
        <w:tc>
          <w:tcPr>
            <w:tcW w:w="2640" w:type="dxa"/>
            <w:vAlign w:val="bottom"/>
          </w:tcPr>
          <w:p>
            <w:pPr>
              <w:ind w:left="240"/>
              <w:spacing w:after="0"/>
              <w:rPr>
                <w:sz w:val="20"/>
                <w:szCs w:val="20"/>
                <w:color w:val="auto"/>
              </w:rPr>
            </w:pPr>
            <w:r>
              <w:rPr>
                <w:rFonts w:ascii="Arial" w:cs="Arial" w:eastAsia="Arial" w:hAnsi="Arial"/>
                <w:sz w:val="18"/>
                <w:szCs w:val="18"/>
                <w:color w:val="auto"/>
              </w:rPr>
              <w:t>Rapid7, Inc. (RPD)</w:t>
            </w:r>
          </w:p>
        </w:tc>
      </w:tr>
      <w:tr>
        <w:trPr>
          <w:trHeight w:val="310"/>
        </w:trPr>
        <w:tc>
          <w:tcPr>
            <w:tcW w:w="2480" w:type="dxa"/>
            <w:vAlign w:val="bottom"/>
          </w:tcPr>
          <w:p>
            <w:pPr>
              <w:spacing w:after="0"/>
              <w:rPr>
                <w:sz w:val="20"/>
                <w:szCs w:val="20"/>
                <w:color w:val="auto"/>
              </w:rPr>
            </w:pPr>
            <w:r>
              <w:rPr>
                <w:rFonts w:ascii="Arial" w:cs="Arial" w:eastAsia="Arial" w:hAnsi="Arial"/>
                <w:sz w:val="18"/>
                <w:szCs w:val="18"/>
                <w:color w:val="auto"/>
              </w:rPr>
              <w:t>BigCommerce Holdings, Inc.</w:t>
            </w:r>
          </w:p>
        </w:tc>
        <w:tc>
          <w:tcPr>
            <w:tcW w:w="3000" w:type="dxa"/>
            <w:vAlign w:val="bottom"/>
          </w:tcPr>
          <w:p>
            <w:pPr>
              <w:ind w:left="380"/>
              <w:spacing w:after="0"/>
              <w:rPr>
                <w:sz w:val="20"/>
                <w:szCs w:val="20"/>
                <w:color w:val="auto"/>
              </w:rPr>
            </w:pPr>
            <w:r>
              <w:rPr>
                <w:rFonts w:ascii="Arial" w:cs="Arial" w:eastAsia="Arial" w:hAnsi="Arial"/>
                <w:sz w:val="18"/>
                <w:szCs w:val="18"/>
                <w:color w:val="auto"/>
              </w:rPr>
              <w:t>Health Catalyst, Inc. (HCAT)</w:t>
            </w:r>
          </w:p>
        </w:tc>
        <w:tc>
          <w:tcPr>
            <w:tcW w:w="2640" w:type="dxa"/>
            <w:vAlign w:val="bottom"/>
          </w:tcPr>
          <w:p>
            <w:pPr>
              <w:ind w:left="240"/>
              <w:spacing w:after="0"/>
              <w:rPr>
                <w:sz w:val="20"/>
                <w:szCs w:val="20"/>
                <w:color w:val="auto"/>
              </w:rPr>
            </w:pPr>
            <w:r>
              <w:rPr>
                <w:rFonts w:ascii="Arial" w:cs="Arial" w:eastAsia="Arial" w:hAnsi="Arial"/>
                <w:sz w:val="18"/>
                <w:szCs w:val="18"/>
                <w:color w:val="auto"/>
                <w:w w:val="90"/>
              </w:rPr>
              <w:t>SailPoint Technologies Holdings,</w:t>
            </w:r>
          </w:p>
        </w:tc>
      </w:tr>
      <w:tr>
        <w:trPr>
          <w:trHeight w:val="230"/>
        </w:trPr>
        <w:tc>
          <w:tcPr>
            <w:tcW w:w="2480" w:type="dxa"/>
            <w:vAlign w:val="bottom"/>
          </w:tcPr>
          <w:p>
            <w:pPr>
              <w:ind w:left="180"/>
              <w:spacing w:after="0"/>
              <w:rPr>
                <w:sz w:val="20"/>
                <w:szCs w:val="20"/>
                <w:color w:val="auto"/>
              </w:rPr>
            </w:pPr>
            <w:r>
              <w:rPr>
                <w:rFonts w:ascii="Arial" w:cs="Arial" w:eastAsia="Arial" w:hAnsi="Arial"/>
                <w:sz w:val="18"/>
                <w:szCs w:val="18"/>
                <w:color w:val="auto"/>
              </w:rPr>
              <w:t>(BIGC)</w:t>
            </w:r>
          </w:p>
        </w:tc>
        <w:tc>
          <w:tcPr>
            <w:tcW w:w="300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Inc. (N/A)</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Blackline, Inc. (BL)</w:t>
            </w:r>
          </w:p>
        </w:tc>
        <w:tc>
          <w:tcPr>
            <w:tcW w:w="3000" w:type="dxa"/>
            <w:vAlign w:val="bottom"/>
          </w:tcPr>
          <w:p>
            <w:pPr>
              <w:ind w:left="380"/>
              <w:spacing w:after="0"/>
              <w:rPr>
                <w:sz w:val="20"/>
                <w:szCs w:val="20"/>
                <w:color w:val="auto"/>
              </w:rPr>
            </w:pPr>
            <w:r>
              <w:rPr>
                <w:rFonts w:ascii="Arial" w:cs="Arial" w:eastAsia="Arial" w:hAnsi="Arial"/>
                <w:sz w:val="18"/>
                <w:szCs w:val="18"/>
                <w:color w:val="auto"/>
              </w:rPr>
              <w:t>Momentive Global Inc. (MNTV)</w:t>
            </w:r>
          </w:p>
        </w:tc>
        <w:tc>
          <w:tcPr>
            <w:tcW w:w="2640" w:type="dxa"/>
            <w:vAlign w:val="bottom"/>
          </w:tcPr>
          <w:p>
            <w:pPr>
              <w:ind w:left="240"/>
              <w:spacing w:after="0"/>
              <w:rPr>
                <w:sz w:val="20"/>
                <w:szCs w:val="20"/>
                <w:color w:val="auto"/>
              </w:rPr>
            </w:pPr>
            <w:r>
              <w:rPr>
                <w:rFonts w:ascii="Arial" w:cs="Arial" w:eastAsia="Arial" w:hAnsi="Arial"/>
                <w:sz w:val="18"/>
                <w:szCs w:val="18"/>
                <w:color w:val="auto"/>
              </w:rPr>
              <w:t>Smartsheet Inc. (SMAR)</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Eventbrite, Inc. (EB)</w:t>
            </w:r>
          </w:p>
        </w:tc>
        <w:tc>
          <w:tcPr>
            <w:tcW w:w="3000" w:type="dxa"/>
            <w:vAlign w:val="bottom"/>
          </w:tcPr>
          <w:p>
            <w:pPr>
              <w:ind w:left="380"/>
              <w:spacing w:after="0"/>
              <w:rPr>
                <w:sz w:val="20"/>
                <w:szCs w:val="20"/>
                <w:color w:val="auto"/>
              </w:rPr>
            </w:pPr>
            <w:r>
              <w:rPr>
                <w:rFonts w:ascii="Arial" w:cs="Arial" w:eastAsia="Arial" w:hAnsi="Arial"/>
                <w:sz w:val="18"/>
                <w:szCs w:val="18"/>
                <w:color w:val="auto"/>
              </w:rPr>
              <w:t>nCino, Inc. (NCNO)</w:t>
            </w:r>
          </w:p>
        </w:tc>
        <w:tc>
          <w:tcPr>
            <w:tcW w:w="2640" w:type="dxa"/>
            <w:vAlign w:val="bottom"/>
          </w:tcPr>
          <w:p>
            <w:pPr>
              <w:ind w:left="240"/>
              <w:spacing w:after="0"/>
              <w:rPr>
                <w:sz w:val="20"/>
                <w:szCs w:val="20"/>
                <w:color w:val="auto"/>
              </w:rPr>
            </w:pPr>
            <w:r>
              <w:rPr>
                <w:rFonts w:ascii="Arial" w:cs="Arial" w:eastAsia="Arial" w:hAnsi="Arial"/>
                <w:sz w:val="18"/>
                <w:szCs w:val="18"/>
                <w:color w:val="auto"/>
              </w:rPr>
              <w:t>Sprout Social, Inc. (SPT)</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Everbridge, Inc. (EVBG)</w:t>
            </w:r>
          </w:p>
        </w:tc>
        <w:tc>
          <w:tcPr>
            <w:tcW w:w="3000" w:type="dxa"/>
            <w:vAlign w:val="bottom"/>
          </w:tcPr>
          <w:p>
            <w:pPr>
              <w:ind w:left="380"/>
              <w:spacing w:after="0"/>
              <w:rPr>
                <w:sz w:val="20"/>
                <w:szCs w:val="20"/>
                <w:color w:val="auto"/>
              </w:rPr>
            </w:pPr>
            <w:r>
              <w:rPr>
                <w:rFonts w:ascii="Arial" w:cs="Arial" w:eastAsia="Arial" w:hAnsi="Arial"/>
                <w:sz w:val="18"/>
                <w:szCs w:val="18"/>
                <w:color w:val="auto"/>
              </w:rPr>
              <w:t>Pluralsight, Inc. (N/A)</w:t>
            </w:r>
          </w:p>
        </w:tc>
        <w:tc>
          <w:tcPr>
            <w:tcW w:w="2640" w:type="dxa"/>
            <w:vAlign w:val="bottom"/>
          </w:tcPr>
          <w:p>
            <w:pPr>
              <w:ind w:left="240"/>
              <w:spacing w:after="0"/>
              <w:rPr>
                <w:sz w:val="20"/>
                <w:szCs w:val="20"/>
                <w:color w:val="auto"/>
              </w:rPr>
            </w:pPr>
            <w:r>
              <w:rPr>
                <w:rFonts w:ascii="Arial" w:cs="Arial" w:eastAsia="Arial" w:hAnsi="Arial"/>
                <w:sz w:val="18"/>
                <w:szCs w:val="18"/>
                <w:color w:val="auto"/>
              </w:rPr>
              <w:t>Yext, Inc. (YEXT)</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EverQuote, Inc. (EVER)</w:t>
            </w:r>
          </w:p>
        </w:tc>
        <w:tc>
          <w:tcPr>
            <w:tcW w:w="3000" w:type="dxa"/>
            <w:vAlign w:val="bottom"/>
          </w:tcPr>
          <w:p>
            <w:pPr>
              <w:ind w:left="380"/>
              <w:spacing w:after="0"/>
              <w:rPr>
                <w:sz w:val="20"/>
                <w:szCs w:val="20"/>
                <w:color w:val="auto"/>
              </w:rPr>
            </w:pPr>
            <w:r>
              <w:rPr>
                <w:rFonts w:ascii="Arial" w:cs="Arial" w:eastAsia="Arial" w:hAnsi="Arial"/>
                <w:sz w:val="18"/>
                <w:szCs w:val="18"/>
                <w:color w:val="auto"/>
              </w:rPr>
              <w:t>Q2 Holdings, Inc. (QTWO)</w:t>
            </w:r>
          </w:p>
        </w:tc>
        <w:tc>
          <w:tcPr>
            <w:tcW w:w="2640" w:type="dxa"/>
            <w:vAlign w:val="bottom"/>
          </w:tcPr>
          <w:p>
            <w:pPr>
              <w:ind w:left="240"/>
              <w:spacing w:after="0"/>
              <w:rPr>
                <w:sz w:val="20"/>
                <w:szCs w:val="20"/>
                <w:color w:val="auto"/>
              </w:rPr>
            </w:pPr>
            <w:r>
              <w:rPr>
                <w:rFonts w:ascii="Arial" w:cs="Arial" w:eastAsia="Arial" w:hAnsi="Arial"/>
                <w:sz w:val="18"/>
                <w:szCs w:val="18"/>
                <w:color w:val="auto"/>
              </w:rPr>
              <w:t>Zuora, Inc. (ZUO)</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fuboTV Inc. (FUBO)</w:t>
            </w:r>
          </w:p>
        </w:tc>
        <w:tc>
          <w:tcPr>
            <w:tcW w:w="30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148" w:lineRule="exact"/>
        <w:rPr>
          <w:sz w:val="20"/>
          <w:szCs w:val="20"/>
          <w:color w:val="auto"/>
        </w:rPr>
      </w:pPr>
    </w:p>
    <w:p>
      <w:pPr>
        <w:jc w:val="both"/>
        <w:ind w:left="1300" w:right="1320"/>
        <w:spacing w:after="0" w:line="277" w:lineRule="auto"/>
        <w:rPr>
          <w:sz w:val="20"/>
          <w:szCs w:val="20"/>
          <w:color w:val="auto"/>
        </w:rPr>
      </w:pPr>
      <w:r>
        <w:rPr>
          <w:rFonts w:ascii="Arial" w:cs="Arial" w:eastAsia="Arial" w:hAnsi="Arial"/>
          <w:sz w:val="18"/>
          <w:szCs w:val="18"/>
          <w:color w:val="auto"/>
        </w:rPr>
        <w:t>In 2022, the Compensation Committee reviewed the compensation peer group approved in April 2021 and made no changes.</w:t>
      </w:r>
    </w:p>
    <w:p>
      <w:pPr>
        <w:spacing w:after="0" w:line="62" w:lineRule="exact"/>
        <w:rPr>
          <w:sz w:val="20"/>
          <w:szCs w:val="20"/>
          <w:color w:val="auto"/>
        </w:rPr>
      </w:pPr>
    </w:p>
    <w:p>
      <w:pPr>
        <w:jc w:val="both"/>
        <w:ind w:left="1300" w:right="1300"/>
        <w:spacing w:after="0" w:line="270" w:lineRule="auto"/>
        <w:rPr>
          <w:sz w:val="20"/>
          <w:szCs w:val="20"/>
          <w:color w:val="auto"/>
        </w:rPr>
      </w:pPr>
      <w:r>
        <w:rPr>
          <w:rFonts w:ascii="Arial" w:cs="Arial" w:eastAsia="Arial" w:hAnsi="Arial"/>
          <w:sz w:val="17"/>
          <w:szCs w:val="17"/>
          <w:color w:val="auto"/>
        </w:rPr>
        <w:t>The Compensation Committee intends to use data drawn from the companies in our compensation peer group, as well as data drawn from a custom cut of the Radford Global Technology Survey (which included participating peer companies and additional financially comparable industry competitors), to evaluate the competitive market when determining the total direct compensation packages for our Named Executive Officers, including base salary, target cash bonus opportunities, and long-term incentive compensation opportunities. While the Compensation Committee considers peer data to be a helpful reference to assess the competitiveness and appropriateness of our executive compensation program, the Committee applies its own business judgment and experience to determine individual compensation and does not set or target the compensation of our executives at specific levels or within specified percentile ranges relative to peer company pay levels.</w:t>
      </w:r>
    </w:p>
    <w:p>
      <w:pPr>
        <w:spacing w:after="0" w:line="73" w:lineRule="exact"/>
        <w:rPr>
          <w:sz w:val="20"/>
          <w:szCs w:val="20"/>
          <w:color w:val="auto"/>
        </w:rPr>
      </w:pPr>
    </w:p>
    <w:p>
      <w:pPr>
        <w:jc w:val="both"/>
        <w:ind w:left="1300" w:right="1300"/>
        <w:spacing w:after="0" w:line="263" w:lineRule="auto"/>
        <w:rPr>
          <w:sz w:val="20"/>
          <w:szCs w:val="20"/>
          <w:color w:val="auto"/>
        </w:rPr>
      </w:pPr>
      <w:r>
        <w:rPr>
          <w:rFonts w:ascii="Arial" w:cs="Arial" w:eastAsia="Arial" w:hAnsi="Arial"/>
          <w:sz w:val="18"/>
          <w:szCs w:val="18"/>
          <w:color w:val="auto"/>
        </w:rPr>
        <w:t>The Compensation Committee intends to review our compensation peer group at least annually and makes adjustments to its composition if warranted, taking into account the factors listed above, including changes in both our business and the businesses of the companies in the peer group.</w:t>
      </w: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jc w:val="both"/>
        <w:ind w:left="1300" w:right="1320"/>
        <w:spacing w:after="0" w:line="277" w:lineRule="auto"/>
        <w:rPr>
          <w:sz w:val="20"/>
          <w:szCs w:val="20"/>
          <w:color w:val="auto"/>
        </w:rPr>
      </w:pPr>
      <w:r>
        <w:rPr>
          <w:rFonts w:ascii="Arial" w:cs="Arial" w:eastAsia="Arial" w:hAnsi="Arial"/>
          <w:sz w:val="18"/>
          <w:szCs w:val="18"/>
          <w:color w:val="auto"/>
        </w:rPr>
        <w:t>Generally, our executive compensation program consists of three principal elements – base salary, cash bonus opportunities, and long-term incentive compensation in the form of equity awards.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b w:val="1"/>
                <w:bCs w:val="1"/>
                <w:color w:val="auto"/>
              </w:rPr>
              <w:t>Element</w:t>
            </w:r>
          </w:p>
        </w:tc>
        <w:tc>
          <w:tcPr>
            <w:tcW w:w="180" w:type="dxa"/>
            <w:vAlign w:val="bottom"/>
          </w:tcPr>
          <w:p>
            <w:pPr>
              <w:spacing w:after="0"/>
              <w:rPr>
                <w:sz w:val="16"/>
                <w:szCs w:val="16"/>
                <w:color w:val="auto"/>
              </w:rPr>
            </w:pP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w w:val="94"/>
              </w:rPr>
              <w:t>Type of Element</w:t>
            </w:r>
          </w:p>
        </w:tc>
        <w:tc>
          <w:tcPr>
            <w:tcW w:w="200" w:type="dxa"/>
            <w:vAlign w:val="bottom"/>
          </w:tcPr>
          <w:p>
            <w:pPr>
              <w:spacing w:after="0"/>
              <w:rPr>
                <w:sz w:val="16"/>
                <w:szCs w:val="16"/>
                <w:color w:val="auto"/>
              </w:rPr>
            </w:pPr>
          </w:p>
        </w:tc>
        <w:tc>
          <w:tcPr>
            <w:tcW w:w="2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Compensation Element</w:t>
            </w:r>
          </w:p>
        </w:tc>
        <w:tc>
          <w:tcPr>
            <w:tcW w:w="4160" w:type="dxa"/>
            <w:vAlign w:val="bottom"/>
            <w:gridSpan w:val="2"/>
          </w:tcPr>
          <w:p>
            <w:pPr>
              <w:ind w:left="1120"/>
              <w:spacing w:after="0"/>
              <w:rPr>
                <w:sz w:val="20"/>
                <w:szCs w:val="20"/>
                <w:color w:val="auto"/>
              </w:rPr>
            </w:pPr>
            <w:r>
              <w:rPr>
                <w:rFonts w:ascii="Arial" w:cs="Arial" w:eastAsia="Arial" w:hAnsi="Arial"/>
                <w:sz w:val="14"/>
                <w:szCs w:val="14"/>
                <w:b w:val="1"/>
                <w:bCs w:val="1"/>
                <w:color w:val="auto"/>
              </w:rPr>
              <w:t>Objective</w:t>
            </w:r>
          </w:p>
        </w:tc>
      </w:tr>
      <w:tr>
        <w:trPr>
          <w:trHeight w:val="53"/>
        </w:trPr>
        <w:tc>
          <w:tcPr>
            <w:tcW w:w="130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3"/>
        </w:trPr>
        <w:tc>
          <w:tcPr>
            <w:tcW w:w="1300" w:type="dxa"/>
            <w:vAlign w:val="bottom"/>
          </w:tcPr>
          <w:p>
            <w:pPr>
              <w:spacing w:after="0"/>
              <w:rPr>
                <w:sz w:val="22"/>
                <w:szCs w:val="22"/>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Base Salary</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Fixed</w:t>
            </w:r>
          </w:p>
        </w:tc>
        <w:tc>
          <w:tcPr>
            <w:tcW w:w="2560" w:type="dxa"/>
            <w:vAlign w:val="bottom"/>
            <w:gridSpan w:val="3"/>
          </w:tcPr>
          <w:p>
            <w:pPr>
              <w:ind w:left="200"/>
              <w:spacing w:after="0"/>
              <w:rPr>
                <w:sz w:val="20"/>
                <w:szCs w:val="20"/>
                <w:color w:val="auto"/>
              </w:rPr>
            </w:pPr>
            <w:r>
              <w:rPr>
                <w:rFonts w:ascii="Arial" w:cs="Arial" w:eastAsia="Arial" w:hAnsi="Arial"/>
                <w:sz w:val="18"/>
                <w:szCs w:val="18"/>
                <w:color w:val="auto"/>
              </w:rPr>
              <w:t>Cash</w:t>
            </w:r>
          </w:p>
        </w:tc>
        <w:tc>
          <w:tcPr>
            <w:tcW w:w="4160" w:type="dxa"/>
            <w:vAlign w:val="bottom"/>
            <w:gridSpan w:val="2"/>
          </w:tcPr>
          <w:p>
            <w:pPr>
              <w:spacing w:after="0"/>
              <w:rPr>
                <w:sz w:val="20"/>
                <w:szCs w:val="20"/>
                <w:color w:val="auto"/>
              </w:rPr>
            </w:pPr>
            <w:r>
              <w:rPr>
                <w:rFonts w:ascii="Arial" w:cs="Arial" w:eastAsia="Arial" w:hAnsi="Arial"/>
                <w:sz w:val="18"/>
                <w:szCs w:val="18"/>
                <w:color w:val="auto"/>
              </w:rPr>
              <w:t>Designed to attract and retain</w:t>
            </w:r>
          </w:p>
        </w:tc>
      </w:tr>
      <w:tr>
        <w:trPr>
          <w:trHeight w:val="216"/>
        </w:trPr>
        <w:tc>
          <w:tcPr>
            <w:tcW w:w="1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executives by providing a competitive</w:t>
            </w:r>
          </w:p>
        </w:tc>
      </w:tr>
      <w:tr>
        <w:trPr>
          <w:trHeight w:val="216"/>
        </w:trPr>
        <w:tc>
          <w:tcPr>
            <w:tcW w:w="1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fixed amount of cash compensation</w:t>
            </w:r>
          </w:p>
        </w:tc>
      </w:tr>
      <w:tr>
        <w:trPr>
          <w:trHeight w:val="216"/>
        </w:trPr>
        <w:tc>
          <w:tcPr>
            <w:tcW w:w="1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based on the executive’s role, prior</w:t>
            </w:r>
          </w:p>
        </w:tc>
      </w:tr>
      <w:tr>
        <w:trPr>
          <w:trHeight w:val="216"/>
        </w:trPr>
        <w:tc>
          <w:tcPr>
            <w:tcW w:w="1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experience, and expected contributions</w:t>
            </w:r>
          </w:p>
        </w:tc>
      </w:tr>
      <w:tr>
        <w:trPr>
          <w:trHeight w:val="230"/>
        </w:trPr>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to the Company</w:t>
            </w:r>
          </w:p>
        </w:tc>
      </w:tr>
      <w:tr>
        <w:trPr>
          <w:trHeight w:val="310"/>
        </w:trPr>
        <w:tc>
          <w:tcPr>
            <w:tcW w:w="1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Cash Bonuses</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Variable</w:t>
            </w:r>
          </w:p>
        </w:tc>
        <w:tc>
          <w:tcPr>
            <w:tcW w:w="2560" w:type="dxa"/>
            <w:vAlign w:val="bottom"/>
            <w:gridSpan w:val="3"/>
          </w:tcPr>
          <w:p>
            <w:pPr>
              <w:ind w:left="200"/>
              <w:spacing w:after="0"/>
              <w:rPr>
                <w:sz w:val="20"/>
                <w:szCs w:val="20"/>
                <w:color w:val="auto"/>
              </w:rPr>
            </w:pPr>
            <w:r>
              <w:rPr>
                <w:rFonts w:ascii="Arial" w:cs="Arial" w:eastAsia="Arial" w:hAnsi="Arial"/>
                <w:sz w:val="18"/>
                <w:szCs w:val="18"/>
                <w:color w:val="auto"/>
              </w:rPr>
              <w:t>Cash</w:t>
            </w:r>
          </w:p>
        </w:tc>
        <w:tc>
          <w:tcPr>
            <w:tcW w:w="4160" w:type="dxa"/>
            <w:vAlign w:val="bottom"/>
            <w:gridSpan w:val="2"/>
          </w:tcPr>
          <w:p>
            <w:pPr>
              <w:spacing w:after="0"/>
              <w:rPr>
                <w:sz w:val="20"/>
                <w:szCs w:val="20"/>
                <w:color w:val="auto"/>
              </w:rPr>
            </w:pPr>
            <w:r>
              <w:rPr>
                <w:rFonts w:ascii="Arial" w:cs="Arial" w:eastAsia="Arial" w:hAnsi="Arial"/>
                <w:sz w:val="18"/>
                <w:szCs w:val="18"/>
                <w:color w:val="auto"/>
              </w:rPr>
              <w:t>Designed to motivate our executives to</w:t>
            </w:r>
          </w:p>
        </w:tc>
      </w:tr>
      <w:tr>
        <w:trPr>
          <w:trHeight w:val="230"/>
        </w:trPr>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achieve business objectives tied to</w:t>
            </w:r>
          </w:p>
        </w:tc>
      </w:tr>
      <w:tr>
        <w:trPr>
          <w:trHeight w:val="486"/>
        </w:trPr>
        <w:tc>
          <w:tcPr>
            <w:tcW w:w="1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2"/>
          </w:tcPr>
          <w:p>
            <w:pPr>
              <w:jc w:val="right"/>
              <w:ind w:right="988"/>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p>
      <w:pPr>
        <w:ind w:left="300"/>
        <w:spacing w:after="0"/>
        <w:tabs>
          <w:tab w:leader="none" w:pos="2240" w:val="left"/>
          <w:tab w:leader="none" w:pos="384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Type of Element</w:t>
      </w:r>
      <w:r>
        <w:rPr>
          <w:sz w:val="20"/>
          <w:szCs w:val="20"/>
          <w:color w:val="auto"/>
        </w:rPr>
        <w:tab/>
      </w:r>
      <w:r>
        <w:rPr>
          <w:rFonts w:ascii="Arial" w:cs="Arial" w:eastAsia="Arial" w:hAnsi="Arial"/>
          <w:sz w:val="12"/>
          <w:szCs w:val="12"/>
          <w:b w:val="1"/>
          <w:bCs w:val="1"/>
          <w:color w:val="auto"/>
        </w:rPr>
        <w:t>Compensation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34118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spacing w:after="0"/>
        <w:tabs>
          <w:tab w:leader="none" w:pos="2200" w:val="left"/>
          <w:tab w:leader="none" w:pos="3480" w:val="left"/>
        </w:tabs>
        <w:rPr>
          <w:sz w:val="20"/>
          <w:szCs w:val="20"/>
          <w:color w:val="auto"/>
        </w:rPr>
      </w:pPr>
      <w:r>
        <w:rPr>
          <w:rFonts w:ascii="Arial" w:cs="Arial" w:eastAsia="Arial" w:hAnsi="Arial"/>
          <w:sz w:val="18"/>
          <w:szCs w:val="18"/>
          <w:color w:val="auto"/>
        </w:rPr>
        <w:t>Long Term Incentive</w:t>
      </w:r>
      <w:r>
        <w:rPr>
          <w:sz w:val="20"/>
          <w:szCs w:val="20"/>
          <w:color w:val="auto"/>
        </w:rPr>
        <w:tab/>
      </w:r>
      <w:r>
        <w:rPr>
          <w:rFonts w:ascii="Arial" w:cs="Arial" w:eastAsia="Arial" w:hAnsi="Arial"/>
          <w:sz w:val="18"/>
          <w:szCs w:val="18"/>
          <w:color w:val="auto"/>
        </w:rPr>
        <w:t>Variable</w:t>
      </w:r>
      <w:r>
        <w:rPr>
          <w:sz w:val="20"/>
          <w:szCs w:val="20"/>
          <w:color w:val="auto"/>
        </w:rPr>
        <w:tab/>
      </w:r>
      <w:r>
        <w:rPr>
          <w:rFonts w:ascii="Arial" w:cs="Arial" w:eastAsia="Arial" w:hAnsi="Arial"/>
          <w:sz w:val="16"/>
          <w:szCs w:val="16"/>
          <w:color w:val="auto"/>
        </w:rPr>
        <w:t>Equity awards in the form of</w:t>
      </w:r>
    </w:p>
    <w:p>
      <w:pPr>
        <w:spacing w:after="0" w:line="23" w:lineRule="exact"/>
        <w:rPr>
          <w:sz w:val="20"/>
          <w:szCs w:val="20"/>
          <w:color w:val="auto"/>
        </w:rPr>
      </w:pPr>
    </w:p>
    <w:p>
      <w:pPr>
        <w:ind w:left="480"/>
        <w:spacing w:after="0"/>
        <w:tabs>
          <w:tab w:leader="none" w:pos="3480" w:val="left"/>
        </w:tabs>
        <w:rPr>
          <w:sz w:val="20"/>
          <w:szCs w:val="20"/>
          <w:color w:val="auto"/>
        </w:rPr>
      </w:pPr>
      <w:r>
        <w:rPr>
          <w:rFonts w:ascii="Arial" w:cs="Arial" w:eastAsia="Arial" w:hAnsi="Arial"/>
          <w:sz w:val="18"/>
          <w:szCs w:val="18"/>
          <w:color w:val="auto"/>
        </w:rPr>
        <w:t>Compensation</w:t>
      </w:r>
      <w:r>
        <w:rPr>
          <w:sz w:val="20"/>
          <w:szCs w:val="20"/>
          <w:color w:val="auto"/>
        </w:rPr>
        <w:tab/>
      </w:r>
      <w:r>
        <w:rPr>
          <w:rFonts w:ascii="Arial" w:cs="Arial" w:eastAsia="Arial" w:hAnsi="Arial"/>
          <w:sz w:val="18"/>
          <w:szCs w:val="18"/>
          <w:color w:val="auto"/>
        </w:rPr>
        <w:t>RSU awards that may be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settled for shares of our</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Class A Common Stock and</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PRSU awards that may be</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5"/>
          <w:szCs w:val="15"/>
          <w:color w:val="auto"/>
        </w:rPr>
        <w:t>earned and settled for shares</w:t>
      </w:r>
    </w:p>
    <w:p>
      <w:pPr>
        <w:spacing w:after="0" w:line="4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of our Class A Common</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Stock</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18173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24" w:lineRule="exact"/>
        <w:rPr>
          <w:sz w:val="20"/>
          <w:szCs w:val="20"/>
          <w:color w:val="auto"/>
        </w:rPr>
      </w:pPr>
    </w:p>
    <w:p>
      <w:pPr>
        <w:ind w:right="439"/>
        <w:spacing w:after="0" w:line="301" w:lineRule="auto"/>
        <w:rPr>
          <w:sz w:val="20"/>
          <w:szCs w:val="20"/>
          <w:color w:val="auto"/>
        </w:rPr>
      </w:pPr>
      <w:r>
        <w:rPr>
          <w:rFonts w:ascii="Arial" w:cs="Arial" w:eastAsia="Arial" w:hAnsi="Arial"/>
          <w:sz w:val="16"/>
          <w:szCs w:val="16"/>
          <w:color w:val="auto"/>
        </w:rPr>
        <w:t>specific Company metrics and which are aligned to our annual priorities, with the payout opportunity based on Company and individual performance</w:t>
      </w:r>
    </w:p>
    <w:p>
      <w:pPr>
        <w:spacing w:after="0" w:line="49" w:lineRule="exact"/>
        <w:rPr>
          <w:sz w:val="20"/>
          <w:szCs w:val="20"/>
          <w:color w:val="auto"/>
        </w:rPr>
      </w:pPr>
    </w:p>
    <w:p>
      <w:pPr>
        <w:ind w:right="419"/>
        <w:spacing w:after="0" w:line="301" w:lineRule="auto"/>
        <w:rPr>
          <w:sz w:val="20"/>
          <w:szCs w:val="20"/>
          <w:color w:val="auto"/>
        </w:rPr>
      </w:pPr>
      <w:r>
        <w:rPr>
          <w:rFonts w:ascii="Arial" w:cs="Arial" w:eastAsia="Arial" w:hAnsi="Arial"/>
          <w:sz w:val="16"/>
          <w:szCs w:val="16"/>
          <w:color w:val="auto"/>
        </w:rPr>
        <w:t>Designed to align the interests of our executives and our stockholders while helping to attract and retain talented leaders by paying for performance</w:t>
      </w:r>
    </w:p>
    <w:p>
      <w:pPr>
        <w:spacing w:after="0" w:line="967" w:lineRule="exact"/>
        <w:rPr>
          <w:sz w:val="20"/>
          <w:szCs w:val="20"/>
          <w:color w:val="auto"/>
        </w:rPr>
      </w:pPr>
    </w:p>
    <w:p>
      <w:pPr>
        <w:sectPr>
          <w:pgSz w:w="11900" w:h="16838" w:orient="portrait"/>
          <w:cols w:equalWidth="0" w:num="2">
            <w:col w:w="5560" w:space="300"/>
            <w:col w:w="3159"/>
          </w:cols>
          <w:pgMar w:left="1440" w:top="265" w:right="1440" w:bottom="1440" w:gutter="0" w:footer="0" w:header="0"/>
        </w:sectPr>
      </w:pPr>
    </w:p>
    <w:p>
      <w:pPr>
        <w:jc w:val="both"/>
        <w:ind w:left="300" w:right="299"/>
        <w:spacing w:after="0" w:line="279" w:lineRule="auto"/>
        <w:rPr>
          <w:sz w:val="20"/>
          <w:szCs w:val="20"/>
          <w:color w:val="auto"/>
        </w:rPr>
      </w:pPr>
      <w:r>
        <w:rPr>
          <w:rFonts w:ascii="Arial" w:cs="Arial" w:eastAsia="Arial" w:hAnsi="Arial"/>
          <w:sz w:val="17"/>
          <w:szCs w:val="17"/>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annual base salaries of our Named Executive Officers for 2022 were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2022 Base</w:t>
            </w:r>
          </w:p>
        </w:tc>
        <w:tc>
          <w:tcPr>
            <w:tcW w:w="0" w:type="dxa"/>
            <w:vAlign w:val="bottom"/>
          </w:tcPr>
          <w:p>
            <w:pPr>
              <w:spacing w:after="0"/>
              <w:rPr>
                <w:sz w:val="1"/>
                <w:szCs w:val="1"/>
                <w:color w:val="auto"/>
              </w:rPr>
            </w:pPr>
          </w:p>
        </w:tc>
      </w:tr>
      <w:tr>
        <w:trPr>
          <w:trHeight w:val="148"/>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r>
              <w:rPr>
                <w:rFonts w:ascii="Arial" w:cs="Arial" w:eastAsia="Arial" w:hAnsi="Arial"/>
                <w:sz w:val="23"/>
                <w:szCs w:val="23"/>
                <w:b w:val="1"/>
                <w:bCs w:val="1"/>
                <w:color w:val="auto"/>
                <w:vertAlign w:val="superscript"/>
              </w:rPr>
              <w:t>(1)</w:t>
            </w:r>
          </w:p>
        </w:tc>
        <w:tc>
          <w:tcPr>
            <w:tcW w:w="380" w:type="dxa"/>
            <w:vAlign w:val="bottom"/>
            <w:vMerge w:val="restart"/>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239"/>
        </w:trPr>
        <w:tc>
          <w:tcPr>
            <w:tcW w:w="73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372"/>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r>
              <w:rPr>
                <w:rFonts w:ascii="Arial" w:cs="Arial" w:eastAsia="Arial" w:hAnsi="Arial"/>
                <w:sz w:val="29"/>
                <w:szCs w:val="29"/>
                <w:color w:val="auto"/>
                <w:vertAlign w:val="superscript"/>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$600,000</w:t>
            </w: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$500,000</w:t>
            </w:r>
          </w:p>
        </w:tc>
        <w:tc>
          <w:tcPr>
            <w:tcW w:w="0" w:type="dxa"/>
            <w:vAlign w:val="bottom"/>
          </w:tcPr>
          <w:p>
            <w:pPr>
              <w:spacing w:after="0"/>
              <w:rPr>
                <w:sz w:val="1"/>
                <w:szCs w:val="1"/>
                <w:color w:val="auto"/>
              </w:rPr>
            </w:pPr>
          </w:p>
        </w:tc>
      </w:tr>
      <w:tr>
        <w:trPr>
          <w:trHeight w:val="54"/>
        </w:trPr>
        <w:tc>
          <w:tcPr>
            <w:tcW w:w="7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Juanjo Feijoo</w:t>
            </w:r>
            <w:r>
              <w:rPr>
                <w:rFonts w:ascii="Arial" w:cs="Arial" w:eastAsia="Arial" w:hAnsi="Arial"/>
                <w:sz w:val="29"/>
                <w:szCs w:val="29"/>
                <w:color w:val="auto"/>
                <w:vertAlign w:val="superscript"/>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$440,000</w:t>
            </w:r>
          </w:p>
        </w:tc>
        <w:tc>
          <w:tcPr>
            <w:tcW w:w="0" w:type="dxa"/>
            <w:vAlign w:val="bottom"/>
          </w:tcPr>
          <w:p>
            <w:pPr>
              <w:spacing w:after="0"/>
              <w:rPr>
                <w:sz w:val="1"/>
                <w:szCs w:val="1"/>
                <w:color w:val="auto"/>
              </w:rPr>
            </w:pPr>
          </w:p>
        </w:tc>
      </w:tr>
      <w:tr>
        <w:trPr>
          <w:trHeight w:val="365"/>
        </w:trPr>
        <w:tc>
          <w:tcPr>
            <w:tcW w:w="7740" w:type="dxa"/>
            <w:vAlign w:val="bottom"/>
            <w:gridSpan w:val="2"/>
          </w:tcPr>
          <w:p>
            <w:pPr>
              <w:spacing w:after="0"/>
              <w:rPr>
                <w:sz w:val="20"/>
                <w:szCs w:val="20"/>
                <w:color w:val="auto"/>
              </w:rPr>
            </w:pPr>
            <w:r>
              <w:rPr>
                <w:rFonts w:ascii="Arial" w:cs="Arial" w:eastAsia="Arial" w:hAnsi="Arial"/>
                <w:sz w:val="18"/>
                <w:szCs w:val="18"/>
                <w:color w:val="auto"/>
              </w:rPr>
              <w:t>Justin Dean</w:t>
            </w:r>
            <w:r>
              <w:rPr>
                <w:rFonts w:ascii="Arial" w:cs="Arial" w:eastAsia="Arial" w:hAnsi="Arial"/>
                <w:sz w:val="29"/>
                <w:szCs w:val="29"/>
                <w:color w:val="auto"/>
                <w:vertAlign w:val="superscript"/>
              </w:rPr>
              <w:t>(2)</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$475,000</w:t>
            </w:r>
          </w:p>
        </w:tc>
        <w:tc>
          <w:tcPr>
            <w:tcW w:w="0" w:type="dxa"/>
            <w:vAlign w:val="bottom"/>
          </w:tcPr>
          <w:p>
            <w:pPr>
              <w:spacing w:after="0"/>
              <w:rPr>
                <w:sz w:val="1"/>
                <w:szCs w:val="1"/>
                <w:color w:val="auto"/>
              </w:rPr>
            </w:pPr>
          </w:p>
        </w:tc>
      </w:tr>
      <w:tr>
        <w:trPr>
          <w:trHeight w:val="304"/>
        </w:trPr>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$410,000</w:t>
            </w:r>
          </w:p>
        </w:tc>
        <w:tc>
          <w:tcPr>
            <w:tcW w:w="0" w:type="dxa"/>
            <w:vAlign w:val="bottom"/>
          </w:tcPr>
          <w:p>
            <w:pPr>
              <w:spacing w:after="0"/>
              <w:rPr>
                <w:sz w:val="1"/>
                <w:szCs w:val="1"/>
                <w:color w:val="auto"/>
              </w:rPr>
            </w:pPr>
          </w:p>
        </w:tc>
      </w:tr>
      <w:tr>
        <w:trPr>
          <w:trHeight w:val="433"/>
        </w:trPr>
        <w:tc>
          <w:tcPr>
            <w:tcW w:w="7740" w:type="dxa"/>
            <w:vAlign w:val="bottom"/>
            <w:gridSpan w:val="2"/>
          </w:tcPr>
          <w:p>
            <w:pPr>
              <w:spacing w:after="0"/>
              <w:rPr>
                <w:sz w:val="20"/>
                <w:szCs w:val="20"/>
                <w:color w:val="auto"/>
              </w:rPr>
            </w:pPr>
            <w:r>
              <w:rPr>
                <w:rFonts w:ascii="Arial" w:cs="Arial" w:eastAsia="Arial" w:hAnsi="Arial"/>
                <w:sz w:val="18"/>
                <w:szCs w:val="18"/>
                <w:color w:val="auto"/>
              </w:rPr>
              <w:t>Duncan Grazier</w:t>
            </w:r>
            <w:r>
              <w:rPr>
                <w:rFonts w:ascii="Arial" w:cs="Arial" w:eastAsia="Arial" w:hAnsi="Arial"/>
                <w:sz w:val="29"/>
                <w:szCs w:val="29"/>
                <w:color w:val="auto"/>
                <w:vertAlign w:val="superscript"/>
              </w:rPr>
              <w:t>(3)</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$394,221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-1397635</wp:posOffset>
            </wp:positionV>
            <wp:extent cx="240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59055</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22" w:lineRule="exact"/>
        <w:rPr>
          <w:sz w:val="20"/>
          <w:szCs w:val="20"/>
          <w:color w:val="auto"/>
        </w:rPr>
      </w:pPr>
    </w:p>
    <w:p>
      <w:pPr>
        <w:ind w:left="640" w:hanging="348"/>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Excludes Douglas Francis, our Executive Chair, who earned no base salary in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Messrs. Beals, Dean and Feijoo terminated effective November 7, 2022, December 5, 2022, and December 29, 2022, respectively.</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Grazier’s previous annual base salary was $350,000 and was increased to $402,500 on March 1, 2022. </w:t>
      </w:r>
    </w:p>
    <w:p>
      <w:pPr>
        <w:spacing w:after="0" w:line="10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Upon review, the Compensation Committee made no adjustments to, and confirmed the annual base salaries of our Named Executive Officers in December 2021 (other than Mr. Grazier, who was appointed in December 2022) as part of its annual review of our executive compensation program. Upon review, Mr. Grazier’s annual base salary was increased in March 2022 by his supervisor, the former Chief Technology Officer Mr. Dean, and approved by the former Chief Executive Officer.</w:t>
      </w:r>
    </w:p>
    <w:p>
      <w:pPr>
        <w:spacing w:after="0" w:line="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base salaries paid to our Named Executive Officers during 2022 are set forth in the “2022 Summary Compensation Table” below.</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Bonuses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Target Bonus Opportunities</w:t>
      </w:r>
    </w:p>
    <w:p>
      <w:pPr>
        <w:spacing w:after="0" w:line="11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In December 2021, each Named Executive Officer (other than Mr. Grazier) was assigned a target cash bonus opportunity by the Compensation Committee, expressed as a percentage of the Named Executive Officer’s annual base salary. Mr. Grazier was previously assigned a target cash bonus opportunity by his supervisor, the former Chief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Technology Officer Mr. Dean, and was approved by the former Chief Executive Officer in July 2021 after his promotion to Senior Vice President, Engineering in 2020, expressed as a percentage of his annual base salary. 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w:t>
      </w:r>
    </w:p>
    <w:p>
      <w:pPr>
        <w:spacing w:after="0" w:line="5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target cash bonus opportunities of our Named Executive Officers for 2022, as a percentage of annual base salary, were as follows: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2022 Target Cash</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2022 Target Cash</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Bonus Opportunity</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r>
              <w:rPr>
                <w:rFonts w:ascii="Arial" w:cs="Arial" w:eastAsia="Arial" w:hAnsi="Arial"/>
                <w:sz w:val="23"/>
                <w:szCs w:val="23"/>
                <w:b w:val="1"/>
                <w:bCs w:val="1"/>
                <w:color w:val="auto"/>
                <w:vertAlign w:val="superscript"/>
              </w:rPr>
              <w:t>(1)</w:t>
            </w:r>
          </w:p>
        </w:tc>
        <w:tc>
          <w:tcPr>
            <w:tcW w:w="180" w:type="dxa"/>
            <w:vAlign w:val="bottom"/>
            <w:vMerge w:val="restart"/>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(as a percentage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Bonus Opportunity</w:t>
            </w:r>
          </w:p>
        </w:tc>
        <w:tc>
          <w:tcPr>
            <w:tcW w:w="0" w:type="dxa"/>
            <w:vAlign w:val="bottom"/>
          </w:tcPr>
          <w:p>
            <w:pPr>
              <w:spacing w:after="0"/>
              <w:rPr>
                <w:sz w:val="1"/>
                <w:szCs w:val="1"/>
                <w:color w:val="auto"/>
              </w:rPr>
            </w:pPr>
          </w:p>
        </w:tc>
      </w:tr>
      <w:tr>
        <w:trPr>
          <w:trHeight w:val="239"/>
        </w:trPr>
        <w:tc>
          <w:tcPr>
            <w:tcW w:w="56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base salary)</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311"/>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$360,000</w:t>
            </w: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1200" w:type="dxa"/>
            <w:vAlign w:val="bottom"/>
          </w:tcPr>
          <w:p>
            <w:pPr>
              <w:jc w:val="right"/>
              <w:ind w:right="277"/>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$250,000</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$308,000</w:t>
            </w: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200" w:type="dxa"/>
            <w:vAlign w:val="bottom"/>
          </w:tcPr>
          <w:p>
            <w:pPr>
              <w:jc w:val="right"/>
              <w:ind w:right="277"/>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$118,750</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$102,500</w:t>
            </w: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Duncan Grazier</w:t>
            </w:r>
          </w:p>
        </w:tc>
        <w:tc>
          <w:tcPr>
            <w:tcW w:w="1200" w:type="dxa"/>
            <w:vAlign w:val="bottom"/>
          </w:tcPr>
          <w:p>
            <w:pPr>
              <w:jc w:val="right"/>
              <w:ind w:right="277"/>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$196,875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-1216660</wp:posOffset>
            </wp:positionV>
            <wp:extent cx="120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-1216660</wp:posOffset>
            </wp:positionV>
            <wp:extent cx="1200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hanging="348"/>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Excludes Douglas Francis, our Executive Chair, who was not an employee or eligible for a bonus in 2022.</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Evaluation of Performance</w:t>
      </w:r>
    </w:p>
    <w:p>
      <w:pPr>
        <w:spacing w:after="0" w:line="117"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Our former Chief Executive Officer had the discretion to determine whether to pay and, if so, the amount of each Named Executive Officer’s (other than Mr. Grazier’s and Mr. Francis’) cash bonus tied to the individual award component of the 2022 short-term incentive plan (“STIP”) for the Named Executive Officers approved by the Compensation Committee in April 2022, based upon his quantitative evaluation of the Company’s financial and operational performance and his qualitative evaluation of the impact of the Named Executive Officer’s contributions to that performance. The individual award comprised 15% of the cash bonuses available under the STIP. These cash bonuses were intended to reward our Named Executive Officers who had a positive impact on our corporate results. Mr. Grazier’s cash bonus in 2022 was determined based on our corporate performance and his supervisor’s</w:t>
      </w:r>
    </w:p>
    <w:p>
      <w:pPr>
        <w:spacing w:after="0" w:line="1" w:lineRule="exact"/>
        <w:rPr>
          <w:sz w:val="20"/>
          <w:szCs w:val="20"/>
          <w:color w:val="auto"/>
        </w:rPr>
      </w:pPr>
    </w:p>
    <w:p>
      <w:pPr>
        <w:jc w:val="both"/>
        <w:ind w:left="300" w:right="299"/>
        <w:spacing w:after="0" w:line="209" w:lineRule="auto"/>
        <w:rPr>
          <w:sz w:val="20"/>
          <w:szCs w:val="20"/>
          <w:color w:val="auto"/>
        </w:rPr>
      </w:pPr>
      <w:r>
        <w:rPr>
          <w:rFonts w:ascii="Arial" w:cs="Arial" w:eastAsia="Arial" w:hAnsi="Arial"/>
          <w:sz w:val="18"/>
          <w:szCs w:val="18"/>
          <w:color w:val="auto"/>
        </w:rPr>
        <w:t>assessment</w:t>
      </w:r>
      <w:r>
        <w:rPr>
          <w:rFonts w:ascii="Arial" w:cs="Arial" w:eastAsia="Arial" w:hAnsi="Arial"/>
          <w:sz w:val="29"/>
          <w:szCs w:val="29"/>
          <w:color w:val="auto"/>
          <w:vertAlign w:val="superscript"/>
        </w:rPr>
        <w:t>11</w:t>
      </w:r>
      <w:r>
        <w:rPr>
          <w:rFonts w:ascii="Arial" w:cs="Arial" w:eastAsia="Arial" w:hAnsi="Arial"/>
          <w:sz w:val="18"/>
          <w:szCs w:val="18"/>
          <w:color w:val="auto"/>
        </w:rPr>
        <w:t xml:space="preserve"> of his individual contributions to that performance during each of the first two fiscal quarters, and the second half of 2022.</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Cash Bonus Payments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 April 2022 the Compensation Committee approved the STIP for 2022, which in addition to the individual award component, was largely based on our actual financial performance for the year. The company performance award comprised 85% of the cash bonuses available under the STIP, and was based on (i) fiscal year 2022 Revenue achievement (71% of the company performance award) and (ii) fiscal year 2022 Adj. EBITDA achievement (29% of the company performance award). The Compensation Committee reviewed and provided input on our Executive Chair’s determinations as to each Named Executive Officer’s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822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9" w:lineRule="exact"/>
        <w:rPr>
          <w:sz w:val="20"/>
          <w:szCs w:val="20"/>
          <w:color w:val="auto"/>
        </w:rPr>
      </w:pPr>
    </w:p>
    <w:p>
      <w:pPr>
        <w:ind w:left="460" w:right="299" w:hanging="168"/>
        <w:spacing w:after="0" w:line="191" w:lineRule="auto"/>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Mr. Grazier’s supervisor for his individual performance assessment during the first two fiscal quarters of 2022 was our former Chief Technology Officer, Mr. Dean, and his performance rating for the second half of 2022 was approved by Mr. Francis.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Based on our Compensation Committee’s assessment of our corporate performance and each Named Executive Officer’s individual contributions to that performance during each fiscal quarter, our Named Executive Officers earned the following aggregate cash bonuses in 2022:</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2022 Target Cash Bonus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Actual 2022</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Actual 2022 Cash Bonus</w:t>
            </w: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r>
              <w:rPr>
                <w:rFonts w:ascii="Arial" w:cs="Arial" w:eastAsia="Arial" w:hAnsi="Arial"/>
                <w:sz w:val="23"/>
                <w:szCs w:val="23"/>
                <w:b w:val="1"/>
                <w:bCs w:val="1"/>
                <w:color w:val="auto"/>
                <w:vertAlign w:val="superscript"/>
              </w:rPr>
              <w:t>(1)</w:t>
            </w:r>
          </w:p>
        </w:tc>
        <w:tc>
          <w:tcPr>
            <w:tcW w:w="200" w:type="dxa"/>
            <w:vAlign w:val="bottom"/>
            <w:vMerge w:val="restart"/>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Opportunity</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Cash Bonus</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a percentage of target</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(2)</w:t>
            </w:r>
          </w:p>
        </w:tc>
        <w:tc>
          <w:tcPr>
            <w:tcW w:w="2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cash bonus opportunity)</w:t>
            </w:r>
          </w:p>
        </w:tc>
        <w:tc>
          <w:tcPr>
            <w:tcW w:w="0" w:type="dxa"/>
            <w:vAlign w:val="bottom"/>
          </w:tcPr>
          <w:p>
            <w:pPr>
              <w:spacing w:after="0"/>
              <w:rPr>
                <w:sz w:val="1"/>
                <w:szCs w:val="1"/>
                <w:color w:val="auto"/>
              </w:rPr>
            </w:pPr>
          </w:p>
        </w:tc>
      </w:tr>
      <w:tr>
        <w:trPr>
          <w:trHeight w:val="311"/>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$360,000</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$250,000</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6"/>
              </w:rPr>
              <w:t>$ 28,125</w:t>
            </w:r>
          </w:p>
        </w:tc>
        <w:tc>
          <w:tcPr>
            <w:tcW w:w="200" w:type="dxa"/>
            <w:vAlign w:val="bottom"/>
          </w:tcPr>
          <w:p>
            <w:pPr>
              <w:spacing w:after="0"/>
              <w:rPr>
                <w:sz w:val="23"/>
                <w:szCs w:val="23"/>
                <w:color w:val="auto"/>
              </w:rPr>
            </w:pPr>
          </w:p>
        </w:tc>
        <w:tc>
          <w:tcPr>
            <w:tcW w:w="1620" w:type="dxa"/>
            <w:vAlign w:val="bottom"/>
          </w:tcPr>
          <w:p>
            <w:pPr>
              <w:ind w:left="7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$308,000</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$118,750</w:t>
            </w:r>
          </w:p>
        </w:tc>
        <w:tc>
          <w:tcPr>
            <w:tcW w:w="2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$102,500</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$ 11,531</w:t>
            </w:r>
          </w:p>
        </w:tc>
        <w:tc>
          <w:tcPr>
            <w:tcW w:w="2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Arial" w:cs="Arial" w:eastAsia="Arial" w:hAnsi="Arial"/>
                <w:sz w:val="18"/>
                <w:szCs w:val="18"/>
                <w:color w:val="auto"/>
              </w:rPr>
              <w:t>Duncan Grazier</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$196,875</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$162,592</w:t>
            </w:r>
          </w:p>
        </w:tc>
        <w:tc>
          <w:tcPr>
            <w:tcW w:w="200" w:type="dxa"/>
            <w:vAlign w:val="bottom"/>
          </w:tcPr>
          <w:p>
            <w:pPr>
              <w:spacing w:after="0"/>
              <w:rPr>
                <w:sz w:val="23"/>
                <w:szCs w:val="23"/>
                <w:color w:val="auto"/>
              </w:rPr>
            </w:pPr>
          </w:p>
        </w:tc>
        <w:tc>
          <w:tcPr>
            <w:tcW w:w="1620" w:type="dxa"/>
            <w:vAlign w:val="bottom"/>
          </w:tcPr>
          <w:p>
            <w:pPr>
              <w:ind w:left="7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-1216660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-1216660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-1216660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hanging="348"/>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Excludes Douglas Francis, our Executive Chair, who was not an employee or eligible for a bonus in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Excludes Severance Payments for Messrs. Beals, Feijoo and Dean.</w:t>
      </w:r>
    </w:p>
    <w:p>
      <w:pPr>
        <w:spacing w:after="0" w:line="100"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Going forward, we anticipate the Compensation Committee will design and adopt a similar cash bonus plan for our Named Executive Officers as part of its annual review of our executive compensation program.</w:t>
      </w:r>
    </w:p>
    <w:p>
      <w:pPr>
        <w:spacing w:after="0" w:line="3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annual bonuses awarded to our Named Executive Officers for 2022 are set forth in the “Summary Compensation Table” below.</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Long-Term Equity Incentive Compensation</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58"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was not an employee and did not receive any employee awards in 2022, although he received RSU awards as a Director as described in the Director Compensation section below.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 as an effective source of motivation for our Named Executive Officers to drive our financial performance. In addition, PRSU awards provide a direct link between compensation and stockholder return, thereby motivating our Named Executive Officers to focus on and strive to achieve both our annual and long-term financial and strategic objectives.</w:t>
      </w:r>
    </w:p>
    <w:p>
      <w:pPr>
        <w:spacing w:after="0" w:line="28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Compensation Committee reviewed and determined the size of the equity awards of our then-current Named Executive Officers based on a formula that took into account each eligible Named Executive Officer’s position, qualifications, experience and a competitive market analysis prepared by its compensation consultant, and the other factors described in “</w:t>
      </w:r>
      <w:r>
        <w:rPr>
          <w:rFonts w:ascii="Arial" w:cs="Arial" w:eastAsia="Arial" w:hAnsi="Arial"/>
          <w:sz w:val="16"/>
          <w:szCs w:val="16"/>
          <w:i w:val="1"/>
          <w:iCs w:val="1"/>
          <w:color w:val="auto"/>
        </w:rPr>
        <w:t>Compensation-Setting Process—Setting Target Total Direct Compensation</w:t>
      </w:r>
      <w:r>
        <w:rPr>
          <w:rFonts w:ascii="Arial" w:cs="Arial" w:eastAsia="Arial" w:hAnsi="Arial"/>
          <w:sz w:val="16"/>
          <w:szCs w:val="16"/>
          <w:color w:val="auto"/>
        </w:rPr>
        <w:t>” above. Based upon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these factors, the Compensation Committee determined the size of each equity award at levels considered appropriate to create a meaningful opportunity for reward predicated on the creation of long-term stockholder value.</w:t>
      </w:r>
    </w:p>
    <w:p>
      <w:pPr>
        <w:spacing w:after="0" w:line="16"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 equity awards granted to our Named Executive Officers in 2022 under the WM Technology, Inc. 2021 Equity Incentive Plan (the “2021 Equity Plan”), were as follows: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RSU Awards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RSU Awards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PRSU Awards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PRSU Awards</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(grant date</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(target number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(grant date</w:t>
            </w:r>
          </w:p>
        </w:tc>
        <w:tc>
          <w:tcPr>
            <w:tcW w:w="0" w:type="dxa"/>
            <w:vAlign w:val="bottom"/>
          </w:tcPr>
          <w:p>
            <w:pPr>
              <w:spacing w:after="0"/>
              <w:rPr>
                <w:sz w:val="1"/>
                <w:szCs w:val="1"/>
                <w:color w:val="auto"/>
              </w:rPr>
            </w:pPr>
          </w:p>
        </w:tc>
      </w:tr>
      <w:tr>
        <w:trPr>
          <w:trHeight w:val="148"/>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(number of units)</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fair value)</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of units)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86"/>
        </w:trPr>
        <w:tc>
          <w:tcPr>
            <w:tcW w:w="4100" w:type="dxa"/>
            <w:vAlign w:val="bottom"/>
            <w:gridSpan w:val="2"/>
            <w:vMerge w:val="continue"/>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96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jc w:val="right"/>
              <w:ind w:right="2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9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Francis</w:t>
            </w:r>
          </w:p>
        </w:tc>
        <w:tc>
          <w:tcPr>
            <w:tcW w:w="11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41,493</w:t>
            </w: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193,357</w:t>
            </w: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Arial" w:cs="Arial" w:eastAsia="Arial" w:hAnsi="Arial"/>
                <w:sz w:val="18"/>
                <w:szCs w:val="18"/>
                <w:color w:val="auto"/>
              </w:rPr>
              <w:t>Duncan Grazier</w:t>
            </w:r>
          </w:p>
        </w:tc>
        <w:tc>
          <w:tcPr>
            <w:tcW w:w="1100" w:type="dxa"/>
            <w:vAlign w:val="bottom"/>
          </w:tcPr>
          <w:p>
            <w:pPr>
              <w:jc w:val="right"/>
              <w:ind w:right="199"/>
              <w:spacing w:after="0"/>
              <w:rPr>
                <w:sz w:val="20"/>
                <w:szCs w:val="20"/>
                <w:color w:val="auto"/>
              </w:rPr>
            </w:pPr>
            <w:r>
              <w:rPr>
                <w:rFonts w:ascii="Arial" w:cs="Arial" w:eastAsia="Arial" w:hAnsi="Arial"/>
                <w:sz w:val="18"/>
                <w:szCs w:val="18"/>
                <w:color w:val="auto"/>
              </w:rPr>
              <w:t>52,173</w:t>
            </w:r>
          </w:p>
        </w:tc>
        <w:tc>
          <w:tcPr>
            <w:tcW w:w="2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299,995</w:t>
            </w:r>
          </w:p>
        </w:tc>
        <w:tc>
          <w:tcPr>
            <w:tcW w:w="200" w:type="dxa"/>
            <w:vAlign w:val="bottom"/>
          </w:tcPr>
          <w:p>
            <w:pPr>
              <w:spacing w:after="0"/>
              <w:rPr>
                <w:sz w:val="23"/>
                <w:szCs w:val="2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r>
              <w:rPr>
                <w:rFonts w:ascii="Arial" w:cs="Arial" w:eastAsia="Arial" w:hAnsi="Arial"/>
                <w:sz w:val="29"/>
                <w:szCs w:val="29"/>
                <w:color w:val="auto"/>
                <w:vertAlign w:val="superscript"/>
              </w:rPr>
              <w:t>(1)</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292,969</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565,430</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-659130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-659130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-659130</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-659130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right="299" w:hanging="348"/>
        <w:spacing w:after="0" w:line="290" w:lineRule="auto"/>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amounts include the aggregate incremental fair value related to the acceleration of Mr. Beals’ equity awards pursuant to his separation agreement. The incremental fair value for the modified equity awards was computed in accordance with FASB ASC Topic 718.</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RSU Awards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RSU awards granted to our Named Executive Officers in 2021 (other than Mr. Francis and Mr. Grazier, who have not been granted PRSUs)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80"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6"/>
          <w:szCs w:val="16"/>
          <w:color w:val="auto"/>
        </w:rPr>
        <w:t>The RSU awards granted to Mr. Grazier vest in equal quarterly installments over four years commencing on the first vest date (except that Mr. Grazier’s first grant vests the first ¼</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are described in the Director Compensation section below.</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PRSU Awards</w:t>
      </w:r>
    </w:p>
    <w:p>
      <w:pPr>
        <w:spacing w:after="0" w:line="11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The PRSUs granted to our Named Executive Officers (other than Mr. Francis and Mr. Grazier) vest only if we achieve specified performance goals during the performance period beginning on January 1, 2022 and ending on December 31, 2023. The actual number of PRSUs that vest will be determined based upon the following calculation:</w:t>
      </w:r>
    </w:p>
    <w:p>
      <w:pPr>
        <w:spacing w:after="0" w:line="2" w:lineRule="exact"/>
        <w:rPr>
          <w:sz w:val="20"/>
          <w:szCs w:val="20"/>
          <w:color w:val="auto"/>
        </w:rPr>
      </w:pPr>
    </w:p>
    <w:p>
      <w:pPr>
        <w:jc w:val="both"/>
        <w:ind w:left="300" w:right="299" w:hanging="8"/>
        <w:spacing w:after="0" w:line="253" w:lineRule="auto"/>
        <w:tabs>
          <w:tab w:leader="none" w:pos="5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85"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number of PRSUs that vest will be determined by our Compensation Committee within 90 days following the end of the performance period, which is referred to as the determination date. Each eligible Named Executive Officer must remain employed by us through the determination date for the PRSU award to vest.</w:t>
      </w:r>
    </w:p>
    <w:p>
      <w:pPr>
        <w:spacing w:after="0" w:line="57"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Threshold achievement of the Revenue CAGR performance metric will result in a 50% Revenue CAGR Percentage, target achievement of the Revenue CAGR performance metric will result in a 100% Revenue CAGR Percentage, and maximum achievement of the Revenue CAGR performance metric will result in a 200% Revenue CAGR Percentage, with the Revenue CAGR Percentage interpolated linearly and rounded up the nearest percentage point between these level after threshold performance is attained.</w:t>
      </w:r>
    </w:p>
    <w:p>
      <w:pPr>
        <w:spacing w:after="0" w:line="6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Threshold achievement of the Adjusted EBITDA Margin performance metric will result in a 50% Adjusted EBITDA Margin Percentage, target achievement of the Adjusted EBITDA Margin performance metric will result in a 100% Adjusted EBITDA Margin Percentage, and maximum achievement of the Adjusted EBITDA Margin performance metric will result in a 200% Adjusted EBITDA Margin Percentage, with the Adjusted EBITDA Margin Percentage interpolated linearly and rounded up the nearest percentage point between these level after threshold performance is attained.</w:t>
      </w:r>
    </w:p>
    <w:p>
      <w:pPr>
        <w:spacing w:after="0" w:line="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equity awards granted to our Named Executive Officers during 2022 are set forth in the “Summary Compensation Table” and the “Grants of Plan-Based Awards”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68"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2022, our Named Executive Officers did not receive perquisites or other personal benefits that were, in the aggregate, $10,000 or more for each individual.</w:t>
      </w:r>
    </w:p>
    <w:p>
      <w:pPr>
        <w:spacing w:after="0" w:line="7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Offer Letters</w:t>
      </w:r>
    </w:p>
    <w:p>
      <w:pPr>
        <w:spacing w:after="0" w:line="12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Each of our Named Executive Officers (other than Mr. Francis, who was not an employee in 2022) have, or had, entered into written employment offer letters, which set forth each Named Executive Officer’s initial base salary, eligibility to receive an annual bonus, eligibility to received discretionary bonuses, certain employee benefits, a recommendation for an equity award and eligibility to participate in our employee benefit plans and programs on the same basis as those plans and programs are made available to other similarly situated employees. We believe that these arrangements were necessary to secure the service of these individuals in a highly competitive job market. As a condition to entering into these employment offer letters, each Named Executive Officer was required to execute our Confidential Information, Non-Solicitation and Inventions Assignment Agreement.</w:t>
      </w:r>
    </w:p>
    <w:p>
      <w:pPr>
        <w:spacing w:after="0" w:line="5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For additional information about the employment offer letters with our Named Executive Officers, see “Employment Arrangements” below.</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Post-Employment Compensation Arrangements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believe that having in place reasonable and competitive post-employment compensation arrangements, including in the event of a change-in-control of the Company, are essential to attracting and retaining highly qualified executive officers. The Compensation Committee does not consider the specific amounts payable under the post-employment compensation arrangements when determining our Named Executive Officers’ compensation. We do believe, however, that these arrangements are necessary to offer competitive compensation packages.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In December 2021, we adopted a Severance and Change in Control Plan (the “Severance Plan”). Each of our Named Executive Officers (other than Mr. Grazier and Mr. Francis) is eligible to participate in the Severance Plan, which provides certain benefits. We believe these the Severance Plan provides reasonable compensation in the form of a cash severance payment (which is based on a participant’s base salary and target annual bonus (if any), certain limited health care benefits, and, in connection with a termination of employment in connection with a change-in-control of the Company, acceleration of vesting and/or exercisability any outstanding and unvested equity awards, to a Named Executive Officer upon leaving our employ under certain circumstances to facilitate a transition to new employment. Further, we seek to mitigate any potential employer liability and avoid future disputes or litigation by requiring a departing Named Executive Officer to sign a general waiver and release of all claims as a condition to receiving post-employment compensation payments or benefits. We believe that the Severance Plan helps maintain our Named Executive Officers’ continued focus on their assigned duties to maximize stockholder value if there is a potential change-in-control transaction and mitigate the risk of subsequent disputes or litigation.</w:t>
      </w:r>
    </w:p>
    <w:p>
      <w:pPr>
        <w:spacing w:after="0" w:line="6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For a description of the Severance Plan and the specific post-employment compensation arrangements of our Named Executive Officers, as well as an estimate of the potential payments and benefits payable under these arrangements, see “Potential Payments upon Termination or Change in Control” below. For a description of payments made in 2022 under the Severance Plan and descriptions of the separation agreements entered into in 2022, see “Executive Employment Arrangements” below.</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Award Grant Policy</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Compensation Committee has delegated to the Equity Grant Committee (which consists of our Chief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84"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Compensation Committee intends to take the applicable tax and accounting requirements into consideration in designing and overseeing our executive compensation program.</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For federal income tax purposes, publicly-traded companies may be prohibited under Section 162(m) of the Code from deducting employee remuneration in excess of $1 million paid to their principal executive officer, principal financial officer, any other executive officer whose total compensation is required to be reported to stockholders under the Exchange Act by reason of such individual being among the three highest compensated executive officers for the tax year, and any executive officer who was subject to the deduction limit in any tax year beginning after December 31, 2016.</w:t>
      </w:r>
    </w:p>
    <w:p>
      <w:pPr>
        <w:spacing w:after="0" w:line="84"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Even if Section 162(m) may limit the compensation deduction, the Board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Named Executive Officers in a manner that is in the best interests of our stockholders and reserves the right to make compensation decisions that may not be deductible under Section 162(m) where the Compensation Committee determines the compensation to be appropriate and in the best interests of the Company and our stockholders.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Compensation Committee takes accounting considerations into account in designing compensation plans and arrangements for our executive officers and other employees. Chief among these is ASC Topic 718, the standard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Report</w:t>
      </w:r>
      <w:r>
        <w:rPr>
          <w:rFonts w:ascii="Arial" w:cs="Arial" w:eastAsia="Arial" w:hAnsi="Arial"/>
          <w:sz w:val="29"/>
          <w:szCs w:val="29"/>
          <w:b w:val="1"/>
          <w:bCs w:val="1"/>
          <w:color w:val="auto"/>
          <w:vertAlign w:val="superscript"/>
        </w:rPr>
        <w:t>(1)</w:t>
      </w:r>
    </w:p>
    <w:p>
      <w:pPr>
        <w:spacing w:after="0" w:line="47" w:lineRule="exact"/>
        <w:rPr>
          <w:sz w:val="20"/>
          <w:szCs w:val="20"/>
          <w:color w:val="auto"/>
        </w:rPr>
      </w:pPr>
    </w:p>
    <w:p>
      <w:pPr>
        <w:jc w:val="both"/>
        <w:ind w:left="300" w:right="299"/>
        <w:spacing w:after="0" w:line="294"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(“CD&amp;A”) contained in this proxy statement. Based on this review and discussion, the Compensation Committee has recommended to the Board that the CD&amp;A be included in this proxy statement and incorporated into the Company’s Annual Report on Form 10-K for the fiscal year ended December 31, 2022.</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Tony Aquila (Chairperson)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Anthony Bay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40005</wp:posOffset>
            </wp:positionV>
            <wp:extent cx="8229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2" w:lineRule="exact"/>
        <w:rPr>
          <w:sz w:val="20"/>
          <w:szCs w:val="20"/>
          <w:color w:val="auto"/>
        </w:rPr>
      </w:pPr>
    </w:p>
    <w:p>
      <w:pPr>
        <w:jc w:val="both"/>
        <w:ind w:left="460" w:right="299" w:hanging="168"/>
        <w:spacing w:after="0" w:line="208" w:lineRule="auto"/>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Summary Compensation Table</w:t>
      </w:r>
    </w:p>
    <w:p>
      <w:pPr>
        <w:spacing w:after="0" w:line="121" w:lineRule="exact"/>
        <w:rPr>
          <w:sz w:val="20"/>
          <w:szCs w:val="20"/>
          <w:color w:val="auto"/>
        </w:rPr>
      </w:pPr>
    </w:p>
    <w:p>
      <w:pPr>
        <w:jc w:val="both"/>
        <w:ind w:left="540" w:right="540"/>
        <w:spacing w:after="0" w:line="301" w:lineRule="auto"/>
        <w:rPr>
          <w:sz w:val="20"/>
          <w:szCs w:val="20"/>
          <w:color w:val="auto"/>
        </w:rPr>
      </w:pPr>
      <w:r>
        <w:rPr>
          <w:rFonts w:ascii="Arial" w:cs="Arial" w:eastAsia="Arial" w:hAnsi="Arial"/>
          <w:sz w:val="16"/>
          <w:szCs w:val="16"/>
          <w:color w:val="auto"/>
        </w:rPr>
        <w:t>The following table shows compensation awarded or paid to, or earned by, our Named Executive Officers with respect to the years ended 2022, 2021 and 2020.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Change in</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pension value</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Non-equity</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8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3"/>
              </w:rPr>
              <w:t>nonqualified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incentive</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deferred</w:t>
            </w:r>
          </w:p>
        </w:tc>
        <w:tc>
          <w:tcPr>
            <w:tcW w:w="9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Bonus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plan</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r>
              <w:rPr>
                <w:rFonts w:ascii="Arial" w:cs="Arial" w:eastAsia="Arial" w:hAnsi="Arial"/>
                <w:sz w:val="23"/>
                <w:szCs w:val="23"/>
                <w:b w:val="1"/>
                <w:bCs w:val="1"/>
                <w:color w:val="auto"/>
                <w:vertAlign w:val="superscript"/>
              </w:rPr>
              <w:t>(1)(2)</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Year</w:t>
            </w: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1"/>
              </w:rPr>
              <w:t>awards</w:t>
            </w:r>
          </w:p>
        </w:tc>
        <w:tc>
          <w:tcPr>
            <w:tcW w:w="14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earnings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36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30"/>
              <w:spacing w:after="0" w:line="230" w:lineRule="exact"/>
              <w:rPr>
                <w:sz w:val="20"/>
                <w:szCs w:val="20"/>
                <w:color w:val="auto"/>
              </w:rPr>
            </w:pPr>
            <w:r>
              <w:rPr>
                <w:rFonts w:ascii="Arial" w:cs="Arial" w:eastAsia="Arial" w:hAnsi="Arial"/>
                <w:sz w:val="26"/>
                <w:szCs w:val="26"/>
                <w:b w:val="1"/>
                <w:bCs w:val="1"/>
                <w:color w:val="auto"/>
                <w:w w:val="86"/>
                <w:vertAlign w:val="subscript"/>
              </w:rPr>
              <w:t>($)</w:t>
            </w:r>
            <w:r>
              <w:rPr>
                <w:rFonts w:ascii="Arial" w:cs="Arial" w:eastAsia="Arial" w:hAnsi="Arial"/>
                <w:sz w:val="11"/>
                <w:szCs w:val="11"/>
                <w:b w:val="1"/>
                <w:bCs w:val="1"/>
                <w:color w:val="auto"/>
                <w:w w:val="86"/>
              </w:rPr>
              <w:t>(4)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0"/>
              <w:spacing w:after="0" w:line="230" w:lineRule="exact"/>
              <w:rPr>
                <w:sz w:val="20"/>
                <w:szCs w:val="20"/>
                <w:color w:val="auto"/>
              </w:rPr>
            </w:pPr>
            <w:r>
              <w:rPr>
                <w:rFonts w:ascii="Arial" w:cs="Arial" w:eastAsia="Arial" w:hAnsi="Arial"/>
                <w:sz w:val="26"/>
                <w:szCs w:val="26"/>
                <w:b w:val="1"/>
                <w:bCs w:val="1"/>
                <w:color w:val="auto"/>
                <w:w w:val="92"/>
                <w:vertAlign w:val="subscript"/>
              </w:rPr>
              <w:t>($)</w:t>
            </w:r>
            <w:r>
              <w:rPr>
                <w:rFonts w:ascii="Arial" w:cs="Arial" w:eastAsia="Arial" w:hAnsi="Arial"/>
                <w:sz w:val="11"/>
                <w:szCs w:val="11"/>
                <w:b w:val="1"/>
                <w:bCs w:val="1"/>
                <w:color w:val="auto"/>
                <w:w w:val="92"/>
              </w:rPr>
              <w:t>(5)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210"/>
              <w:spacing w:after="0" w:line="230" w:lineRule="exact"/>
              <w:rPr>
                <w:sz w:val="20"/>
                <w:szCs w:val="20"/>
                <w:color w:val="auto"/>
              </w:rPr>
            </w:pPr>
            <w:r>
              <w:rPr>
                <w:rFonts w:ascii="Arial" w:cs="Arial" w:eastAsia="Arial" w:hAnsi="Arial"/>
                <w:sz w:val="26"/>
                <w:szCs w:val="26"/>
                <w:b w:val="1"/>
                <w:bCs w:val="1"/>
                <w:color w:val="auto"/>
                <w:w w:val="86"/>
                <w:vertAlign w:val="subscript"/>
              </w:rPr>
              <w:t>($)</w:t>
            </w:r>
            <w:r>
              <w:rPr>
                <w:rFonts w:ascii="Arial" w:cs="Arial" w:eastAsia="Arial" w:hAnsi="Arial"/>
                <w:sz w:val="11"/>
                <w:szCs w:val="11"/>
                <w:b w:val="1"/>
                <w:bCs w:val="1"/>
                <w:color w:val="auto"/>
                <w:w w:val="86"/>
              </w:rPr>
              <w:t>(6)</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09"/>
              <w:spacing w:after="0" w:line="230" w:lineRule="exact"/>
              <w:rPr>
                <w:sz w:val="20"/>
                <w:szCs w:val="20"/>
                <w:color w:val="auto"/>
              </w:rPr>
            </w:pPr>
            <w:r>
              <w:rPr>
                <w:rFonts w:ascii="Arial" w:cs="Arial" w:eastAsia="Arial" w:hAnsi="Arial"/>
                <w:sz w:val="26"/>
                <w:szCs w:val="26"/>
                <w:b w:val="1"/>
                <w:bCs w:val="1"/>
                <w:color w:val="auto"/>
                <w:w w:val="98"/>
                <w:vertAlign w:val="subscript"/>
              </w:rPr>
              <w:t>($)</w:t>
            </w:r>
            <w:r>
              <w:rPr>
                <w:rFonts w:ascii="Arial" w:cs="Arial" w:eastAsia="Arial" w:hAnsi="Arial"/>
                <w:sz w:val="11"/>
                <w:szCs w:val="11"/>
                <w:b w:val="1"/>
                <w:bCs w:val="1"/>
                <w:color w:val="auto"/>
                <w:w w:val="98"/>
              </w:rPr>
              <w:t>(7)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7"/>
        </w:trPr>
        <w:tc>
          <w:tcPr>
            <w:tcW w:w="24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Douglas Francis,</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89"/>
              </w:rPr>
              <w:t>2022</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0</w:t>
            </w:r>
          </w:p>
        </w:tc>
        <w:tc>
          <w:tcPr>
            <w:tcW w:w="600" w:type="dxa"/>
            <w:vAlign w:val="bottom"/>
            <w:gridSpan w:val="2"/>
            <w:shd w:val="clear" w:color="auto" w:fill="CCEEFF"/>
          </w:tcPr>
          <w:p>
            <w:pPr>
              <w:jc w:val="right"/>
              <w:ind w:right="335"/>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193,357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69,701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263,058</w:t>
            </w:r>
          </w:p>
        </w:tc>
        <w:tc>
          <w:tcPr>
            <w:tcW w:w="0" w:type="dxa"/>
            <w:vAlign w:val="bottom"/>
          </w:tcPr>
          <w:p>
            <w:pPr>
              <w:spacing w:after="0"/>
              <w:rPr>
                <w:sz w:val="1"/>
                <w:szCs w:val="1"/>
                <w:color w:val="auto"/>
              </w:rPr>
            </w:pPr>
          </w:p>
        </w:tc>
      </w:tr>
      <w:tr>
        <w:trPr>
          <w:trHeight w:val="194"/>
        </w:trPr>
        <w:tc>
          <w:tcPr>
            <w:tcW w:w="242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Executive Chair</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420" w:type="dxa"/>
            <w:vAlign w:val="bottom"/>
            <w:gridSpan w:val="4"/>
          </w:tcPr>
          <w:p>
            <w:pPr>
              <w:spacing w:after="0" w:line="157" w:lineRule="exact"/>
              <w:rPr>
                <w:sz w:val="20"/>
                <w:szCs w:val="20"/>
                <w:color w:val="auto"/>
              </w:rPr>
            </w:pPr>
            <w:r>
              <w:rPr>
                <w:rFonts w:ascii="Arial" w:cs="Arial" w:eastAsia="Arial" w:hAnsi="Arial"/>
                <w:sz w:val="14"/>
                <w:szCs w:val="14"/>
                <w:color w:val="auto"/>
              </w:rPr>
              <w:t>Christopher Beals,</w:t>
            </w:r>
          </w:p>
        </w:tc>
        <w:tc>
          <w:tcPr>
            <w:tcW w:w="360" w:type="dxa"/>
            <w:vAlign w:val="bottom"/>
            <w:gridSpan w:val="2"/>
          </w:tcPr>
          <w:p>
            <w:pPr>
              <w:ind w:left="60"/>
              <w:spacing w:after="0" w:line="157" w:lineRule="exact"/>
              <w:rPr>
                <w:sz w:val="20"/>
                <w:szCs w:val="20"/>
                <w:color w:val="auto"/>
              </w:rPr>
            </w:pPr>
            <w:r>
              <w:rPr>
                <w:rFonts w:ascii="Arial" w:cs="Arial" w:eastAsia="Arial" w:hAnsi="Arial"/>
                <w:sz w:val="14"/>
                <w:szCs w:val="14"/>
                <w:color w:val="auto"/>
                <w:w w:val="89"/>
              </w:rPr>
              <w:t>2022</w:t>
            </w:r>
          </w:p>
        </w:tc>
        <w:tc>
          <w:tcPr>
            <w:tcW w:w="68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$510,000</w:t>
            </w:r>
          </w:p>
        </w:tc>
        <w:tc>
          <w:tcPr>
            <w:tcW w:w="600" w:type="dxa"/>
            <w:vAlign w:val="bottom"/>
            <w:gridSpan w:val="2"/>
          </w:tcPr>
          <w:p>
            <w:pPr>
              <w:jc w:val="right"/>
              <w:ind w:right="335"/>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0</w:t>
            </w:r>
          </w:p>
        </w:tc>
        <w:tc>
          <w:tcPr>
            <w:tcW w:w="2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565,430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9"/>
              <w:spacing w:after="0" w:line="157" w:lineRule="exact"/>
              <w:rPr>
                <w:sz w:val="20"/>
                <w:szCs w:val="20"/>
                <w:color w:val="auto"/>
              </w:rPr>
            </w:pPr>
            <w:r>
              <w:rPr>
                <w:rFonts w:ascii="Arial" w:cs="Arial" w:eastAsia="Arial" w:hAnsi="Arial"/>
                <w:sz w:val="14"/>
                <w:szCs w:val="14"/>
                <w:color w:val="auto"/>
              </w:rPr>
              <w:t>$1,061,245</w:t>
            </w:r>
          </w:p>
        </w:tc>
        <w:tc>
          <w:tcPr>
            <w:tcW w:w="12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w w:val="93"/>
              </w:rPr>
              <w:t>2,136,675</w:t>
            </w:r>
          </w:p>
        </w:tc>
        <w:tc>
          <w:tcPr>
            <w:tcW w:w="0" w:type="dxa"/>
            <w:vAlign w:val="bottom"/>
          </w:tcPr>
          <w:p>
            <w:pPr>
              <w:spacing w:after="0"/>
              <w:rPr>
                <w:sz w:val="1"/>
                <w:szCs w:val="1"/>
                <w:color w:val="auto"/>
              </w:rPr>
            </w:pPr>
          </w:p>
        </w:tc>
      </w:tr>
      <w:tr>
        <w:trPr>
          <w:trHeight w:val="182"/>
        </w:trPr>
        <w:tc>
          <w:tcPr>
            <w:tcW w:w="2420" w:type="dxa"/>
            <w:vAlign w:val="bottom"/>
            <w:gridSpan w:val="4"/>
          </w:tcPr>
          <w:p>
            <w:pPr>
              <w:ind w:left="140"/>
              <w:spacing w:after="0"/>
              <w:rPr>
                <w:sz w:val="20"/>
                <w:szCs w:val="20"/>
                <w:color w:val="auto"/>
              </w:rPr>
            </w:pPr>
            <w:r>
              <w:rPr>
                <w:rFonts w:ascii="Arial" w:cs="Arial" w:eastAsia="Arial" w:hAnsi="Arial"/>
                <w:sz w:val="14"/>
                <w:szCs w:val="14"/>
                <w:color w:val="auto"/>
              </w:rPr>
              <w:t>former Chief Executive Officer</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w w:val="89"/>
              </w:rPr>
              <w:t>2021</w:t>
            </w: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$600,000</w:t>
            </w:r>
          </w:p>
        </w:tc>
        <w:tc>
          <w:tcPr>
            <w:tcW w:w="600" w:type="dxa"/>
            <w:vAlign w:val="bottom"/>
            <w:gridSpan w:val="2"/>
            <w:vMerge w:val="restart"/>
          </w:tcPr>
          <w:p>
            <w:pPr>
              <w:jc w:val="right"/>
              <w:ind w:right="335"/>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0</w:t>
            </w: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130"/>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14,467</w:t>
            </w:r>
          </w:p>
        </w:tc>
        <w:tc>
          <w:tcPr>
            <w:tcW w:w="12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w w:val="89"/>
              </w:rPr>
              <w:t>$10,614,467</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w w:val="89"/>
              </w:rPr>
              <w:t>2020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$600,000</w:t>
            </w:r>
          </w:p>
        </w:tc>
        <w:tc>
          <w:tcPr>
            <w:tcW w:w="600" w:type="dxa"/>
            <w:vAlign w:val="bottom"/>
            <w:gridSpan w:val="2"/>
          </w:tcPr>
          <w:p>
            <w:pPr>
              <w:jc w:val="right"/>
              <w:ind w:right="335"/>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63"/>
        </w:trPr>
        <w:tc>
          <w:tcPr>
            <w:tcW w:w="24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Arden Lee,</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2022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600" w:type="dxa"/>
            <w:vAlign w:val="bottom"/>
            <w:gridSpan w:val="2"/>
            <w:shd w:val="clear" w:color="auto" w:fill="CCEEFF"/>
          </w:tcPr>
          <w:p>
            <w:pPr>
              <w:jc w:val="right"/>
              <w:ind w:right="335"/>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$28,125</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539,233</w:t>
            </w:r>
          </w:p>
        </w:tc>
        <w:tc>
          <w:tcPr>
            <w:tcW w:w="0" w:type="dxa"/>
            <w:vAlign w:val="bottom"/>
          </w:tcPr>
          <w:p>
            <w:pPr>
              <w:spacing w:after="0"/>
              <w:rPr>
                <w:sz w:val="1"/>
                <w:szCs w:val="1"/>
                <w:color w:val="auto"/>
              </w:rPr>
            </w:pPr>
          </w:p>
        </w:tc>
      </w:tr>
      <w:tr>
        <w:trPr>
          <w:trHeight w:val="182"/>
        </w:trPr>
        <w:tc>
          <w:tcPr>
            <w:tcW w:w="242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Chief Financial Officer</w:t>
            </w:r>
          </w:p>
        </w:tc>
        <w:tc>
          <w:tcPr>
            <w:tcW w:w="6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9"/>
              </w:rPr>
              <w:t>2021</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$667,081</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$ 8,000,000</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13,716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9,180,797</w:t>
            </w:r>
          </w:p>
        </w:tc>
        <w:tc>
          <w:tcPr>
            <w:tcW w:w="0" w:type="dxa"/>
            <w:vAlign w:val="bottom"/>
          </w:tcPr>
          <w:p>
            <w:pPr>
              <w:spacing w:after="0"/>
              <w:rPr>
                <w:sz w:val="1"/>
                <w:szCs w:val="1"/>
                <w:color w:val="auto"/>
              </w:rPr>
            </w:pPr>
          </w:p>
        </w:tc>
      </w:tr>
      <w:tr>
        <w:trPr>
          <w:trHeight w:val="66"/>
        </w:trPr>
        <w:tc>
          <w:tcPr>
            <w:tcW w:w="5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680" w:type="dxa"/>
            <w:vAlign w:val="bottom"/>
            <w:gridSpan w:val="3"/>
            <w:vMerge w:val="continue"/>
            <w:shd w:val="clear" w:color="auto" w:fill="CCEEFF"/>
          </w:tcPr>
          <w:p>
            <w:pPr>
              <w:spacing w:after="0"/>
              <w:rPr>
                <w:sz w:val="5"/>
                <w:szCs w:val="5"/>
                <w:color w:val="auto"/>
              </w:rPr>
            </w:pPr>
          </w:p>
        </w:tc>
        <w:tc>
          <w:tcPr>
            <w:tcW w:w="680" w:type="dxa"/>
            <w:vAlign w:val="bottom"/>
            <w:gridSpan w:val="3"/>
            <w:vMerge w:val="continue"/>
            <w:shd w:val="clear" w:color="auto" w:fill="CCEEFF"/>
          </w:tcPr>
          <w:p>
            <w:pPr>
              <w:spacing w:after="0"/>
              <w:rPr>
                <w:sz w:val="5"/>
                <w:szCs w:val="5"/>
                <w:color w:val="auto"/>
              </w:rPr>
            </w:pPr>
          </w:p>
        </w:tc>
        <w:tc>
          <w:tcPr>
            <w:tcW w:w="860" w:type="dxa"/>
            <w:vAlign w:val="bottom"/>
            <w:gridSpan w:val="3"/>
            <w:vMerge w:val="continue"/>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420" w:type="dxa"/>
            <w:vAlign w:val="bottom"/>
            <w:gridSpan w:val="4"/>
          </w:tcPr>
          <w:p>
            <w:pPr>
              <w:spacing w:after="0" w:line="157" w:lineRule="exact"/>
              <w:rPr>
                <w:sz w:val="20"/>
                <w:szCs w:val="20"/>
                <w:color w:val="auto"/>
              </w:rPr>
            </w:pPr>
            <w:r>
              <w:rPr>
                <w:rFonts w:ascii="Arial" w:cs="Arial" w:eastAsia="Arial" w:hAnsi="Arial"/>
                <w:sz w:val="14"/>
                <w:szCs w:val="14"/>
                <w:color w:val="auto"/>
              </w:rPr>
              <w:t>Juanjo Feijoo,</w:t>
            </w:r>
          </w:p>
        </w:tc>
        <w:tc>
          <w:tcPr>
            <w:tcW w:w="360" w:type="dxa"/>
            <w:vAlign w:val="bottom"/>
            <w:gridSpan w:val="2"/>
          </w:tcPr>
          <w:p>
            <w:pPr>
              <w:ind w:left="60"/>
              <w:spacing w:after="0" w:line="157" w:lineRule="exact"/>
              <w:rPr>
                <w:sz w:val="20"/>
                <w:szCs w:val="20"/>
                <w:color w:val="auto"/>
              </w:rPr>
            </w:pPr>
            <w:r>
              <w:rPr>
                <w:rFonts w:ascii="Arial" w:cs="Arial" w:eastAsia="Arial" w:hAnsi="Arial"/>
                <w:sz w:val="14"/>
                <w:szCs w:val="14"/>
                <w:color w:val="auto"/>
                <w:w w:val="89"/>
              </w:rPr>
              <w:t>2022</w:t>
            </w:r>
          </w:p>
        </w:tc>
        <w:tc>
          <w:tcPr>
            <w:tcW w:w="68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$440,000</w:t>
            </w:r>
          </w:p>
        </w:tc>
        <w:tc>
          <w:tcPr>
            <w:tcW w:w="600" w:type="dxa"/>
            <w:vAlign w:val="bottom"/>
            <w:gridSpan w:val="2"/>
          </w:tcPr>
          <w:p>
            <w:pPr>
              <w:jc w:val="right"/>
              <w:ind w:right="335"/>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line="157" w:lineRule="exact"/>
              <w:rPr>
                <w:sz w:val="20"/>
                <w:szCs w:val="20"/>
                <w:color w:val="auto"/>
              </w:rPr>
            </w:pPr>
            <w:r>
              <w:rPr>
                <w:rFonts w:ascii="Arial" w:cs="Arial" w:eastAsia="Arial" w:hAnsi="Arial"/>
                <w:sz w:val="14"/>
                <w:szCs w:val="14"/>
                <w:color w:val="auto"/>
                <w:w w:val="98"/>
              </w:rPr>
              <w:t>620,423</w:t>
            </w:r>
          </w:p>
        </w:tc>
        <w:tc>
          <w:tcPr>
            <w:tcW w:w="12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w w:val="93"/>
              </w:rPr>
              <w:t>1,060,423</w:t>
            </w:r>
          </w:p>
        </w:tc>
        <w:tc>
          <w:tcPr>
            <w:tcW w:w="0" w:type="dxa"/>
            <w:vAlign w:val="bottom"/>
          </w:tcPr>
          <w:p>
            <w:pPr>
              <w:spacing w:after="0"/>
              <w:rPr>
                <w:sz w:val="1"/>
                <w:szCs w:val="1"/>
                <w:color w:val="auto"/>
              </w:rPr>
            </w:pPr>
          </w:p>
        </w:tc>
      </w:tr>
      <w:tr>
        <w:trPr>
          <w:trHeight w:val="182"/>
        </w:trPr>
        <w:tc>
          <w:tcPr>
            <w:tcW w:w="2420" w:type="dxa"/>
            <w:vAlign w:val="bottom"/>
            <w:gridSpan w:val="4"/>
          </w:tcPr>
          <w:p>
            <w:pPr>
              <w:ind w:left="140"/>
              <w:spacing w:after="0"/>
              <w:rPr>
                <w:sz w:val="20"/>
                <w:szCs w:val="20"/>
                <w:color w:val="auto"/>
              </w:rPr>
            </w:pPr>
            <w:r>
              <w:rPr>
                <w:rFonts w:ascii="Arial" w:cs="Arial" w:eastAsia="Arial" w:hAnsi="Arial"/>
                <w:sz w:val="14"/>
                <w:szCs w:val="14"/>
                <w:color w:val="auto"/>
              </w:rPr>
              <w:t>former Chief Operating Officer</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w w:val="89"/>
              </w:rPr>
              <w:t>2021</w:t>
            </w: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$436,923</w:t>
            </w: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$252,478</w:t>
            </w: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color w:val="auto"/>
              </w:rPr>
              <w:t>$ 6,000,000</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130"/>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12,757</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3"/>
              </w:rPr>
              <w:t>6,702,158</w:t>
            </w:r>
          </w:p>
        </w:tc>
        <w:tc>
          <w:tcPr>
            <w:tcW w:w="0" w:type="dxa"/>
            <w:vAlign w:val="bottom"/>
          </w:tcPr>
          <w:p>
            <w:pPr>
              <w:spacing w:after="0"/>
              <w:rPr>
                <w:sz w:val="1"/>
                <w:szCs w:val="1"/>
                <w:color w:val="auto"/>
              </w:rPr>
            </w:pPr>
          </w:p>
        </w:tc>
      </w:tr>
      <w:tr>
        <w:trPr>
          <w:trHeight w:val="60"/>
        </w:trPr>
        <w:tc>
          <w:tcPr>
            <w:tcW w:w="5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4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Justin Dean,</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2022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$416,995</w:t>
            </w:r>
          </w:p>
        </w:tc>
        <w:tc>
          <w:tcPr>
            <w:tcW w:w="600" w:type="dxa"/>
            <w:vAlign w:val="bottom"/>
            <w:gridSpan w:val="2"/>
            <w:shd w:val="clear" w:color="auto" w:fill="CCEEFF"/>
          </w:tcPr>
          <w:p>
            <w:pPr>
              <w:jc w:val="right"/>
              <w:ind w:right="335"/>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8"/>
              </w:rPr>
              <w:t>397,015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814,010</w:t>
            </w:r>
          </w:p>
        </w:tc>
        <w:tc>
          <w:tcPr>
            <w:tcW w:w="0" w:type="dxa"/>
            <w:vAlign w:val="bottom"/>
          </w:tcPr>
          <w:p>
            <w:pPr>
              <w:spacing w:after="0"/>
              <w:rPr>
                <w:sz w:val="1"/>
                <w:szCs w:val="1"/>
                <w:color w:val="auto"/>
              </w:rPr>
            </w:pPr>
          </w:p>
        </w:tc>
      </w:tr>
      <w:tr>
        <w:trPr>
          <w:trHeight w:val="149"/>
        </w:trPr>
        <w:tc>
          <w:tcPr>
            <w:tcW w:w="24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former Chief Technology Officer and</w:t>
            </w:r>
          </w:p>
        </w:tc>
        <w:tc>
          <w:tcPr>
            <w:tcW w:w="6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9"/>
              </w:rPr>
              <w:t>2021</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$475,000</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$110,583</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$ 4,200,000</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10,405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4,795,988</w:t>
            </w:r>
          </w:p>
        </w:tc>
        <w:tc>
          <w:tcPr>
            <w:tcW w:w="0" w:type="dxa"/>
            <w:vAlign w:val="bottom"/>
          </w:tcPr>
          <w:p>
            <w:pPr>
              <w:spacing w:after="0"/>
              <w:rPr>
                <w:sz w:val="1"/>
                <w:szCs w:val="1"/>
                <w:color w:val="auto"/>
              </w:rPr>
            </w:pPr>
          </w:p>
        </w:tc>
      </w:tr>
      <w:tr>
        <w:trPr>
          <w:trHeight w:val="88"/>
        </w:trPr>
        <w:tc>
          <w:tcPr>
            <w:tcW w:w="2420" w:type="dxa"/>
            <w:vAlign w:val="bottom"/>
            <w:gridSpan w:val="4"/>
            <w:vMerge w:val="restart"/>
            <w:shd w:val="clear" w:color="auto" w:fill="CCEEFF"/>
          </w:tcPr>
          <w:p>
            <w:pPr>
              <w:ind w:left="140"/>
              <w:spacing w:after="0"/>
              <w:rPr>
                <w:sz w:val="20"/>
                <w:szCs w:val="20"/>
                <w:color w:val="auto"/>
              </w:rPr>
            </w:pPr>
            <w:r>
              <w:rPr>
                <w:rFonts w:ascii="Arial" w:cs="Arial" w:eastAsia="Arial" w:hAnsi="Arial"/>
                <w:sz w:val="14"/>
                <w:szCs w:val="14"/>
                <w:color w:val="auto"/>
              </w:rPr>
              <w:t>Chief Information Officer</w:t>
            </w:r>
          </w:p>
        </w:tc>
        <w:tc>
          <w:tcPr>
            <w:tcW w:w="6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680" w:type="dxa"/>
            <w:vAlign w:val="bottom"/>
            <w:gridSpan w:val="3"/>
            <w:vMerge w:val="continue"/>
            <w:shd w:val="clear" w:color="auto" w:fill="CCEEFF"/>
          </w:tcPr>
          <w:p>
            <w:pPr>
              <w:spacing w:after="0"/>
              <w:rPr>
                <w:sz w:val="7"/>
                <w:szCs w:val="7"/>
                <w:color w:val="auto"/>
              </w:rPr>
            </w:pPr>
          </w:p>
        </w:tc>
        <w:tc>
          <w:tcPr>
            <w:tcW w:w="680" w:type="dxa"/>
            <w:vAlign w:val="bottom"/>
            <w:gridSpan w:val="3"/>
            <w:vMerge w:val="continue"/>
            <w:shd w:val="clear" w:color="auto" w:fill="CCEEFF"/>
          </w:tcPr>
          <w:p>
            <w:pPr>
              <w:spacing w:after="0"/>
              <w:rPr>
                <w:sz w:val="7"/>
                <w:szCs w:val="7"/>
                <w:color w:val="auto"/>
              </w:rPr>
            </w:pPr>
          </w:p>
        </w:tc>
        <w:tc>
          <w:tcPr>
            <w:tcW w:w="860" w:type="dxa"/>
            <w:vAlign w:val="bottom"/>
            <w:gridSpan w:val="3"/>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420" w:type="dxa"/>
            <w:vAlign w:val="bottom"/>
            <w:gridSpan w:val="4"/>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9"/>
              </w:rPr>
              <w:t>2020</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$475,000</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$190,000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8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color w:val="auto"/>
                <w:w w:val="88"/>
              </w:rPr>
              <w:t>$718,119</w:t>
            </w:r>
          </w:p>
        </w:tc>
        <w:tc>
          <w:tcPr>
            <w:tcW w:w="14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25,144</w:t>
            </w:r>
          </w:p>
        </w:tc>
        <w:tc>
          <w:tcPr>
            <w:tcW w:w="12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1,408,263</w:t>
            </w:r>
          </w:p>
        </w:tc>
        <w:tc>
          <w:tcPr>
            <w:tcW w:w="0" w:type="dxa"/>
            <w:vAlign w:val="bottom"/>
          </w:tcPr>
          <w:p>
            <w:pPr>
              <w:spacing w:after="0"/>
              <w:rPr>
                <w:sz w:val="1"/>
                <w:szCs w:val="1"/>
                <w:color w:val="auto"/>
              </w:rPr>
            </w:pPr>
          </w:p>
        </w:tc>
      </w:tr>
      <w:tr>
        <w:trPr>
          <w:trHeight w:val="120"/>
        </w:trPr>
        <w:tc>
          <w:tcPr>
            <w:tcW w:w="5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680" w:type="dxa"/>
            <w:vAlign w:val="bottom"/>
            <w:gridSpan w:val="3"/>
            <w:vMerge w:val="continue"/>
            <w:shd w:val="clear" w:color="auto" w:fill="CCEEFF"/>
          </w:tcPr>
          <w:p>
            <w:pPr>
              <w:spacing w:after="0"/>
              <w:rPr>
                <w:sz w:val="10"/>
                <w:szCs w:val="10"/>
                <w:color w:val="auto"/>
              </w:rPr>
            </w:pPr>
          </w:p>
        </w:tc>
        <w:tc>
          <w:tcPr>
            <w:tcW w:w="680" w:type="dxa"/>
            <w:vAlign w:val="bottom"/>
            <w:gridSpan w:val="3"/>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680" w:type="dxa"/>
            <w:vAlign w:val="bottom"/>
            <w:gridSpan w:val="3"/>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420" w:type="dxa"/>
            <w:vAlign w:val="bottom"/>
            <w:gridSpan w:val="4"/>
          </w:tcPr>
          <w:p>
            <w:pPr>
              <w:spacing w:after="0" w:line="157" w:lineRule="exact"/>
              <w:rPr>
                <w:sz w:val="20"/>
                <w:szCs w:val="20"/>
                <w:color w:val="auto"/>
              </w:rPr>
            </w:pPr>
            <w:r>
              <w:rPr>
                <w:rFonts w:ascii="Arial" w:cs="Arial" w:eastAsia="Arial" w:hAnsi="Arial"/>
                <w:sz w:val="14"/>
                <w:szCs w:val="14"/>
                <w:color w:val="auto"/>
              </w:rPr>
              <w:t>Brian Camire,</w:t>
            </w:r>
          </w:p>
        </w:tc>
        <w:tc>
          <w:tcPr>
            <w:tcW w:w="360" w:type="dxa"/>
            <w:vAlign w:val="bottom"/>
            <w:gridSpan w:val="2"/>
          </w:tcPr>
          <w:p>
            <w:pPr>
              <w:ind w:left="60"/>
              <w:spacing w:after="0" w:line="157" w:lineRule="exact"/>
              <w:rPr>
                <w:sz w:val="20"/>
                <w:szCs w:val="20"/>
                <w:color w:val="auto"/>
              </w:rPr>
            </w:pPr>
            <w:r>
              <w:rPr>
                <w:rFonts w:ascii="Arial" w:cs="Arial" w:eastAsia="Arial" w:hAnsi="Arial"/>
                <w:sz w:val="14"/>
                <w:szCs w:val="14"/>
                <w:color w:val="auto"/>
                <w:w w:val="89"/>
              </w:rPr>
              <w:t>2022</w:t>
            </w:r>
          </w:p>
        </w:tc>
        <w:tc>
          <w:tcPr>
            <w:tcW w:w="68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$410,000</w:t>
            </w:r>
          </w:p>
        </w:tc>
        <w:tc>
          <w:tcPr>
            <w:tcW w:w="600" w:type="dxa"/>
            <w:vAlign w:val="bottom"/>
            <w:gridSpan w:val="2"/>
          </w:tcPr>
          <w:p>
            <w:pPr>
              <w:jc w:val="right"/>
              <w:ind w:right="335"/>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30"/>
              <w:spacing w:after="0" w:line="157" w:lineRule="exact"/>
              <w:rPr>
                <w:sz w:val="20"/>
                <w:szCs w:val="20"/>
                <w:color w:val="auto"/>
              </w:rPr>
            </w:pPr>
            <w:r>
              <w:rPr>
                <w:rFonts w:ascii="Arial" w:cs="Arial" w:eastAsia="Arial" w:hAnsi="Arial"/>
                <w:sz w:val="14"/>
                <w:szCs w:val="14"/>
                <w:color w:val="auto"/>
              </w:rPr>
              <w:t>$11,531</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13,384</w:t>
            </w:r>
          </w:p>
        </w:tc>
        <w:tc>
          <w:tcPr>
            <w:tcW w:w="12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434,915</w:t>
            </w:r>
          </w:p>
        </w:tc>
        <w:tc>
          <w:tcPr>
            <w:tcW w:w="0" w:type="dxa"/>
            <w:vAlign w:val="bottom"/>
          </w:tcPr>
          <w:p>
            <w:pPr>
              <w:spacing w:after="0"/>
              <w:rPr>
                <w:sz w:val="1"/>
                <w:szCs w:val="1"/>
                <w:color w:val="auto"/>
              </w:rPr>
            </w:pPr>
          </w:p>
        </w:tc>
      </w:tr>
      <w:tr>
        <w:trPr>
          <w:trHeight w:val="182"/>
        </w:trPr>
        <w:tc>
          <w:tcPr>
            <w:tcW w:w="2420" w:type="dxa"/>
            <w:vAlign w:val="bottom"/>
            <w:gridSpan w:val="4"/>
          </w:tcPr>
          <w:p>
            <w:pPr>
              <w:ind w:left="140"/>
              <w:spacing w:after="0"/>
              <w:rPr>
                <w:sz w:val="20"/>
                <w:szCs w:val="20"/>
                <w:color w:val="auto"/>
              </w:rPr>
            </w:pPr>
            <w:r>
              <w:rPr>
                <w:rFonts w:ascii="Arial" w:cs="Arial" w:eastAsia="Arial" w:hAnsi="Arial"/>
                <w:sz w:val="14"/>
                <w:szCs w:val="14"/>
                <w:color w:val="auto"/>
              </w:rPr>
              <w:t>General Counsel and Secretary</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w w:val="89"/>
              </w:rPr>
              <w:t>2021</w:t>
            </w: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$410,000</w:t>
            </w: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$297,931</w:t>
            </w: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color w:val="auto"/>
              </w:rPr>
              <w:t>$ 3,000,000</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130"/>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11,134</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3"/>
              </w:rPr>
              <w:t>3,719,065</w:t>
            </w:r>
          </w:p>
        </w:tc>
        <w:tc>
          <w:tcPr>
            <w:tcW w:w="0" w:type="dxa"/>
            <w:vAlign w:val="bottom"/>
          </w:tcPr>
          <w:p>
            <w:pPr>
              <w:spacing w:after="0"/>
              <w:rPr>
                <w:sz w:val="1"/>
                <w:szCs w:val="1"/>
                <w:color w:val="auto"/>
              </w:rPr>
            </w:pPr>
          </w:p>
        </w:tc>
      </w:tr>
      <w:tr>
        <w:trPr>
          <w:trHeight w:val="60"/>
        </w:trPr>
        <w:tc>
          <w:tcPr>
            <w:tcW w:w="5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4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Duncan Grazier,</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89"/>
              </w:rPr>
              <w:t>2022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$394,221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$162,592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299,995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10,504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867,313</w:t>
            </w:r>
          </w:p>
        </w:tc>
        <w:tc>
          <w:tcPr>
            <w:tcW w:w="0" w:type="dxa"/>
            <w:vAlign w:val="bottom"/>
          </w:tcPr>
          <w:p>
            <w:pPr>
              <w:spacing w:after="0"/>
              <w:rPr>
                <w:sz w:val="1"/>
                <w:szCs w:val="1"/>
                <w:color w:val="auto"/>
              </w:rPr>
            </w:pPr>
          </w:p>
        </w:tc>
      </w:tr>
      <w:tr>
        <w:trPr>
          <w:trHeight w:val="201"/>
        </w:trPr>
        <w:tc>
          <w:tcPr>
            <w:tcW w:w="2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Chief Technology Officer</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5481320</wp:posOffset>
            </wp:positionH>
            <wp:positionV relativeFrom="paragraph">
              <wp:posOffset>-2073910</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-2073910</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-2073910</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-2073910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-2073910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-2073910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-2073910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-2073910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-2073910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 w:lineRule="exact"/>
        <w:rPr>
          <w:sz w:val="20"/>
          <w:szCs w:val="20"/>
          <w:color w:val="auto"/>
        </w:rPr>
      </w:pPr>
    </w:p>
    <w:p>
      <w:pPr>
        <w:ind w:left="880" w:hanging="348"/>
        <w:spacing w:after="0"/>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Only the applicable years are shown for respective Named Executive Officers.</w:t>
      </w:r>
    </w:p>
    <w:p>
      <w:pPr>
        <w:spacing w:after="0" w:line="41" w:lineRule="exact"/>
        <w:rPr>
          <w:rFonts w:ascii="Arial" w:cs="Arial" w:eastAsia="Arial" w:hAnsi="Arial"/>
          <w:sz w:val="14"/>
          <w:szCs w:val="14"/>
          <w:color w:val="auto"/>
        </w:rPr>
      </w:pPr>
    </w:p>
    <w:p>
      <w:pPr>
        <w:jc w:val="both"/>
        <w:ind w:left="880" w:right="540" w:hanging="348"/>
        <w:spacing w:after="0" w:line="233" w:lineRule="auto"/>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Francis was not an employee in 2022 and began service as our principal executive officer on November 7, 2022; Mr. Beals served as our Chief Executive Officer and member of the Board until November 7, 2022; Mr. Dean served as our Chief Technology Officer and Chief Information Officer until December 5, 2022; Mr. Grazier, formerly our Senior Vice President, Engineering, was appointed our Chief Technology Officer, effective December 5, 2022.</w:t>
      </w:r>
    </w:p>
    <w:p>
      <w:pPr>
        <w:spacing w:after="0" w:line="22" w:lineRule="exact"/>
        <w:rPr>
          <w:rFonts w:ascii="Arial" w:cs="Arial" w:eastAsia="Arial" w:hAnsi="Arial"/>
          <w:sz w:val="14"/>
          <w:szCs w:val="14"/>
          <w:color w:val="auto"/>
        </w:rPr>
      </w:pPr>
    </w:p>
    <w:p>
      <w:pPr>
        <w:ind w:left="880" w:hanging="348"/>
        <w:spacing w:after="0"/>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w:t>
      </w:r>
    </w:p>
    <w:p>
      <w:pPr>
        <w:spacing w:after="0" w:line="41" w:lineRule="exact"/>
        <w:rPr>
          <w:rFonts w:ascii="Arial" w:cs="Arial" w:eastAsia="Arial" w:hAnsi="Arial"/>
          <w:sz w:val="14"/>
          <w:szCs w:val="14"/>
          <w:color w:val="auto"/>
        </w:rPr>
      </w:pPr>
    </w:p>
    <w:p>
      <w:pPr>
        <w:jc w:val="both"/>
        <w:ind w:left="880" w:right="540" w:hanging="348"/>
        <w:spacing w:after="0" w:line="241" w:lineRule="auto"/>
        <w:tabs>
          <w:tab w:leader="none" w:pos="8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Amounts reflect the grant date fair value of all RSU awards; and for the PRSU awards at the target number of PRSUs granted in 2021, in accordance with ASC 718. The grant date fair value of each RSU award was measured based on the per share closing price of our Class A Common Stock on the date of grant. The amounts reported do not correspond to the economic value received by each NEO from the equity award; for example, the price of a share of our Class A Common Stock has declined significantly since the awards were granted in December of 2021. In addition, none of the PRSUs have had their performance conditions achieved at this time and the actual value of these awards will depend on our performance; there is no guarantee that the PRSUs will meet their performance conditions and vest due to a number of factors. For additional information regarding the market value of outstanding stock awards, see “Outstanding Equity Awards at Fiscal Year-End” below. With respect to Mr. Beals’ 2022 award in connection to his severance agreement, the fair value was measured based on the per share closing price of our Class A Common Stock on the date of modification in accordance with ASC 718. Because the PRSU awards are subject to specified company performance metrics, the grant date fair value reported was based upon the probable outcome of such conditions. For information regarding assumptions underlying the value of equity awards, see Note 13 to our financial statements included in our Annual Report on Form 10-K for the year ended December 31, 2022. The actual vesting of the PRSU awards will be between 0% and 200% of the target number of PRSU awards granted. The value of the 2021 PRSU awards on the date of grant assuming the highest level of performance conditions will be achieved is $10,000,000 for Mr. Beals, $8,000,000 for Mr. Lee, $6,000,000 for Mr. Feijoo, $4,200,000 for Mr. Dean and $3,000,000 for Mr. Camire which is based on maximum vesting of the PRSU awards multiplied by the closing price of our Class A Common Stock on the date prior to the grant date. For additional information regarding the specific terms of the PRSU awards granted to our Named Executive Officers in 2021, see “Outstanding Equity Awards” below.</w:t>
      </w:r>
    </w:p>
    <w:p>
      <w:pPr>
        <w:spacing w:after="0" w:line="26" w:lineRule="exact"/>
        <w:rPr>
          <w:rFonts w:ascii="Arial" w:cs="Arial" w:eastAsia="Arial" w:hAnsi="Arial"/>
          <w:sz w:val="13"/>
          <w:szCs w:val="13"/>
          <w:color w:val="auto"/>
        </w:rPr>
      </w:pPr>
    </w:p>
    <w:p>
      <w:pPr>
        <w:jc w:val="both"/>
        <w:ind w:left="880" w:right="540" w:hanging="348"/>
        <w:spacing w:after="0" w:line="231" w:lineRule="auto"/>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reflect the grant date fair value of all Class P Unit awards granted in 2021, in accordance with ASC 718. The grant date fair value of each Class P Units was measured using the Black-Scholes-Merton valuation model. For information regarding assumptions underlying the value of equity awards, see Note 13 to our financial statements included in our Annual Report on Form 10-K for the year ended December 31, 2022. These amounts do not necessarily correspond to the actual value recognized or that may be recognized by the Named Executive Officers.</w:t>
      </w:r>
    </w:p>
    <w:p>
      <w:pPr>
        <w:spacing w:after="0" w:line="21" w:lineRule="exact"/>
        <w:rPr>
          <w:rFonts w:ascii="Arial" w:cs="Arial" w:eastAsia="Arial" w:hAnsi="Arial"/>
          <w:sz w:val="14"/>
          <w:szCs w:val="14"/>
          <w:color w:val="auto"/>
        </w:rPr>
      </w:pPr>
    </w:p>
    <w:p>
      <w:pPr>
        <w:ind w:left="880" w:hanging="348"/>
        <w:spacing w:after="0"/>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amounts paid under the STIP for 2022, as further described in the “Cash Bonus Payments” section above.</w:t>
      </w:r>
    </w:p>
    <w:p>
      <w:pPr>
        <w:spacing w:after="0" w:line="41" w:lineRule="exact"/>
        <w:rPr>
          <w:rFonts w:ascii="Arial" w:cs="Arial" w:eastAsia="Arial" w:hAnsi="Arial"/>
          <w:sz w:val="14"/>
          <w:szCs w:val="14"/>
          <w:color w:val="auto"/>
        </w:rPr>
      </w:pPr>
    </w:p>
    <w:p>
      <w:pPr>
        <w:jc w:val="both"/>
        <w:ind w:left="880" w:right="540" w:hanging="348"/>
        <w:spacing w:after="0" w:line="226" w:lineRule="auto"/>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include (i) group term life insurance premiums in excess of the broad-based benefit level of $810, $486, $540, $216, $478, $779 for 2022 for Messrs. Lee, Feijoo, Camire, Grazier, Beals and Dean, respectively and $810, $486, $0, $540 and $540 for 2021 for Messrs. Lee, Feijoo, Camire, Beals and Dean, respectively; (ii) matching contributions under our 401(k) plan of $10,298, $12,822, $12,844, $12,192, $10,288 and $10,341 for 2022 for Messrs. Lee, Feijoo, Camire, Beals, Grazier and Dean, respectively, and $11,883, $12,248, $11,110, $9,312 and $9,841 for 2021 for Messrs. Lee, Feijoo, Camire, Beals and Dean, respectively; (iii) severance payments of $960,000, $561,000 and $356,250 for Messrs. Beals, Feijoo and Dean, respectively; (iv) vacation supplement of $46,115, $60,577 and $8,646 for Messrs. Feijoo, Beals and Dean, respectively; and (v) COBRA insurance costs of $27,998 and $20,998 for Messrs. Beals and Dean, respectively. Mr. Francis’ compensation reflects his fees earned as a Director, as noted in the “Director Compensation” section below, and did not include such benefits.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 following table shows certain information regarding grants of plan-based awards to the Named Executive Officers in 2022:</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auto"/>
        </w:rPr>
        <w:t>Grant</w:t>
      </w:r>
    </w:p>
    <w:p>
      <w:pPr>
        <w:spacing w:after="0" w:line="6" w:lineRule="exact"/>
        <w:rPr>
          <w:sz w:val="20"/>
          <w:szCs w:val="20"/>
          <w:color w:val="auto"/>
        </w:rPr>
      </w:pPr>
    </w:p>
    <w:p>
      <w:pPr>
        <w:ind w:left="300"/>
        <w:spacing w:after="0"/>
        <w:tabs>
          <w:tab w:leader="none" w:pos="1900" w:val="left"/>
        </w:tabs>
        <w:rPr>
          <w:sz w:val="20"/>
          <w:szCs w:val="20"/>
          <w:color w:val="auto"/>
        </w:rPr>
      </w:pPr>
      <w:r>
        <w:rPr>
          <w:rFonts w:ascii="Arial" w:cs="Arial" w:eastAsia="Arial" w:hAnsi="Arial"/>
          <w:sz w:val="11"/>
          <w:szCs w:val="11"/>
          <w:b w:val="1"/>
          <w:bCs w:val="1"/>
          <w:color w:val="auto"/>
        </w:rPr>
        <w:t>Name</w:t>
      </w:r>
      <w:r>
        <w:rPr>
          <w:sz w:val="20"/>
          <w:szCs w:val="20"/>
          <w:color w:val="auto"/>
        </w:rPr>
        <w:tab/>
      </w:r>
      <w:r>
        <w:rPr>
          <w:rFonts w:ascii="Arial" w:cs="Arial" w:eastAsia="Arial" w:hAnsi="Arial"/>
          <w:sz w:val="11"/>
          <w:szCs w:val="11"/>
          <w:b w:val="1"/>
          <w:bCs w:val="1"/>
          <w:color w:val="auto"/>
        </w:rPr>
        <w:t>Date</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26670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102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3"/>
        </w:trPr>
        <w:tc>
          <w:tcPr>
            <w:tcW w:w="17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Plan Awards</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of Stock and</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of Stock and</w:t>
            </w:r>
          </w:p>
        </w:tc>
        <w:tc>
          <w:tcPr>
            <w:tcW w:w="0" w:type="dxa"/>
            <w:vAlign w:val="bottom"/>
          </w:tcPr>
          <w:p>
            <w:pPr>
              <w:spacing w:after="0"/>
              <w:rPr>
                <w:sz w:val="1"/>
                <w:szCs w:val="1"/>
                <w:color w:val="auto"/>
              </w:rPr>
            </w:pPr>
          </w:p>
        </w:tc>
      </w:tr>
      <w:tr>
        <w:trPr>
          <w:trHeight w:val="77"/>
        </w:trPr>
        <w:tc>
          <w:tcPr>
            <w:tcW w:w="6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Option Awards</w:t>
            </w: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020" w:type="dxa"/>
            <w:vAlign w:val="bottom"/>
            <w:vMerge w:val="restart"/>
          </w:tcPr>
          <w:p>
            <w:pPr>
              <w:jc w:val="center"/>
              <w:ind w:left="8"/>
              <w:spacing w:after="0" w:line="149" w:lineRule="exact"/>
              <w:rPr>
                <w:sz w:val="20"/>
                <w:szCs w:val="20"/>
                <w:color w:val="auto"/>
              </w:rPr>
            </w:pPr>
            <w:r>
              <w:rPr>
                <w:rFonts w:ascii="Arial" w:cs="Arial" w:eastAsia="Arial" w:hAnsi="Arial"/>
                <w:sz w:val="14"/>
                <w:szCs w:val="14"/>
                <w:b w:val="1"/>
                <w:bCs w:val="1"/>
                <w:color w:val="auto"/>
                <w:w w:val="94"/>
              </w:rPr>
              <w:t>Option Awards</w:t>
            </w:r>
          </w:p>
        </w:tc>
        <w:tc>
          <w:tcPr>
            <w:tcW w:w="0" w:type="dxa"/>
            <w:vAlign w:val="bottom"/>
          </w:tcPr>
          <w:p>
            <w:pPr>
              <w:spacing w:after="0"/>
              <w:rPr>
                <w:sz w:val="1"/>
                <w:szCs w:val="1"/>
                <w:color w:val="auto"/>
              </w:rPr>
            </w:pPr>
          </w:p>
        </w:tc>
      </w:tr>
      <w:tr>
        <w:trPr>
          <w:trHeight w:val="52"/>
        </w:trPr>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Threshold</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 (RSUs)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(RSUs)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Units (PRSUs)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(PRSUs)</w:t>
            </w:r>
          </w:p>
        </w:tc>
        <w:tc>
          <w:tcPr>
            <w:tcW w:w="0" w:type="dxa"/>
            <w:vAlign w:val="bottom"/>
          </w:tcPr>
          <w:p>
            <w:pPr>
              <w:spacing w:after="0"/>
              <w:rPr>
                <w:sz w:val="1"/>
                <w:szCs w:val="1"/>
                <w:color w:val="auto"/>
              </w:rPr>
            </w:pPr>
          </w:p>
        </w:tc>
      </w:tr>
      <w:tr>
        <w:trPr>
          <w:trHeight w:val="186"/>
        </w:trPr>
        <w:tc>
          <w:tcPr>
            <w:tcW w:w="640" w:type="dxa"/>
            <w:vAlign w:val="bottom"/>
          </w:tcPr>
          <w:p>
            <w:pPr>
              <w:jc w:val="right"/>
              <w:ind w:right="19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660" w:type="dxa"/>
            <w:vAlign w:val="bottom"/>
          </w:tcPr>
          <w:p>
            <w:pPr>
              <w:jc w:val="right"/>
              <w:ind w:right="173"/>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33655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33655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33655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33655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33655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1812925</wp:posOffset>
            </wp:positionH>
            <wp:positionV relativeFrom="paragraph">
              <wp:posOffset>33655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1118235</wp:posOffset>
            </wp:positionH>
            <wp:positionV relativeFrom="paragraph">
              <wp:posOffset>33655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2320" w:space="220"/>
            <w:col w:w="647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298"/>
        </w:trPr>
        <w:tc>
          <w:tcPr>
            <w:tcW w:w="14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Douglas Francis</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6/21/2022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41,493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193,357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51"/>
        </w:trPr>
        <w:tc>
          <w:tcPr>
            <w:tcW w:w="1480" w:type="dxa"/>
            <w:vAlign w:val="bottom"/>
            <w:gridSpan w:val="2"/>
          </w:tcPr>
          <w:p>
            <w:pPr>
              <w:spacing w:after="0"/>
              <w:rPr>
                <w:sz w:val="20"/>
                <w:szCs w:val="20"/>
                <w:color w:val="auto"/>
              </w:rPr>
            </w:pPr>
            <w:r>
              <w:rPr>
                <w:rFonts w:ascii="Arial" w:cs="Arial" w:eastAsia="Arial" w:hAnsi="Arial"/>
                <w:sz w:val="16"/>
                <w:szCs w:val="16"/>
                <w:color w:val="auto"/>
              </w:rPr>
              <w:t>Duncan Grazier</w:t>
            </w:r>
          </w:p>
        </w:tc>
        <w:tc>
          <w:tcPr>
            <w:tcW w:w="680" w:type="dxa"/>
            <w:vAlign w:val="bottom"/>
          </w:tcPr>
          <w:p>
            <w:pPr>
              <w:jc w:val="right"/>
              <w:spacing w:after="0"/>
              <w:rPr>
                <w:sz w:val="20"/>
                <w:szCs w:val="20"/>
                <w:color w:val="auto"/>
              </w:rPr>
            </w:pPr>
            <w:r>
              <w:rPr>
                <w:rFonts w:ascii="Arial" w:cs="Arial" w:eastAsia="Arial" w:hAnsi="Arial"/>
                <w:sz w:val="16"/>
                <w:szCs w:val="16"/>
                <w:color w:val="auto"/>
              </w:rPr>
              <w:t>3/1/2022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gridSpan w:val="3"/>
          </w:tcPr>
          <w:p>
            <w:pPr>
              <w:jc w:val="right"/>
              <w:ind w:right="179"/>
              <w:spacing w:after="0"/>
              <w:rPr>
                <w:sz w:val="20"/>
                <w:szCs w:val="20"/>
                <w:color w:val="auto"/>
              </w:rPr>
            </w:pPr>
            <w:r>
              <w:rPr>
                <w:rFonts w:ascii="Arial" w:cs="Arial" w:eastAsia="Arial" w:hAnsi="Arial"/>
                <w:sz w:val="16"/>
                <w:szCs w:val="16"/>
                <w:color w:val="auto"/>
              </w:rPr>
              <w:t>52,173</w:t>
            </w:r>
          </w:p>
        </w:tc>
        <w:tc>
          <w:tcPr>
            <w:tcW w:w="80" w:type="dxa"/>
            <w:vAlign w:val="bottom"/>
          </w:tcPr>
          <w:p>
            <w:pPr>
              <w:spacing w:after="0"/>
              <w:rPr>
                <w:sz w:val="21"/>
                <w:szCs w:val="21"/>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299,995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0"/>
        </w:trPr>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351"/>
        </w:trPr>
        <w:tc>
          <w:tcPr>
            <w:tcW w:w="14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Christopher Beals</w:t>
            </w:r>
            <w:r>
              <w:rPr>
                <w:rFonts w:ascii="Arial" w:cs="Arial" w:eastAsia="Arial" w:hAnsi="Arial"/>
                <w:sz w:val="26"/>
                <w:szCs w:val="26"/>
                <w:color w:val="auto"/>
                <w:w w:val="98"/>
                <w:vertAlign w:val="superscript"/>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11/7/2022</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292,969</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565,430</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vesting schedule applicable to each award is set forth in the “Outstanding Equity Awards at Fiscal Year End” table.</w:t>
      </w:r>
    </w:p>
    <w:p>
      <w:pPr>
        <w:spacing w:after="0" w:line="41" w:lineRule="exact"/>
        <w:rPr>
          <w:rFonts w:ascii="Arial" w:cs="Arial" w:eastAsia="Arial" w:hAnsi="Arial"/>
          <w:sz w:val="14"/>
          <w:szCs w:val="14"/>
          <w:color w:val="auto"/>
        </w:rPr>
      </w:pPr>
    </w:p>
    <w:p>
      <w:pPr>
        <w:ind w:left="640" w:right="299" w:hanging="348"/>
        <w:spacing w:after="0" w:line="290" w:lineRule="auto"/>
        <w:tabs>
          <w:tab w:leader="none" w:pos="6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amounts include the aggregate incremental fair value related to the acceleration of Mr. Beals’ equity awards pursuant to his separation agreement. The incremental fair value for the modified equity awards was computed in accordance with FASB ASC Topic 718.</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540" w:right="560"/>
        <w:spacing w:after="0" w:line="277" w:lineRule="auto"/>
        <w:rPr>
          <w:sz w:val="20"/>
          <w:szCs w:val="20"/>
          <w:color w:val="auto"/>
        </w:rPr>
      </w:pPr>
      <w:r>
        <w:rPr>
          <w:rFonts w:ascii="Arial" w:cs="Arial" w:eastAsia="Arial" w:hAnsi="Arial"/>
          <w:sz w:val="18"/>
          <w:szCs w:val="18"/>
          <w:color w:val="auto"/>
        </w:rPr>
        <w:t>The following table shows certain information regarding outstanding equity awards for the Named Executive Officers as of December 31,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ind w:left="620"/>
              <w:spacing w:after="0"/>
              <w:rPr>
                <w:sz w:val="20"/>
                <w:szCs w:val="20"/>
                <w:color w:val="auto"/>
              </w:rPr>
            </w:pPr>
            <w:r>
              <w:rPr>
                <w:rFonts w:ascii="Arial" w:cs="Arial" w:eastAsia="Arial" w:hAnsi="Arial"/>
                <w:sz w:val="13"/>
                <w:szCs w:val="13"/>
                <w:b w:val="1"/>
                <w:bCs w:val="1"/>
                <w:color w:val="auto"/>
              </w:rPr>
              <w:t>Option Awards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ind w:left="400"/>
              <w:spacing w:after="0"/>
              <w:rPr>
                <w:sz w:val="20"/>
                <w:szCs w:val="20"/>
                <w:color w:val="auto"/>
              </w:rPr>
            </w:pPr>
            <w:r>
              <w:rPr>
                <w:rFonts w:ascii="Arial" w:cs="Arial" w:eastAsia="Arial" w:hAnsi="Arial"/>
                <w:sz w:val="13"/>
                <w:szCs w:val="13"/>
                <w:b w:val="1"/>
                <w:bCs w:val="1"/>
                <w:color w:val="auto"/>
              </w:rPr>
              <w:t>Stock Awards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plan awards: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Equity</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incentive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incentive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plan awards: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payout</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plan awards: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Market</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value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Number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value of</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unearned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unearned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securities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securities</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securities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shares or</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shares of</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shares, units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underlying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underlying</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underlying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units of</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units of</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or other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unexercised</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unexercised</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unexercised</w:t>
            </w: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stock that</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stock that</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rights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other rights</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options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options</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unearned</w:t>
            </w:r>
          </w:p>
        </w:tc>
        <w:tc>
          <w:tcPr>
            <w:tcW w:w="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exercise</w:t>
            </w: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have not</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have not</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that have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that have</w:t>
            </w:r>
          </w:p>
        </w:tc>
        <w:tc>
          <w:tcPr>
            <w:tcW w:w="0" w:type="dxa"/>
            <w:vAlign w:val="bottom"/>
          </w:tcPr>
          <w:p>
            <w:pPr>
              <w:spacing w:after="0"/>
              <w:rPr>
                <w:sz w:val="1"/>
                <w:szCs w:val="1"/>
                <w:color w:val="auto"/>
              </w:rPr>
            </w:pPr>
          </w:p>
        </w:tc>
      </w:tr>
      <w:tr>
        <w:trPr>
          <w:trHeight w:val="148"/>
        </w:trPr>
        <w:tc>
          <w:tcPr>
            <w:tcW w:w="1320" w:type="dxa"/>
            <w:vAlign w:val="bottom"/>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2"/>
                <w:szCs w:val="22"/>
                <w:b w:val="1"/>
                <w:bCs w:val="1"/>
                <w:color w:val="auto"/>
                <w:vertAlign w:val="superscript"/>
              </w:rPr>
              <w:t>(1)</w:t>
            </w:r>
          </w:p>
        </w:tc>
        <w:tc>
          <w:tcPr>
            <w:tcW w:w="80" w:type="dxa"/>
            <w:vAlign w:val="bottom"/>
          </w:tcPr>
          <w:p>
            <w:pPr>
              <w:spacing w:after="0"/>
              <w:rPr>
                <w:sz w:val="12"/>
                <w:szCs w:val="12"/>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Grant</w:t>
            </w: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Vesting</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options</w:t>
            </w: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price</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expiration</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vested</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not vested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0" w:type="dxa"/>
            <w:vAlign w:val="bottom"/>
          </w:tcPr>
          <w:p>
            <w:pPr>
              <w:spacing w:after="0"/>
              <w:rPr>
                <w:sz w:val="1"/>
                <w:szCs w:val="1"/>
                <w:color w:val="auto"/>
              </w:rPr>
            </w:pPr>
          </w:p>
        </w:tc>
      </w:tr>
      <w:tr>
        <w:trPr>
          <w:trHeight w:val="243"/>
        </w:trPr>
        <w:tc>
          <w:tcPr>
            <w:tcW w:w="13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Date</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Date</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exercisable</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unexercisable</w:t>
            </w:r>
          </w:p>
        </w:tc>
        <w:tc>
          <w:tcPr>
            <w:tcW w:w="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22"/>
                <w:szCs w:val="22"/>
                <w:b w:val="1"/>
                <w:bCs w:val="1"/>
                <w:color w:val="auto"/>
                <w:w w:val="82"/>
                <w:vertAlign w:val="superscript"/>
              </w:rPr>
              <w:t>(2)</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22"/>
                <w:szCs w:val="22"/>
                <w:b w:val="1"/>
                <w:bCs w:val="1"/>
                <w:color w:val="auto"/>
                <w:w w:val="82"/>
                <w:vertAlign w:val="superscript"/>
              </w:rPr>
              <w:t>(2)</w:t>
            </w:r>
          </w:p>
        </w:tc>
        <w:tc>
          <w:tcPr>
            <w:tcW w:w="0" w:type="dxa"/>
            <w:vAlign w:val="bottom"/>
          </w:tcPr>
          <w:p>
            <w:pPr>
              <w:spacing w:after="0"/>
              <w:rPr>
                <w:sz w:val="1"/>
                <w:szCs w:val="1"/>
                <w:color w:val="auto"/>
              </w:rPr>
            </w:pPr>
          </w:p>
        </w:tc>
      </w:tr>
      <w:tr>
        <w:trPr>
          <w:trHeight w:val="22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Douglas Francis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6/21/2022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41,493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8/26/2021</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20,187</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20,389</w:t>
            </w: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20"/>
                <w:szCs w:val="20"/>
                <w:color w:val="auto"/>
              </w:rPr>
            </w:pPr>
            <w:r>
              <w:rPr>
                <w:rFonts w:ascii="Arial" w:cs="Arial" w:eastAsia="Arial" w:hAnsi="Arial"/>
                <w:sz w:val="14"/>
                <w:szCs w:val="14"/>
                <w:color w:val="auto"/>
              </w:rPr>
              <w:t>Arden Lee</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12/11/2021</w:t>
            </w:r>
          </w:p>
        </w:tc>
        <w:tc>
          <w:tcPr>
            <w:tcW w:w="80" w:type="dxa"/>
            <w:vAlign w:val="bottom"/>
          </w:tcPr>
          <w:p>
            <w:pPr>
              <w:spacing w:after="0"/>
              <w:rPr>
                <w:sz w:val="18"/>
                <w:szCs w:val="18"/>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78,125</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78,906</w:t>
            </w: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12/11/2021</w:t>
            </w:r>
          </w:p>
        </w:tc>
        <w:tc>
          <w:tcPr>
            <w:tcW w:w="80" w:type="dxa"/>
            <w:vAlign w:val="bottom"/>
          </w:tcPr>
          <w:p>
            <w:pPr>
              <w:spacing w:after="0"/>
              <w:rPr>
                <w:sz w:val="22"/>
                <w:szCs w:val="22"/>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364,585</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368,231</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3/19/2019</w:t>
            </w:r>
          </w:p>
        </w:tc>
        <w:tc>
          <w:tcPr>
            <w:tcW w:w="80" w:type="dxa"/>
            <w:vAlign w:val="bottom"/>
          </w:tcPr>
          <w:p>
            <w:pPr>
              <w:spacing w:after="0"/>
              <w:rPr>
                <w:sz w:val="22"/>
                <w:szCs w:val="22"/>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w w:val="96"/>
              </w:rPr>
              <w:t>1,187,895</w:t>
            </w:r>
          </w:p>
        </w:tc>
        <w:tc>
          <w:tcPr>
            <w:tcW w:w="80" w:type="dxa"/>
            <w:vAlign w:val="bottom"/>
          </w:tcPr>
          <w:p>
            <w:pPr>
              <w:spacing w:after="0"/>
              <w:rPr>
                <w:sz w:val="22"/>
                <w:szCs w:val="22"/>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51,648</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6.35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Juanjo Feijoo</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12/8/2020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92,964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12/10/2019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433,840</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8.03</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320" w:type="dxa"/>
            <w:vAlign w:val="bottom"/>
          </w:tcPr>
          <w:p>
            <w:pPr>
              <w:spacing w:after="0"/>
              <w:rPr>
                <w:sz w:val="20"/>
                <w:szCs w:val="20"/>
                <w:color w:val="auto"/>
              </w:rPr>
            </w:pPr>
            <w:r>
              <w:rPr>
                <w:rFonts w:ascii="Arial" w:cs="Arial" w:eastAsia="Arial" w:hAnsi="Arial"/>
                <w:sz w:val="14"/>
                <w:szCs w:val="14"/>
                <w:color w:val="auto"/>
              </w:rPr>
              <w:t>Justin Dean</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12/8/2020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108,461</w:t>
            </w:r>
          </w:p>
        </w:tc>
        <w:tc>
          <w:tcPr>
            <w:tcW w:w="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11/16/2018</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371,863</w:t>
            </w:r>
          </w:p>
        </w:tc>
        <w:tc>
          <w:tcPr>
            <w:tcW w:w="80" w:type="dxa"/>
            <w:vAlign w:val="bottom"/>
          </w:tcPr>
          <w:p>
            <w:pPr>
              <w:spacing w:after="0"/>
              <w:rPr>
                <w:sz w:val="22"/>
                <w:szCs w:val="22"/>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6.28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Brian Camire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12/11/2021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29,296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29,589</w:t>
            </w:r>
          </w:p>
        </w:tc>
        <w:tc>
          <w:tcPr>
            <w:tcW w:w="0" w:type="dxa"/>
            <w:vAlign w:val="bottom"/>
          </w:tcPr>
          <w:p>
            <w:pPr>
              <w:spacing w:after="0"/>
              <w:rPr>
                <w:sz w:val="1"/>
                <w:szCs w:val="1"/>
                <w:color w:val="auto"/>
              </w:rPr>
            </w:pPr>
          </w:p>
        </w:tc>
      </w:tr>
      <w:tr>
        <w:trPr>
          <w:trHeight w:val="257"/>
        </w:trPr>
        <w:tc>
          <w:tcPr>
            <w:tcW w:w="13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12/11/2021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136,720</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138,087</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12/8/2020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123,956</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123,953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11/12/2019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379,610</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54,230</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8.03</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320" w:type="dxa"/>
            <w:vAlign w:val="bottom"/>
          </w:tcPr>
          <w:p>
            <w:pPr>
              <w:spacing w:after="0"/>
              <w:rPr>
                <w:sz w:val="20"/>
                <w:szCs w:val="20"/>
                <w:color w:val="auto"/>
              </w:rPr>
            </w:pPr>
            <w:r>
              <w:rPr>
                <w:rFonts w:ascii="Arial" w:cs="Arial" w:eastAsia="Arial" w:hAnsi="Arial"/>
                <w:sz w:val="14"/>
                <w:szCs w:val="14"/>
                <w:color w:val="auto"/>
              </w:rPr>
              <w:t>Duncan Grazier</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3/1/2022</w:t>
            </w:r>
          </w:p>
        </w:tc>
        <w:tc>
          <w:tcPr>
            <w:tcW w:w="80" w:type="dxa"/>
            <w:vAlign w:val="bottom"/>
          </w:tcPr>
          <w:p>
            <w:pPr>
              <w:spacing w:after="0"/>
              <w:rPr>
                <w:sz w:val="18"/>
                <w:szCs w:val="18"/>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42,393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42,817</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8/30/2021</w:t>
            </w:r>
          </w:p>
        </w:tc>
        <w:tc>
          <w:tcPr>
            <w:tcW w:w="80" w:type="dxa"/>
            <w:vAlign w:val="bottom"/>
          </w:tcPr>
          <w:p>
            <w:pPr>
              <w:spacing w:after="0"/>
              <w:rPr>
                <w:sz w:val="22"/>
                <w:szCs w:val="22"/>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55,869</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56,428</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12/8/2020</w:t>
            </w:r>
          </w:p>
        </w:tc>
        <w:tc>
          <w:tcPr>
            <w:tcW w:w="80" w:type="dxa"/>
            <w:vAlign w:val="bottom"/>
          </w:tcPr>
          <w:p>
            <w:pPr>
              <w:spacing w:after="0"/>
              <w:rPr>
                <w:sz w:val="22"/>
                <w:szCs w:val="22"/>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30,988</w:t>
            </w:r>
          </w:p>
        </w:tc>
        <w:tc>
          <w:tcPr>
            <w:tcW w:w="80" w:type="dxa"/>
            <w:vAlign w:val="bottom"/>
          </w:tcPr>
          <w:p>
            <w:pPr>
              <w:spacing w:after="0"/>
              <w:rPr>
                <w:sz w:val="22"/>
                <w:szCs w:val="22"/>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30,989</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12/10/2019</w:t>
            </w:r>
          </w:p>
        </w:tc>
        <w:tc>
          <w:tcPr>
            <w:tcW w:w="80" w:type="dxa"/>
            <w:vAlign w:val="bottom"/>
          </w:tcPr>
          <w:p>
            <w:pPr>
              <w:spacing w:after="0"/>
              <w:rPr>
                <w:sz w:val="22"/>
                <w:szCs w:val="22"/>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50,356</w:t>
            </w:r>
          </w:p>
        </w:tc>
        <w:tc>
          <w:tcPr>
            <w:tcW w:w="80" w:type="dxa"/>
            <w:vAlign w:val="bottom"/>
          </w:tcPr>
          <w:p>
            <w:pPr>
              <w:spacing w:after="0"/>
              <w:rPr>
                <w:sz w:val="22"/>
                <w:szCs w:val="22"/>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11,621</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8.03</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-2760345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-2760345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-2760345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-2760345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-2760345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-2760345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-2760345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-2760345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-2760345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-2760345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-2760345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67310</wp:posOffset>
            </wp:positionV>
            <wp:extent cx="8229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35" w:lineRule="exact"/>
        <w:rPr>
          <w:sz w:val="20"/>
          <w:szCs w:val="20"/>
          <w:color w:val="auto"/>
        </w:rPr>
      </w:pPr>
    </w:p>
    <w:p>
      <w:pPr>
        <w:ind w:left="880" w:hanging="348"/>
        <w:spacing w:after="0"/>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Excludes Mr. Beals, who had no outstanding and unvested equity awards at 12/31/22.</w:t>
      </w:r>
    </w:p>
    <w:p>
      <w:pPr>
        <w:spacing w:after="0" w:line="41" w:lineRule="exact"/>
        <w:rPr>
          <w:rFonts w:ascii="Arial" w:cs="Arial" w:eastAsia="Arial" w:hAnsi="Arial"/>
          <w:sz w:val="14"/>
          <w:szCs w:val="14"/>
          <w:color w:val="auto"/>
        </w:rPr>
      </w:pPr>
    </w:p>
    <w:p>
      <w:pPr>
        <w:ind w:left="880" w:hanging="348"/>
        <w:spacing w:after="0"/>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market value is based on the closing price of our common stock as of December 31, 2022 of $1.01 per share.</w:t>
      </w:r>
    </w:p>
    <w:p>
      <w:pPr>
        <w:spacing w:after="0" w:line="41" w:lineRule="exact"/>
        <w:rPr>
          <w:rFonts w:ascii="Arial" w:cs="Arial" w:eastAsia="Arial" w:hAnsi="Arial"/>
          <w:sz w:val="14"/>
          <w:szCs w:val="14"/>
          <w:color w:val="auto"/>
        </w:rPr>
      </w:pPr>
    </w:p>
    <w:p>
      <w:pPr>
        <w:ind w:left="880" w:hanging="348"/>
        <w:spacing w:after="0"/>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RSU award vests in two annual installments beginning on June 16, 2023, subject to continued service with us.</w:t>
      </w:r>
    </w:p>
    <w:p>
      <w:pPr>
        <w:spacing w:after="0" w:line="41" w:lineRule="exact"/>
        <w:rPr>
          <w:rFonts w:ascii="Arial" w:cs="Arial" w:eastAsia="Arial" w:hAnsi="Arial"/>
          <w:sz w:val="14"/>
          <w:szCs w:val="14"/>
          <w:color w:val="auto"/>
        </w:rPr>
      </w:pPr>
    </w:p>
    <w:p>
      <w:pPr>
        <w:ind w:left="880" w:hanging="348"/>
        <w:spacing w:after="0"/>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RSU award vests on June 21, 2023, subject to continued service with us.</w:t>
      </w:r>
    </w:p>
    <w:p>
      <w:pPr>
        <w:spacing w:after="0" w:line="41" w:lineRule="exact"/>
        <w:rPr>
          <w:rFonts w:ascii="Arial" w:cs="Arial" w:eastAsia="Arial" w:hAnsi="Arial"/>
          <w:sz w:val="14"/>
          <w:szCs w:val="14"/>
          <w:color w:val="auto"/>
        </w:rPr>
      </w:pPr>
    </w:p>
    <w:p>
      <w:pPr>
        <w:ind w:left="880" w:right="560" w:hanging="348"/>
        <w:spacing w:after="0" w:line="281" w:lineRule="auto"/>
        <w:tabs>
          <w:tab w:leader="none" w:pos="8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PRSUs will vest in accordance with the performance-based vesting conditions described above under “-Equity-Based Incentive Awards.” The number of shares subject to each named executive officer’s PRSU award assumes threshold achievement.</w:t>
      </w:r>
    </w:p>
    <w:p>
      <w:pPr>
        <w:ind w:left="880" w:right="540" w:hanging="348"/>
        <w:spacing w:after="0" w:line="253"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RSU award vests in seven equal quarterly installments beginning on February 15, 2023, subject to continued service with us.</w:t>
      </w:r>
    </w:p>
    <w:p>
      <w:pPr>
        <w:spacing w:after="0" w:line="11" w:lineRule="exact"/>
        <w:rPr>
          <w:rFonts w:ascii="Arial" w:cs="Arial" w:eastAsia="Arial" w:hAnsi="Arial"/>
          <w:sz w:val="14"/>
          <w:szCs w:val="14"/>
          <w:color w:val="auto"/>
        </w:rPr>
      </w:pPr>
    </w:p>
    <w:p>
      <w:pPr>
        <w:ind w:left="880" w:right="540" w:hanging="348"/>
        <w:spacing w:after="0" w:line="253"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Class P Unit award vests in two monthly installments beginning on January 25, 2023, subject to continued service with us.</w:t>
      </w:r>
    </w:p>
    <w:p>
      <w:pPr>
        <w:spacing w:after="0" w:line="11" w:lineRule="exact"/>
        <w:rPr>
          <w:rFonts w:ascii="Arial" w:cs="Arial" w:eastAsia="Arial" w:hAnsi="Arial"/>
          <w:sz w:val="14"/>
          <w:szCs w:val="14"/>
          <w:color w:val="auto"/>
        </w:rPr>
      </w:pPr>
    </w:p>
    <w:p>
      <w:pPr>
        <w:ind w:left="880" w:right="560" w:hanging="348"/>
        <w:spacing w:after="0" w:line="253"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Class P Unit award vests in eight quarterly installments beginning on March 8, 2023, subject to continued service with us.</w:t>
      </w:r>
    </w:p>
    <w:p>
      <w:pPr>
        <w:spacing w:after="0" w:line="11" w:lineRule="exact"/>
        <w:rPr>
          <w:rFonts w:ascii="Arial" w:cs="Arial" w:eastAsia="Arial" w:hAnsi="Arial"/>
          <w:sz w:val="14"/>
          <w:szCs w:val="14"/>
          <w:color w:val="auto"/>
        </w:rPr>
      </w:pPr>
    </w:p>
    <w:p>
      <w:pPr>
        <w:ind w:left="880" w:right="540" w:hanging="348"/>
        <w:spacing w:after="0" w:line="253"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Class P Unit award vests in two quarterly installments beginning on February 6, 2023, subject to continued service with us.</w:t>
      </w:r>
    </w:p>
    <w:p>
      <w:pPr>
        <w:spacing w:after="0" w:line="11" w:lineRule="exact"/>
        <w:rPr>
          <w:rFonts w:ascii="Arial" w:cs="Arial" w:eastAsia="Arial" w:hAnsi="Arial"/>
          <w:sz w:val="14"/>
          <w:szCs w:val="14"/>
          <w:color w:val="auto"/>
        </w:rPr>
      </w:pPr>
    </w:p>
    <w:p>
      <w:pPr>
        <w:ind w:left="880" w:right="560" w:hanging="348"/>
        <w:spacing w:after="0" w:line="253"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RSU award vests in thirteen equal quarterly installments beginning on February 15, 2023, subject to continued service with us.</w:t>
      </w:r>
    </w:p>
    <w:p>
      <w:pPr>
        <w:spacing w:after="0" w:line="11" w:lineRule="exact"/>
        <w:rPr>
          <w:rFonts w:ascii="Arial" w:cs="Arial" w:eastAsia="Arial" w:hAnsi="Arial"/>
          <w:sz w:val="14"/>
          <w:szCs w:val="14"/>
          <w:color w:val="auto"/>
        </w:rPr>
      </w:pPr>
    </w:p>
    <w:p>
      <w:pPr>
        <w:ind w:left="880" w:right="560" w:hanging="348"/>
        <w:spacing w:after="0" w:line="253"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RSU award vests in eleven equal quarterly installments beginning on February 15, 2023, subject to continued service with us.</w:t>
      </w:r>
    </w:p>
    <w:p>
      <w:pPr>
        <w:spacing w:after="0" w:line="11" w:lineRule="exact"/>
        <w:rPr>
          <w:rFonts w:ascii="Arial" w:cs="Arial" w:eastAsia="Arial" w:hAnsi="Arial"/>
          <w:sz w:val="14"/>
          <w:szCs w:val="14"/>
          <w:color w:val="auto"/>
        </w:rPr>
      </w:pPr>
    </w:p>
    <w:p>
      <w:pPr>
        <w:ind w:left="880" w:right="560" w:hanging="348"/>
        <w:spacing w:after="0" w:line="253"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Class P Unit award vests in eight quarterly installments beginning on January 12, 2023, subject to continued service with us.</w:t>
      </w:r>
    </w:p>
    <w:p>
      <w:pPr>
        <w:spacing w:after="0" w:line="11" w:lineRule="exact"/>
        <w:rPr>
          <w:rFonts w:ascii="Arial" w:cs="Arial" w:eastAsia="Arial" w:hAnsi="Arial"/>
          <w:sz w:val="14"/>
          <w:szCs w:val="14"/>
          <w:color w:val="auto"/>
        </w:rPr>
      </w:pPr>
    </w:p>
    <w:p>
      <w:pPr>
        <w:ind w:left="880" w:right="540" w:hanging="348"/>
        <w:spacing w:after="0" w:line="253"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Class P Unit award vests in three quarterly installments beginning on March 09, 2023, subject to continued service with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126365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1440" w:gutter="0" w:footer="0" w:header="0"/>
        </w:sectPr>
      </w:pPr>
    </w:p>
    <w:bookmarkStart w:id="47" w:name="page48"/>
    <w:bookmarkEnd w:id="4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to Summary Compensation Table and Grants of Plan-Based Awards Table</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For 2022, the compensation programs for our Named Executive Officers consisted of base salary, cash bonuses and equity-based incentive awards.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2022, Messrs. Beals, Lee, Feijoo, Dean, Grazier and Camire were each eligible for annual cash bonus awards of up to 60%, 50%, 70%, 25%, 50% and 25% respectively, of their annual salary subject to the attainment of performance goals set by our compensation committee. In 2022, Messrs. Beals, Lee, Feijoo, Dean, Grazier and Camire received annual cash bonus awards of 0%, 6%, 0%, 0%, 41% and 3% respectively, of their annual salary (excluding severance payments for Messrs. Beals, Feijoo and Dean).</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As disclosed in our proxy statement for the 2021 fiscal year, we granted RSU and PRSUs in December 2021 to our then current Named Executive Officers. During fiscal year 2022 we did not grant any additional awards to our current Named Executive Officers other than the grant to Mr. Francis in connection with his service as a Director and the grant to Mr. Grazier described below.</w:t>
      </w:r>
    </w:p>
    <w:p>
      <w:pPr>
        <w:spacing w:after="0" w:line="7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On March 1, 2022, we granted Mr. Grazier 52,173 RSUs under our 2021 Equity Plan, which vest in equal quarterly installments over four years commencing on the first vest date. Vesting terminates upon Mr. Grazier’s termination of continuous service with us.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Mr. Francis was only granted RSUs pursuant to our Non-Employee Director Policy.</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accidental death and dismemberment insurance; and a tax-qualified Section 401(k) plan. With the exception of life insurance and long-term disability insurance, we do not maintain any executive-specific benefit or executive perquisite programs.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up to the contribution limits prescribed by the Code and applicable regulations or notices. All participants’ interests in their deferrals are 100% vested when contributed. We make matching contributions of 100% of each participant’s elective deferrals of the first 1% of such participant’s eligible compensation that is contributed plus 50% of each participant’s elective deferrals of the next 2% to 6% of such participant’s eligible compensation that is contributed, up to a maximum matching contribution of 3.5% of eligible compensation.</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Each of our Named Executive Officers, other than Mr. Francis, have (or had) entered into an offer letter with Ghost Management Group, LLC, which provides for employment on an at-will basis. Mr. Francis did not have a written service agreement in 2022.</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Christopher Beals</w:t>
      </w:r>
    </w:p>
    <w:p>
      <w:pPr>
        <w:spacing w:after="0" w:line="117"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Pursuant to the terms of the offer letter, Mr. Beals’ annual base salary was $600,000. Mr. Beals also was eligible to participate in the employee benefit plans generally available to our employees and maintained by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On November 7, 2022, we entered into a Separation Agreement with Mr. Beals (the “Beals Separation Agreement”), providing for the terms of Mr. Beals’ separation from employment and service as a Director with us. Under the Beals Separation Agreement, we have agreed to provide Mr. Beals with the following separation payments and benefits in lieu of any payments or benefits he may otherwise have been entitled to under the terms of his employment agreement: severance equal to twelve months of base salary; one year of paid COBRA premiums (which cease in the event of new coverage with a subsequent employer); an additional severance payment equal to his 2022 target bonus; and vesting acceleration of 292,969 RSUs. The Beals Separation Agreement contains a release of claims, subject to customary exceptions. The foregoing description of the Beals Separation Agreement does not purport to be complete and is qualified in its entirety by reference to the Beals Separation Agreement, a copy of which was filed with our Annual Report on Form 10-K for the year ended December 31, 2022 as Exhibit 10.18.</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Arden Lee</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Mr. Lee previously entered into an offer letter with Ghost Management Group, LLC, dated February 5, 2019. Pursuant to the terms of the offer letter, Mr. Lee’s current annual base salary is $500,000. Mr. Lee also is eligible to participate in the employee benefit plans generally available to our employees and maintained by us.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Juanjo Feijoo</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Mr. Feijoo previously entered into an offer letter with Ghost Management Group, LLC, dated April 30, 2019. Pursuant to the terms of the offer letter, Mr. Feijoo’s annual base salary was $400,000, which increased to $440,000 following his promotion to Chief Operating Officer. Mr. Feijoo also was eligible to participate in the employee benefit plans generally available to our employees and maintained by us.</w:t>
      </w:r>
    </w:p>
    <w:p>
      <w:pPr>
        <w:spacing w:after="0" w:line="7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On January 5, 2023, Mr. Feijoo and Ghost Management Group, LLC entered into a Separation and Release Agreement (the “Feijoo Separation Agreement”), providing for the terms of Mr. Feijoo’s separation from employment with us. Under the Feijoo Separation Agreement, Ghost Management Group, LLC has agreed to provide Mr. Feijoo with the following separation payments and benefits in lieu of any payments or benefits he may otherwise have been entitled to under the terms of his employment agreement: severance equal to nine months of base salary plus seventy-five percent (75%) of Mr. Feijoo’s Target Bonus under the Company’s Severance and Change in Control Plan, less any applicable taxes, deductions and withholdings; and nine months of paid COBRA premiums (which cease in the event of new coverage with a subsequent employer). The Feijoo Separation Agreement contains a release of claims, subject to customary exceptions. The foregoing description of the Feijoo Separation Agreement does not purport to be complete and is qualified in its entirety by reference to the Feijoo Separation Agreement, a copy of which was filed with our Annual Report on Form 10-K for the year ended December 31, 2022 as Exhibit 10.16.</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Justin Dean</w:t>
      </w:r>
    </w:p>
    <w:p>
      <w:pPr>
        <w:spacing w:after="0" w:line="11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Mr. Dean previously entered into an offer letter with Ghost Management Group, LLC, dated October 3, 2018. Pursuant to the terms of the offer letter, Mr. Dean’s annual base salary was $475,000 per year. Mr. Dean also was eligible to participate in the employee benefit plans generally available to our employees and maintained by us.</w:t>
      </w:r>
    </w:p>
    <w:p>
      <w:pPr>
        <w:spacing w:after="0" w:line="4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On December 5, 2022, Mr. Dean and Ghost Management Group, LLC entered into a Separation and Release Agreement (the “Dean Separation Agreement”), providing for the terms of Mr. Dean’s separation from employment with us. Under the Dean Separation Agreement, Ghost Management Group, LLC agreed to provide Mr. Dean with the following separation payments and benefits in lieu of any payments or benefits he may otherwise have been entitled to under the terms of his employment agreement: severance equal to nine months of base salary less any applicable taxes, deductions and withholdings; and nine months of paid COBRA premiums (which cease in the event of new coverage with a subsequent employer). The Dean Separation Agreement contains a release of claims, subject to customary exceptions. The foregoing description of the Dean Separation Agreement does not purport to be complete and is qualified in its entirety by reference to the Dean Separation Agreement, a copy of which was filed with our Annual Report on Form 10-K for the year ended December 31, 2022 as Exhibit 10.17.</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Duncan Grazier</w:t>
      </w:r>
    </w:p>
    <w:p>
      <w:pPr>
        <w:spacing w:after="0" w:line="117"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Mr. Grazier previously entered into an offer letter with Ghost Management Group, LLC, dated August 20, 2019. Pursuant to the terms of the offer letter, Mr. Grazier’s annual base salary was $250,000 per year, which increased to $402,500 following his promotion to Senior Vice President, Engineering. Mr. Grazier also was eligible to participate in the employee benefit plans generally available to our employees and maintained by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Brian Camire</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shows certain information regarding equity awards vested with respect to the Named Executive Officers in 2022:</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Equity Awards</w:t>
            </w:r>
          </w:p>
        </w:tc>
        <w:tc>
          <w:tcPr>
            <w:tcW w:w="0" w:type="dxa"/>
            <w:vAlign w:val="bottom"/>
          </w:tcPr>
          <w:p>
            <w:pPr>
              <w:spacing w:after="0"/>
              <w:rPr>
                <w:sz w:val="1"/>
                <w:szCs w:val="1"/>
                <w:color w:val="auto"/>
              </w:rPr>
            </w:pPr>
          </w:p>
        </w:tc>
      </w:tr>
      <w:tr>
        <w:trPr>
          <w:trHeight w:val="53"/>
        </w:trPr>
        <w:tc>
          <w:tcPr>
            <w:tcW w:w="6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Number of 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Named</w:t>
            </w:r>
          </w:p>
        </w:tc>
        <w:tc>
          <w:tcPr>
            <w:tcW w:w="160" w:type="dxa"/>
            <w:vAlign w:val="bottom"/>
            <w:vMerge w:val="restart"/>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Vesting (#)</w:t>
            </w: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0" w:type="dxa"/>
            <w:vAlign w:val="bottom"/>
          </w:tcPr>
          <w:p>
            <w:pPr>
              <w:spacing w:after="0"/>
              <w:rPr>
                <w:sz w:val="1"/>
                <w:szCs w:val="1"/>
                <w:color w:val="auto"/>
              </w:rPr>
            </w:pPr>
          </w:p>
        </w:tc>
      </w:tr>
      <w:tr>
        <w:trPr>
          <w:trHeight w:val="298"/>
        </w:trPr>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Douglas Francis</w:t>
            </w:r>
          </w:p>
        </w:tc>
        <w:tc>
          <w:tcPr>
            <w:tcW w:w="1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7"/>
                <w:szCs w:val="17"/>
                <w:color w:val="auto"/>
              </w:rPr>
              <w:t>10,093</w:t>
            </w: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47,033</w:t>
            </w:r>
          </w:p>
        </w:tc>
        <w:tc>
          <w:tcPr>
            <w:tcW w:w="0" w:type="dxa"/>
            <w:vAlign w:val="bottom"/>
          </w:tcPr>
          <w:p>
            <w:pPr>
              <w:spacing w:after="0"/>
              <w:rPr>
                <w:sz w:val="1"/>
                <w:szCs w:val="1"/>
                <w:color w:val="auto"/>
              </w:rPr>
            </w:pPr>
          </w:p>
        </w:tc>
      </w:tr>
      <w:tr>
        <w:trPr>
          <w:trHeight w:val="253"/>
        </w:trPr>
        <w:tc>
          <w:tcPr>
            <w:tcW w:w="6200" w:type="dxa"/>
            <w:vAlign w:val="bottom"/>
            <w:gridSpan w:val="2"/>
          </w:tcPr>
          <w:p>
            <w:pPr>
              <w:spacing w:after="0"/>
              <w:rPr>
                <w:sz w:val="20"/>
                <w:szCs w:val="20"/>
                <w:color w:val="auto"/>
              </w:rPr>
            </w:pPr>
            <w:r>
              <w:rPr>
                <w:rFonts w:ascii="Arial" w:cs="Arial" w:eastAsia="Arial" w:hAnsi="Arial"/>
                <w:sz w:val="17"/>
                <w:szCs w:val="17"/>
                <w:color w:val="auto"/>
              </w:rPr>
              <w:t>Christopher Beals</w:t>
            </w:r>
          </w:p>
        </w:tc>
        <w:tc>
          <w:tcPr>
            <w:tcW w:w="1140" w:type="dxa"/>
            <w:vAlign w:val="bottom"/>
          </w:tcPr>
          <w:p>
            <w:pPr>
              <w:jc w:val="right"/>
              <w:ind w:right="219"/>
              <w:spacing w:after="0"/>
              <w:rPr>
                <w:sz w:val="20"/>
                <w:szCs w:val="20"/>
                <w:color w:val="auto"/>
              </w:rPr>
            </w:pPr>
            <w:r>
              <w:rPr>
                <w:rFonts w:ascii="Arial" w:cs="Arial" w:eastAsia="Arial" w:hAnsi="Arial"/>
                <w:sz w:val="17"/>
                <w:szCs w:val="17"/>
                <w:color w:val="auto"/>
              </w:rPr>
              <w:t>488,281</w:t>
            </w:r>
          </w:p>
        </w:tc>
        <w:tc>
          <w:tcPr>
            <w:tcW w:w="1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1,497,719</w:t>
            </w:r>
          </w:p>
        </w:tc>
        <w:tc>
          <w:tcPr>
            <w:tcW w:w="0" w:type="dxa"/>
            <w:vAlign w:val="bottom"/>
          </w:tcPr>
          <w:p>
            <w:pPr>
              <w:spacing w:after="0"/>
              <w:rPr>
                <w:sz w:val="1"/>
                <w:szCs w:val="1"/>
                <w:color w:val="auto"/>
              </w:rPr>
            </w:pPr>
          </w:p>
        </w:tc>
      </w:tr>
      <w:tr>
        <w:trPr>
          <w:trHeight w:val="58"/>
        </w:trPr>
        <w:tc>
          <w:tcPr>
            <w:tcW w:w="6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Arden Lee</w:t>
            </w:r>
          </w:p>
        </w:tc>
        <w:tc>
          <w:tcPr>
            <w:tcW w:w="1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7"/>
                <w:szCs w:val="17"/>
                <w:color w:val="auto"/>
              </w:rPr>
              <w:t>208,332</w:t>
            </w: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816,661</w:t>
            </w:r>
          </w:p>
        </w:tc>
        <w:tc>
          <w:tcPr>
            <w:tcW w:w="0" w:type="dxa"/>
            <w:vAlign w:val="bottom"/>
          </w:tcPr>
          <w:p>
            <w:pPr>
              <w:spacing w:after="0"/>
              <w:rPr>
                <w:sz w:val="1"/>
                <w:szCs w:val="1"/>
                <w:color w:val="auto"/>
              </w:rPr>
            </w:pPr>
          </w:p>
        </w:tc>
      </w:tr>
      <w:tr>
        <w:trPr>
          <w:trHeight w:val="253"/>
        </w:trPr>
        <w:tc>
          <w:tcPr>
            <w:tcW w:w="6200" w:type="dxa"/>
            <w:vAlign w:val="bottom"/>
            <w:gridSpan w:val="2"/>
          </w:tcPr>
          <w:p>
            <w:pPr>
              <w:spacing w:after="0"/>
              <w:rPr>
                <w:sz w:val="20"/>
                <w:szCs w:val="20"/>
                <w:color w:val="auto"/>
              </w:rPr>
            </w:pPr>
            <w:r>
              <w:rPr>
                <w:rFonts w:ascii="Arial" w:cs="Arial" w:eastAsia="Arial" w:hAnsi="Arial"/>
                <w:sz w:val="17"/>
                <w:szCs w:val="17"/>
                <w:color w:val="auto"/>
              </w:rPr>
              <w:t>Juanjo Feijoo</w:t>
            </w:r>
          </w:p>
        </w:tc>
        <w:tc>
          <w:tcPr>
            <w:tcW w:w="1140" w:type="dxa"/>
            <w:vAlign w:val="bottom"/>
          </w:tcPr>
          <w:p>
            <w:pPr>
              <w:jc w:val="right"/>
              <w:ind w:right="219"/>
              <w:spacing w:after="0"/>
              <w:rPr>
                <w:sz w:val="20"/>
                <w:szCs w:val="20"/>
                <w:color w:val="auto"/>
              </w:rPr>
            </w:pPr>
            <w:r>
              <w:rPr>
                <w:rFonts w:ascii="Arial" w:cs="Arial" w:eastAsia="Arial" w:hAnsi="Arial"/>
                <w:sz w:val="17"/>
                <w:szCs w:val="17"/>
                <w:color w:val="auto"/>
              </w:rPr>
              <w:t>156,248</w:t>
            </w:r>
          </w:p>
        </w:tc>
        <w:tc>
          <w:tcPr>
            <w:tcW w:w="1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612,492</w:t>
            </w:r>
          </w:p>
        </w:tc>
        <w:tc>
          <w:tcPr>
            <w:tcW w:w="0" w:type="dxa"/>
            <w:vAlign w:val="bottom"/>
          </w:tcPr>
          <w:p>
            <w:pPr>
              <w:spacing w:after="0"/>
              <w:rPr>
                <w:sz w:val="1"/>
                <w:szCs w:val="1"/>
                <w:color w:val="auto"/>
              </w:rPr>
            </w:pPr>
          </w:p>
        </w:tc>
      </w:tr>
      <w:tr>
        <w:trPr>
          <w:trHeight w:val="58"/>
        </w:trPr>
        <w:tc>
          <w:tcPr>
            <w:tcW w:w="6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Justin Dean</w:t>
            </w:r>
          </w:p>
        </w:tc>
        <w:tc>
          <w:tcPr>
            <w:tcW w:w="1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7"/>
                <w:szCs w:val="17"/>
                <w:color w:val="auto"/>
              </w:rPr>
              <w:t>109,372</w:t>
            </w: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428,738</w:t>
            </w:r>
          </w:p>
        </w:tc>
        <w:tc>
          <w:tcPr>
            <w:tcW w:w="0" w:type="dxa"/>
            <w:vAlign w:val="bottom"/>
          </w:tcPr>
          <w:p>
            <w:pPr>
              <w:spacing w:after="0"/>
              <w:rPr>
                <w:sz w:val="1"/>
                <w:szCs w:val="1"/>
                <w:color w:val="auto"/>
              </w:rPr>
            </w:pPr>
          </w:p>
        </w:tc>
      </w:tr>
      <w:tr>
        <w:trPr>
          <w:trHeight w:val="253"/>
        </w:trPr>
        <w:tc>
          <w:tcPr>
            <w:tcW w:w="6200" w:type="dxa"/>
            <w:vAlign w:val="bottom"/>
            <w:gridSpan w:val="2"/>
          </w:tcPr>
          <w:p>
            <w:pPr>
              <w:spacing w:after="0"/>
              <w:rPr>
                <w:sz w:val="20"/>
                <w:szCs w:val="20"/>
                <w:color w:val="auto"/>
              </w:rPr>
            </w:pPr>
            <w:r>
              <w:rPr>
                <w:rFonts w:ascii="Arial" w:cs="Arial" w:eastAsia="Arial" w:hAnsi="Arial"/>
                <w:sz w:val="17"/>
                <w:szCs w:val="17"/>
                <w:color w:val="auto"/>
              </w:rPr>
              <w:t>Brian Camire</w:t>
            </w:r>
          </w:p>
        </w:tc>
        <w:tc>
          <w:tcPr>
            <w:tcW w:w="1140" w:type="dxa"/>
            <w:vAlign w:val="bottom"/>
          </w:tcPr>
          <w:p>
            <w:pPr>
              <w:jc w:val="right"/>
              <w:ind w:right="219"/>
              <w:spacing w:after="0"/>
              <w:rPr>
                <w:sz w:val="20"/>
                <w:szCs w:val="20"/>
                <w:color w:val="auto"/>
              </w:rPr>
            </w:pPr>
            <w:r>
              <w:rPr>
                <w:rFonts w:ascii="Arial" w:cs="Arial" w:eastAsia="Arial" w:hAnsi="Arial"/>
                <w:sz w:val="17"/>
                <w:szCs w:val="17"/>
                <w:color w:val="auto"/>
              </w:rPr>
              <w:t>78,124</w:t>
            </w:r>
          </w:p>
        </w:tc>
        <w:tc>
          <w:tcPr>
            <w:tcW w:w="1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306,246</w:t>
            </w:r>
          </w:p>
        </w:tc>
        <w:tc>
          <w:tcPr>
            <w:tcW w:w="0" w:type="dxa"/>
            <w:vAlign w:val="bottom"/>
          </w:tcPr>
          <w:p>
            <w:pPr>
              <w:spacing w:after="0"/>
              <w:rPr>
                <w:sz w:val="1"/>
                <w:szCs w:val="1"/>
                <w:color w:val="auto"/>
              </w:rPr>
            </w:pPr>
          </w:p>
        </w:tc>
      </w:tr>
      <w:tr>
        <w:trPr>
          <w:trHeight w:val="58"/>
        </w:trPr>
        <w:tc>
          <w:tcPr>
            <w:tcW w:w="6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Duncan Grazier</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rPr>
              <w:t>35,177</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98,210</w:t>
            </w:r>
          </w:p>
        </w:tc>
        <w:tc>
          <w:tcPr>
            <w:tcW w:w="0" w:type="dxa"/>
            <w:vAlign w:val="bottom"/>
          </w:tcPr>
          <w:p>
            <w:pPr>
              <w:spacing w:after="0"/>
              <w:rPr>
                <w:sz w:val="1"/>
                <w:szCs w:val="1"/>
                <w:color w:val="auto"/>
              </w:rPr>
            </w:pPr>
          </w:p>
        </w:tc>
      </w:tr>
      <w:tr>
        <w:trPr>
          <w:trHeight w:val="58"/>
        </w:trPr>
        <w:tc>
          <w:tcPr>
            <w:tcW w:w="6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-1397000</wp:posOffset>
            </wp:positionV>
            <wp:extent cx="94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-1397000</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299" w:hanging="348"/>
        <w:spacing w:after="0" w:line="290" w:lineRule="auto"/>
        <w:tabs>
          <w:tab w:leader="none" w:pos="6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value realized upon vesting of RSUs was calculated by multiplying the number of shares vested by the closing price of our Class A common stock on the vesting date. The value realized was determined without considering any taxes that may have been owed.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Pay-Ratio Information</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Under the Dodd-Frank Act and the related SEC rule (the “Rule”), we are required to provide to our stockholders specified disclosure regarding the relationship of our Principal Executive Officer’s (“PEO”) total compensation to the total compensation of our median employee, referred to as “pay-ratio” disclosure.</w:t>
      </w:r>
    </w:p>
    <w:p>
      <w:pPr>
        <w:spacing w:after="0" w:line="5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For 2022, the estimated median of the annual total compensation of all of our employees, excluding our former Chief Executive Officer, was $162,949 and the annual total compensation of our former Chief Executive Officer, as reported in the Summary Compensation Table included in this Proxy Statement, was $2,136,675. Based on this information, the ratio of the annual total compensation of our former Chief Executive Officer to the median of the annual total compensation of all other employees was estimated to be 13.1 to 1.</w:t>
      </w:r>
    </w:p>
    <w:p>
      <w:pPr>
        <w:spacing w:after="0" w:line="6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For purposes of determining PEO compensation, we only included 2022 compensation paid to Mr. Beals who served as our PEO through November 7, 2022. Mr. Francis, who began serving as our PEO on November 7, 2022 was only compensated in 2022 for his service as a member of the Board and received no additional compensation in 2022 for his service as the PEO.</w:t>
      </w:r>
    </w:p>
    <w:p>
      <w:pPr>
        <w:spacing w:after="0" w:line="7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pay ratio above represents the Company’s reasonable estimate calculated in a manner consistent with the Rule and applicable guidance. The Rule and guidance provide significant flexibility in how to identify the median employee, and each company may use a different methodology and make different assumptions particular to the company. As a result, as the SEC explained when it adopted the Rule, in considering the pay-ratio disclosure, stockholders should keep in mind that the Rule was not designed to facilitate comparisons of pay ratios among different companies, even companies within the same industry, but rather to allow stockholders to better understand and assess each particular company’s compensation practices and pay-ratio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In determining the pay ratio information provided above, we identified our “median employee” by using the following methodology, as permitted by the Rule:</w:t>
      </w:r>
    </w:p>
    <w:p>
      <w:pPr>
        <w:spacing w:after="0" w:line="62" w:lineRule="exact"/>
        <w:rPr>
          <w:sz w:val="20"/>
          <w:szCs w:val="20"/>
          <w:color w:val="auto"/>
        </w:rPr>
      </w:pPr>
    </w:p>
    <w:p>
      <w:pPr>
        <w:jc w:val="both"/>
        <w:ind w:left="1000" w:right="319" w:hanging="348"/>
        <w:spacing w:after="0" w:line="311"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selected December 31, 2022, as the date upon which we would identify our employee population and median employee, and, from our tax and payroll records, we compiled a list of all our employees who were employed on that date, including employees working both within and outside of the United States.</w:t>
      </w:r>
    </w:p>
    <w:p>
      <w:pPr>
        <w:spacing w:after="0" w:line="40" w:lineRule="exact"/>
        <w:rPr>
          <w:rFonts w:ascii="Arial" w:cs="Arial" w:eastAsia="Arial" w:hAnsi="Arial"/>
          <w:sz w:val="16"/>
          <w:szCs w:val="16"/>
          <w:color w:val="auto"/>
        </w:rPr>
      </w:pPr>
    </w:p>
    <w:p>
      <w:pPr>
        <w:jc w:val="both"/>
        <w:ind w:left="1000" w:right="299" w:hanging="348"/>
        <w:spacing w:after="0" w:line="272"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Total cash compensation during the 2022 fiscal year was used as a consistently applied compensation measure to identify our median employee from the employees on the list. For this purpose, we define total cash compensation as the sum of base wages, annual incentives payable in cash, stock awards, 401(k) employer contributions, and severance payments during the year. We did not annualize the total cash compensation of any permanent employees who were employed for less than the full year. For employees working outside of the United States, total cash compensation was converted to U.S. dollars using the exchange rate on December 31, 2022.</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Applying the methodology described above, we determined that our median employee was a Software Engineer II located in the United States.</w:t>
      </w:r>
    </w:p>
    <w:p>
      <w:pPr>
        <w:spacing w:after="0" w:line="62"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For 2022, we calculated the annual total compensation of the median employee using the same methodology that we used to determine the annual total compensation of our former Chief Executive Officer, as reported in the Summary Compensation Table of this proxy statement.</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SEC’s pay ratio disclosure rules provide reporting companies with a great deal of flexibility in determining the methodology used to identify the median employee and the pay ratio. As such, our methodology may differ materially from the methodology used by other companies to prepare their pay ratio disclosures, which may contribute to a lack of comparability between our pay ratio and the pay ratio reported by other companies, including those within our industry.</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Each of Mr. Lee and Mr. Camire is eligible to participate in the Severance Plan, which provides certain benefits.</w:t>
      </w:r>
    </w:p>
    <w:p>
      <w:pPr>
        <w:spacing w:after="0" w:line="129"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The Severance Plan provides for severance and change in control benefits to our Named Executive Officers upon a “change in control termination” or a “regular termination” (each, as described below). Upon a change in control termination, each of Mr. Lee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4" w:lineRule="exact"/>
        <w:rPr>
          <w:sz w:val="20"/>
          <w:szCs w:val="20"/>
          <w:color w:val="auto"/>
        </w:rPr>
      </w:pPr>
    </w:p>
    <w:p>
      <w:pPr>
        <w:jc w:val="both"/>
        <w:ind w:left="300" w:right="299" w:hanging="8"/>
        <w:spacing w:after="0" w:line="271" w:lineRule="auto"/>
        <w:tabs>
          <w:tab w:leader="none" w:pos="617" w:val="left"/>
        </w:tabs>
        <w:numPr>
          <w:ilvl w:val="0"/>
          <w:numId w:val="55"/>
        </w:numPr>
        <w:rPr>
          <w:rFonts w:ascii="Arial" w:cs="Arial" w:eastAsia="Arial" w:hAnsi="Arial"/>
          <w:sz w:val="17"/>
          <w:szCs w:val="17"/>
          <w:color w:val="auto"/>
        </w:rPr>
      </w:pPr>
      <w:r>
        <w:rPr>
          <w:rFonts w:ascii="Arial" w:cs="Arial" w:eastAsia="Arial" w:hAnsi="Arial"/>
          <w:sz w:val="17"/>
          <w:szCs w:val="17"/>
          <w:color w:val="auto"/>
        </w:rPr>
        <w:t>payment of group health insurance premiums for 12 months. Upon a regular termination, each of Mr. Lee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0"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5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Messrs. Feijoo, Dean and Beals were paid pursuant to separation agreements as reflected in Exhibits 10.16, 10.17 and 10.18, respectively, included in our Annual Report on Form 10-K for the year ended December 31, 2022, and as described in “Executive Compensation Arrangements”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2022 and in the case of Messrs. Beals, Feijoo and Dean, did receive, in connection with their termination in 2022.</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Continued</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7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00" w:type="dxa"/>
            <w:vAlign w:val="bottom"/>
            <w:vMerge w:val="restart"/>
          </w:tcPr>
          <w:p>
            <w:pPr>
              <w:spacing w:after="0"/>
              <w:rPr>
                <w:sz w:val="20"/>
                <w:szCs w:val="20"/>
                <w:color w:val="auto"/>
              </w:rPr>
            </w:pPr>
            <w:r>
              <w:rPr>
                <w:rFonts w:ascii="Arial" w:cs="Arial" w:eastAsia="Arial" w:hAnsi="Arial"/>
                <w:sz w:val="28"/>
                <w:szCs w:val="28"/>
                <w:b w:val="1"/>
                <w:bCs w:val="1"/>
                <w:color w:val="auto"/>
                <w:vertAlign w:val="subscript"/>
              </w:rPr>
              <w:t>Name</w:t>
            </w:r>
            <w:r>
              <w:rPr>
                <w:rFonts w:ascii="Arial" w:cs="Arial" w:eastAsia="Arial" w:hAnsi="Arial"/>
                <w:sz w:val="12"/>
                <w:szCs w:val="12"/>
                <w:b w:val="1"/>
                <w:bCs w:val="1"/>
                <w:color w:val="auto"/>
              </w:rPr>
              <w:t>(1)(2)</w:t>
            </w:r>
          </w:p>
        </w:tc>
        <w:tc>
          <w:tcPr>
            <w:tcW w:w="160" w:type="dxa"/>
            <w:vAlign w:val="bottom"/>
          </w:tcPr>
          <w:p>
            <w:pPr>
              <w:spacing w:after="0"/>
              <w:rPr>
                <w:sz w:val="12"/>
                <w:szCs w:val="12"/>
                <w:color w:val="auto"/>
              </w:rPr>
            </w:pPr>
          </w:p>
        </w:tc>
        <w:tc>
          <w:tcPr>
            <w:tcW w:w="26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Triggering Event</w:t>
            </w:r>
          </w:p>
        </w:tc>
        <w:tc>
          <w:tcPr>
            <w:tcW w:w="16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Benefits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7"/>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Arden Lee</w:t>
            </w:r>
          </w:p>
        </w:tc>
        <w:tc>
          <w:tcPr>
            <w:tcW w:w="16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Involuntary Termination (non-CIC)</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375,000</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187,500</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20,907</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583,407</w:t>
            </w:r>
          </w:p>
        </w:tc>
        <w:tc>
          <w:tcPr>
            <w:tcW w:w="0" w:type="dxa"/>
            <w:vAlign w:val="bottom"/>
          </w:tcPr>
          <w:p>
            <w:pPr>
              <w:spacing w:after="0"/>
              <w:rPr>
                <w:sz w:val="1"/>
                <w:szCs w:val="1"/>
                <w:color w:val="auto"/>
              </w:rPr>
            </w:pPr>
          </w:p>
        </w:tc>
      </w:tr>
      <w:tr>
        <w:trPr>
          <w:trHeight w:val="310"/>
        </w:trPr>
        <w:tc>
          <w:tcPr>
            <w:tcW w:w="1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Involuntary Termination during</w:t>
            </w: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CIC period</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27,876</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999,481</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1,777,357</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Brian Camire</w:t>
            </w:r>
          </w:p>
        </w:tc>
        <w:tc>
          <w:tcPr>
            <w:tcW w:w="16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Involuntary Termination (non-CIC)</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307,500</w:t>
            </w:r>
          </w:p>
        </w:tc>
        <w:tc>
          <w:tcPr>
            <w:tcW w:w="16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76,875</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14,603</w:t>
            </w:r>
          </w:p>
        </w:tc>
        <w:tc>
          <w:tcPr>
            <w:tcW w:w="1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398,978</w:t>
            </w:r>
          </w:p>
        </w:tc>
        <w:tc>
          <w:tcPr>
            <w:tcW w:w="0" w:type="dxa"/>
            <w:vAlign w:val="bottom"/>
          </w:tcPr>
          <w:p>
            <w:pPr>
              <w:spacing w:after="0"/>
              <w:rPr>
                <w:sz w:val="1"/>
                <w:szCs w:val="1"/>
                <w:color w:val="auto"/>
              </w:rPr>
            </w:pPr>
          </w:p>
        </w:tc>
      </w:tr>
      <w:tr>
        <w:trPr>
          <w:trHeight w:val="310"/>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Involuntary Termination during</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CIC period</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410,000</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102,500</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19,470</w:t>
            </w:r>
          </w:p>
        </w:tc>
        <w:tc>
          <w:tcPr>
            <w:tcW w:w="16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374,806</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906,776</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 Beals</w:t>
            </w:r>
          </w:p>
        </w:tc>
        <w:tc>
          <w:tcPr>
            <w:tcW w:w="16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Separation Agreement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360,000</w:t>
            </w:r>
          </w:p>
        </w:tc>
        <w:tc>
          <w:tcPr>
            <w:tcW w:w="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27,998</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565,430</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1,553,428</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Justin Dean</w:t>
            </w:r>
          </w:p>
        </w:tc>
        <w:tc>
          <w:tcPr>
            <w:tcW w:w="16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Separation Agreement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356,250</w:t>
            </w:r>
          </w:p>
        </w:tc>
        <w:tc>
          <w:tcPr>
            <w:tcW w:w="16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20,998</w:t>
            </w:r>
          </w:p>
        </w:tc>
        <w:tc>
          <w:tcPr>
            <w:tcW w:w="1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377,248</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Juanjo Feijoo</w:t>
            </w:r>
          </w:p>
        </w:tc>
        <w:tc>
          <w:tcPr>
            <w:tcW w:w="16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Agreement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330,000</w:t>
            </w: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231,000</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561,000</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6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-1731010</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-1731010</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-1731010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-1731010</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-1731010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-1731010</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Excludes Mr. Francis and Mr. Grazier, as they had not been made eligible as of April 26, 2023 to participate in the Severance Plan.</w:t>
      </w:r>
    </w:p>
    <w:p>
      <w:pPr>
        <w:spacing w:after="0" w:line="53" w:lineRule="exact"/>
        <w:rPr>
          <w:rFonts w:ascii="Arial" w:cs="Arial" w:eastAsia="Arial" w:hAnsi="Arial"/>
          <w:sz w:val="13"/>
          <w:szCs w:val="13"/>
          <w:color w:val="auto"/>
        </w:rPr>
      </w:pPr>
    </w:p>
    <w:p>
      <w:pPr>
        <w:ind w:left="640" w:right="319" w:hanging="348"/>
        <w:spacing w:after="0" w:line="281" w:lineRule="auto"/>
        <w:tabs>
          <w:tab w:leader="none" w:pos="6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Messrs. Beals, Dean and Feijoo terminated service and entered into separation agreements as described in “Executive Compensation Arrangements” above. Amounts shown reflect amounts received pursuant to their respective separation agreements.</w:t>
      </w:r>
    </w:p>
    <w:p>
      <w:pPr>
        <w:ind w:left="640" w:hanging="348"/>
        <w:spacing w:after="0"/>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Value of equity acceleration is calculated based on the $1.01 closing price of our stock on December 31, 2022.</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Non-Employee Director Compensation</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In 2022,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68"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Non-Employee Director Compensation Policy was amended in 2022 with changes effective on 1/1/2022. The Non-Employee Director Compensation Policy that was effective for 2022 consisted of the following elements:</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Non-Employee Director Compensation</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7820" w:type="dxa"/>
            <w:vAlign w:val="bottom"/>
            <w:gridSpan w:val="2"/>
            <w:vMerge w:val="continue"/>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75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Annual Retainer for Board Membership</w:t>
            </w:r>
            <w:r>
              <w:rPr>
                <w:rFonts w:ascii="Arial" w:cs="Arial" w:eastAsia="Arial" w:hAnsi="Arial"/>
                <w:sz w:val="29"/>
                <w:szCs w:val="29"/>
                <w:b w:val="1"/>
                <w:bCs w:val="1"/>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64"/>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Initial Grant of RSUs for All Non-Employee Directors</w:t>
            </w:r>
            <w:r>
              <w:rPr>
                <w:rFonts w:ascii="Arial" w:cs="Arial" w:eastAsia="Arial" w:hAnsi="Arial"/>
                <w:sz w:val="29"/>
                <w:szCs w:val="29"/>
                <w:b w:val="1"/>
                <w:bCs w:val="1"/>
                <w:color w:val="auto"/>
                <w:vertAlign w:val="superscript"/>
              </w:rPr>
              <w:t>(3)(4)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400,000</w:t>
            </w:r>
          </w:p>
        </w:tc>
        <w:tc>
          <w:tcPr>
            <w:tcW w:w="0" w:type="dxa"/>
            <w:vAlign w:val="bottom"/>
          </w:tcPr>
          <w:p>
            <w:pPr>
              <w:spacing w:after="0"/>
              <w:rPr>
                <w:sz w:val="1"/>
                <w:szCs w:val="1"/>
                <w:color w:val="auto"/>
              </w:rPr>
            </w:pPr>
          </w:p>
        </w:tc>
      </w:tr>
      <w:tr>
        <w:trPr>
          <w:trHeight w:val="364"/>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Annual RSU Grant for All Non-Employee Directors</w:t>
            </w:r>
            <w:r>
              <w:rPr>
                <w:rFonts w:ascii="Arial" w:cs="Arial" w:eastAsia="Arial" w:hAnsi="Arial"/>
                <w:sz w:val="29"/>
                <w:szCs w:val="29"/>
                <w:b w:val="1"/>
                <w:bCs w:val="1"/>
                <w:color w:val="auto"/>
                <w:vertAlign w:val="superscript"/>
              </w:rPr>
              <w:t>(4)(5)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200,000</w:t>
            </w:r>
          </w:p>
        </w:tc>
        <w:tc>
          <w:tcPr>
            <w:tcW w:w="0" w:type="dxa"/>
            <w:vAlign w:val="bottom"/>
          </w:tcPr>
          <w:p>
            <w:pPr>
              <w:spacing w:after="0"/>
              <w:rPr>
                <w:sz w:val="1"/>
                <w:szCs w:val="1"/>
                <w:color w:val="auto"/>
              </w:rPr>
            </w:pPr>
          </w:p>
        </w:tc>
      </w:tr>
      <w:tr>
        <w:trPr>
          <w:trHeight w:val="27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Committee Additional Cash Retainer</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Audit Committee Chairperson</w:t>
            </w:r>
            <w:r>
              <w:rPr>
                <w:rFonts w:ascii="Arial" w:cs="Arial" w:eastAsia="Arial" w:hAnsi="Arial"/>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364"/>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Audit Committee member (other than Chairperson)</w:t>
            </w:r>
            <w:r>
              <w:rPr>
                <w:rFonts w:ascii="Arial" w:cs="Arial" w:eastAsia="Arial" w:hAnsi="Arial"/>
                <w:sz w:val="29"/>
                <w:szCs w:val="29"/>
                <w:color w:val="auto"/>
                <w:vertAlign w:val="superscript"/>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364"/>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Committee Chairperson</w:t>
            </w:r>
            <w:r>
              <w:rPr>
                <w:rFonts w:ascii="Arial" w:cs="Arial" w:eastAsia="Arial" w:hAnsi="Arial"/>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365"/>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Compensation Committee member (other than Chairperson)</w:t>
            </w:r>
            <w:r>
              <w:rPr>
                <w:rFonts w:ascii="Arial" w:cs="Arial" w:eastAsia="Arial" w:hAnsi="Arial"/>
                <w:sz w:val="29"/>
                <w:szCs w:val="29"/>
                <w:color w:val="auto"/>
                <w:vertAlign w:val="superscript"/>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64"/>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Nominating and Corporate Governance Committee Chairperson</w:t>
            </w:r>
            <w:r>
              <w:rPr>
                <w:rFonts w:ascii="Arial" w:cs="Arial" w:eastAsia="Arial" w:hAnsi="Arial"/>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365"/>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Nominating and Corporate Governance Committee member (other than Chairperson)</w:t>
            </w:r>
            <w:r>
              <w:rPr>
                <w:rFonts w:ascii="Arial" w:cs="Arial" w:eastAsia="Arial" w:hAnsi="Arial"/>
                <w:sz w:val="29"/>
                <w:szCs w:val="29"/>
                <w:color w:val="auto"/>
                <w:vertAlign w:val="superscript"/>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364"/>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Annual Retainer for Chairperson of the Board (if a Non-Employee Director)</w:t>
            </w:r>
            <w:r>
              <w:rPr>
                <w:rFonts w:ascii="Arial" w:cs="Arial" w:eastAsia="Arial" w:hAnsi="Arial"/>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433"/>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Additional Annual Retainer for Lead Independent Director</w:t>
            </w:r>
            <w:r>
              <w:rPr>
                <w:rFonts w:ascii="Arial" w:cs="Arial" w:eastAsia="Arial" w:hAnsi="Arial"/>
                <w:sz w:val="29"/>
                <w:szCs w:val="29"/>
                <w:color w:val="auto"/>
                <w:vertAlign w:val="superscript"/>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-2811780</wp:posOffset>
            </wp:positionV>
            <wp:extent cx="171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3" w:lineRule="exact"/>
        <w:rPr>
          <w:sz w:val="20"/>
          <w:szCs w:val="20"/>
          <w:color w:val="auto"/>
        </w:rPr>
      </w:pPr>
    </w:p>
    <w:p>
      <w:pPr>
        <w:ind w:left="640" w:right="299" w:hanging="348"/>
        <w:spacing w:after="0" w:line="253"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Vested upon payment and paid in arrears on the last business day of each fiscal quarter in which the Non-Employee Director’s service occurred.</w:t>
      </w:r>
    </w:p>
    <w:p>
      <w:pPr>
        <w:spacing w:after="0" w:line="1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2022, for Mr. Bay, the annual retainer was pro-rated based on the days remaining in 2022 with the pro-rated amount paid for the first quarter of 2022, and regular full quarterly payments thereafter. 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2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initial one-time RSU grant payable to the Non-Employee Directors will have a target grant value of $400,000 and will vest in three equal annual installments over three years from the date of the Non-Employee Director’s initial election or appointment to be a Non-Employee Director.</w:t>
      </w:r>
    </w:p>
    <w:p>
      <w:pPr>
        <w:spacing w:after="0" w:line="20"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the event of a change of control (as defined in the 2021 Equity Plan), any unvested portion of an equity award granted to our Non-Employee Directors pursuant to the Non-Employee Director Compensation Policy shall be 100% vested immediately prior to the closing of such change of control, subject to the Non-Employee Director’s continuous service with us on the effective date of the change of control.</w:t>
      </w:r>
    </w:p>
    <w:p>
      <w:pPr>
        <w:spacing w:after="0" w:line="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At the close of business on the date of each annual meeting of our stockholders, each Non-Employee Director who will continue as a member of the Board following the date of such annual meeting of our stockholders will receive an annual RSU grant with a target grant value of $200,000 that vests, subject to change of control vesting acceleration, in full on the earlier of (i) the first anniversary of the grant date or (ii) the date of the next each annual meeting of our stockholders.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The following table shows certain information with respect to the compensation of all non-employee directors of the Company in 2022. These amounts reflect our accounting expense for these RSUs, as further described in the footnotes to the table, and do not represent the actual economic value that was realized in 2022 or may be realized upon vesting by the non-employee director.</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Fees Earned or</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2"/>
              </w:rPr>
              <w:t>Equity Awards</w:t>
            </w:r>
          </w:p>
        </w:tc>
        <w:tc>
          <w:tcPr>
            <w:tcW w:w="2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vMerge w:val="restart"/>
          </w:tcPr>
          <w:p>
            <w:pPr>
              <w:spacing w:after="0"/>
              <w:rPr>
                <w:sz w:val="12"/>
                <w:szCs w:val="12"/>
                <w:color w:val="auto"/>
              </w:rPr>
            </w:pPr>
          </w:p>
        </w:tc>
        <w:tc>
          <w:tcPr>
            <w:tcW w:w="120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2"/>
              </w:rPr>
              <w:t>Paid in Cash</w:t>
            </w: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84"/>
                <w:vertAlign w:val="subscript"/>
              </w:rPr>
              <w:t>($)</w:t>
            </w:r>
            <w:r>
              <w:rPr>
                <w:rFonts w:ascii="Arial" w:cs="Arial" w:eastAsia="Arial" w:hAnsi="Arial"/>
                <w:sz w:val="12"/>
                <w:szCs w:val="12"/>
                <w:b w:val="1"/>
                <w:bCs w:val="1"/>
                <w:color w:val="auto"/>
                <w:w w:val="84"/>
              </w:rPr>
              <w:t>(1)(2)</w:t>
            </w:r>
          </w:p>
        </w:tc>
        <w:tc>
          <w:tcPr>
            <w:tcW w:w="2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Tony Aquila</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62,000</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193,357</w:t>
            </w:r>
          </w:p>
        </w:tc>
        <w:tc>
          <w:tcPr>
            <w:tcW w:w="8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255,357</w:t>
            </w:r>
          </w:p>
        </w:tc>
        <w:tc>
          <w:tcPr>
            <w:tcW w:w="0" w:type="dxa"/>
            <w:vAlign w:val="bottom"/>
          </w:tcPr>
          <w:p>
            <w:pPr>
              <w:spacing w:after="0"/>
              <w:rPr>
                <w:sz w:val="1"/>
                <w:szCs w:val="1"/>
                <w:color w:val="auto"/>
              </w:rPr>
            </w:pPr>
          </w:p>
        </w:tc>
      </w:tr>
      <w:tr>
        <w:trPr>
          <w:trHeight w:val="365"/>
        </w:trPr>
        <w:tc>
          <w:tcPr>
            <w:tcW w:w="5440" w:type="dxa"/>
            <w:vAlign w:val="bottom"/>
            <w:gridSpan w:val="2"/>
          </w:tcPr>
          <w:p>
            <w:pPr>
              <w:spacing w:after="0"/>
              <w:rPr>
                <w:sz w:val="20"/>
                <w:szCs w:val="20"/>
                <w:color w:val="auto"/>
              </w:rPr>
            </w:pPr>
            <w:r>
              <w:rPr>
                <w:rFonts w:ascii="Arial" w:cs="Arial" w:eastAsia="Arial" w:hAnsi="Arial"/>
                <w:sz w:val="18"/>
                <w:szCs w:val="18"/>
                <w:color w:val="auto"/>
              </w:rPr>
              <w:t>Anthony Bay</w:t>
            </w:r>
            <w:r>
              <w:rPr>
                <w:rFonts w:ascii="Arial" w:cs="Arial" w:eastAsia="Arial" w:hAnsi="Arial"/>
                <w:sz w:val="29"/>
                <w:szCs w:val="29"/>
                <w:color w:val="auto"/>
                <w:vertAlign w:val="superscript"/>
              </w:rPr>
              <w:t>(3)</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80,378</w:t>
            </w:r>
          </w:p>
        </w:tc>
        <w:tc>
          <w:tcPr>
            <w:tcW w:w="2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595,627</w:t>
            </w:r>
          </w:p>
        </w:tc>
        <w:tc>
          <w:tcPr>
            <w:tcW w:w="8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676,005</w:t>
            </w: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Francis</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69,701</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193,357</w:t>
            </w:r>
          </w:p>
        </w:tc>
        <w:tc>
          <w:tcPr>
            <w:tcW w:w="8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263,058</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Brenda Freeman</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80,500</w:t>
            </w:r>
          </w:p>
        </w:tc>
        <w:tc>
          <w:tcPr>
            <w:tcW w:w="2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193,357</w:t>
            </w:r>
          </w:p>
        </w:tc>
        <w:tc>
          <w:tcPr>
            <w:tcW w:w="8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273,857</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Olga Gonzalez</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70,000</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193,357</w:t>
            </w:r>
          </w:p>
        </w:tc>
        <w:tc>
          <w:tcPr>
            <w:tcW w:w="8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263,357</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63,000</w:t>
            </w:r>
          </w:p>
        </w:tc>
        <w:tc>
          <w:tcPr>
            <w:tcW w:w="2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193,357</w:t>
            </w:r>
          </w:p>
        </w:tc>
        <w:tc>
          <w:tcPr>
            <w:tcW w:w="8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256,357</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Hartfield</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193,357</w:t>
            </w:r>
          </w:p>
        </w:tc>
        <w:tc>
          <w:tcPr>
            <w:tcW w:w="8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243,357</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Fiona Tan</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53,500</w:t>
            </w:r>
          </w:p>
        </w:tc>
        <w:tc>
          <w:tcPr>
            <w:tcW w:w="2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193,357</w:t>
            </w:r>
          </w:p>
        </w:tc>
        <w:tc>
          <w:tcPr>
            <w:tcW w:w="8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246,857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-1654175</wp:posOffset>
            </wp:positionV>
            <wp:extent cx="154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-1654175</wp:posOffset>
            </wp:positionV>
            <wp:extent cx="154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-1654175</wp:posOffset>
            </wp:positionV>
            <wp:extent cx="154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299" w:hanging="348"/>
        <w:spacing w:after="0" w:line="253"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following table shows, for each named individual, the aggregate shares under stock awards and the aggregate shares underlying option awards held by that individual as of December 31, 2022.</w:t>
      </w:r>
    </w:p>
    <w:p>
      <w:pPr>
        <w:spacing w:after="0" w:line="11" w:lineRule="exact"/>
        <w:rPr>
          <w:rFonts w:ascii="Arial" w:cs="Arial" w:eastAsia="Arial" w:hAnsi="Arial"/>
          <w:sz w:val="14"/>
          <w:szCs w:val="14"/>
          <w:color w:val="auto"/>
        </w:rPr>
      </w:pPr>
    </w:p>
    <w:p>
      <w:pPr>
        <w:jc w:val="both"/>
        <w:ind w:left="640" w:right="299" w:hanging="348"/>
        <w:spacing w:after="0" w:line="248"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example, the price of a share of our Class A Common Stock has declined significantly since the awards were granted. For information regarding assumptions underlying the value of equity awards, see Note 13 to our financial statements included in our Annual Report on Form 10-K for the year ended December 31, 2022.</w:t>
      </w:r>
    </w:p>
    <w:p>
      <w:pPr>
        <w:spacing w:after="0" w:line="18"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Bay was appointed a member of the Board on March 7, 2022, and served as Chairperson from March 7, 2022 until Mr. Francis was appointed Executive Chair in August 2022.</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Name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Tony Aquila</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Anthony Bay</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Douglas Francis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Brenda Freeman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Olga Gonzalez</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Scott Gordon</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Justin Hartfield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Fiona Tan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267970</wp:posOffset>
            </wp:positionV>
            <wp:extent cx="4886325"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86325" cy="1803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70485</wp:posOffset>
            </wp:positionV>
            <wp:extent cx="488632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86325" cy="163195"/>
                    </a:xfrm>
                    <a:prstGeom prst="rect">
                      <a:avLst/>
                    </a:prstGeom>
                    <a:noFill/>
                  </pic:spPr>
                </pic:pic>
              </a:graphicData>
            </a:graphic>
          </wp:anchor>
        </w:drawing>
      </w:r>
    </w:p>
    <w:p>
      <w:pPr>
        <w:spacing w:after="0" w:line="191"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70485</wp:posOffset>
            </wp:positionV>
            <wp:extent cx="4886325"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86325" cy="163195"/>
                    </a:xfrm>
                    <a:prstGeom prst="rect">
                      <a:avLst/>
                    </a:prstGeom>
                    <a:noFill/>
                  </pic:spPr>
                </pic:pic>
              </a:graphicData>
            </a:graphic>
          </wp:anchor>
        </w:drawing>
      </w:r>
    </w:p>
    <w:p>
      <w:pPr>
        <w:spacing w:after="0" w:line="191"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71120</wp:posOffset>
            </wp:positionV>
            <wp:extent cx="488632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86325" cy="162560"/>
                    </a:xfrm>
                    <a:prstGeom prst="rect">
                      <a:avLst/>
                    </a:prstGeom>
                    <a:noFill/>
                  </pic:spPr>
                </pic:pic>
              </a:graphicData>
            </a:graphic>
          </wp:anchor>
        </w:drawing>
      </w:r>
    </w:p>
    <w:p>
      <w:pPr>
        <w:spacing w:after="0" w:line="191"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1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Aggregate Stock</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Awards Outstanding</w:t>
      </w:r>
    </w:p>
    <w:p>
      <w:pPr>
        <w:ind w:left="480"/>
        <w:spacing w:after="0" w:line="221" w:lineRule="auto"/>
        <w:rPr>
          <w:sz w:val="20"/>
          <w:szCs w:val="20"/>
          <w:color w:val="auto"/>
        </w:rPr>
      </w:pPr>
      <w:r>
        <w:rPr>
          <w:rFonts w:ascii="Arial" w:cs="Arial" w:eastAsia="Arial" w:hAnsi="Arial"/>
          <w:sz w:val="14"/>
          <w:szCs w:val="14"/>
          <w:b w:val="1"/>
          <w:bCs w:val="1"/>
          <w:color w:val="auto"/>
        </w:rPr>
        <w:t>as of</w:t>
      </w:r>
    </w:p>
    <w:p>
      <w:pPr>
        <w:ind w:left="20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2022</w:t>
      </w:r>
    </w:p>
    <w:p>
      <w:pPr>
        <w:spacing w:after="0" w:line="124" w:lineRule="exact"/>
        <w:rPr>
          <w:sz w:val="20"/>
          <w:szCs w:val="20"/>
          <w:color w:val="auto"/>
        </w:rPr>
      </w:pPr>
    </w:p>
    <w:p>
      <w:pPr>
        <w:jc w:val="right"/>
        <w:ind w:right="1099"/>
        <w:spacing w:after="0"/>
        <w:rPr>
          <w:sz w:val="20"/>
          <w:szCs w:val="20"/>
          <w:color w:val="auto"/>
        </w:rPr>
      </w:pPr>
      <w:r>
        <w:rPr>
          <w:rFonts w:ascii="Arial" w:cs="Arial" w:eastAsia="Arial" w:hAnsi="Arial"/>
          <w:sz w:val="14"/>
          <w:szCs w:val="14"/>
          <w:color w:val="auto"/>
        </w:rPr>
        <w:t>61,680</w:t>
      </w:r>
    </w:p>
    <w:p>
      <w:pPr>
        <w:spacing w:after="0" w:line="96" w:lineRule="exact"/>
        <w:rPr>
          <w:sz w:val="20"/>
          <w:szCs w:val="20"/>
          <w:color w:val="auto"/>
        </w:rPr>
      </w:pPr>
    </w:p>
    <w:p>
      <w:pPr>
        <w:jc w:val="right"/>
        <w:ind w:right="1079"/>
        <w:spacing w:after="0"/>
        <w:rPr>
          <w:sz w:val="20"/>
          <w:szCs w:val="20"/>
          <w:color w:val="auto"/>
        </w:rPr>
      </w:pPr>
      <w:r>
        <w:rPr>
          <w:rFonts w:ascii="Arial" w:cs="Arial" w:eastAsia="Arial" w:hAnsi="Arial"/>
          <w:sz w:val="14"/>
          <w:szCs w:val="14"/>
          <w:color w:val="auto"/>
        </w:rPr>
        <w:t>117,250</w:t>
      </w:r>
    </w:p>
    <w:p>
      <w:pPr>
        <w:spacing w:after="0" w:line="96" w:lineRule="exact"/>
        <w:rPr>
          <w:sz w:val="20"/>
          <w:szCs w:val="20"/>
          <w:color w:val="auto"/>
        </w:rPr>
      </w:pPr>
    </w:p>
    <w:p>
      <w:pPr>
        <w:jc w:val="right"/>
        <w:ind w:right="1099"/>
        <w:spacing w:after="0"/>
        <w:rPr>
          <w:sz w:val="20"/>
          <w:szCs w:val="20"/>
          <w:color w:val="auto"/>
        </w:rPr>
      </w:pPr>
      <w:r>
        <w:rPr>
          <w:rFonts w:ascii="Arial" w:cs="Arial" w:eastAsia="Arial" w:hAnsi="Arial"/>
          <w:sz w:val="14"/>
          <w:szCs w:val="14"/>
          <w:color w:val="auto"/>
        </w:rPr>
        <w:t>61,680</w:t>
      </w:r>
    </w:p>
    <w:p>
      <w:pPr>
        <w:spacing w:after="0" w:line="96" w:lineRule="exact"/>
        <w:rPr>
          <w:sz w:val="20"/>
          <w:szCs w:val="20"/>
          <w:color w:val="auto"/>
        </w:rPr>
      </w:pPr>
    </w:p>
    <w:p>
      <w:pPr>
        <w:jc w:val="right"/>
        <w:ind w:right="1099"/>
        <w:spacing w:after="0"/>
        <w:rPr>
          <w:sz w:val="20"/>
          <w:szCs w:val="20"/>
          <w:color w:val="auto"/>
        </w:rPr>
      </w:pPr>
      <w:r>
        <w:rPr>
          <w:rFonts w:ascii="Arial" w:cs="Arial" w:eastAsia="Arial" w:hAnsi="Arial"/>
          <w:sz w:val="14"/>
          <w:szCs w:val="14"/>
          <w:color w:val="auto"/>
        </w:rPr>
        <w:t>61,680</w:t>
      </w:r>
    </w:p>
    <w:p>
      <w:pPr>
        <w:spacing w:after="0" w:line="96" w:lineRule="exact"/>
        <w:rPr>
          <w:sz w:val="20"/>
          <w:szCs w:val="20"/>
          <w:color w:val="auto"/>
        </w:rPr>
      </w:pPr>
    </w:p>
    <w:p>
      <w:pPr>
        <w:jc w:val="right"/>
        <w:ind w:right="1099"/>
        <w:spacing w:after="0"/>
        <w:rPr>
          <w:sz w:val="20"/>
          <w:szCs w:val="20"/>
          <w:color w:val="auto"/>
        </w:rPr>
      </w:pPr>
      <w:r>
        <w:rPr>
          <w:rFonts w:ascii="Arial" w:cs="Arial" w:eastAsia="Arial" w:hAnsi="Arial"/>
          <w:sz w:val="14"/>
          <w:szCs w:val="14"/>
          <w:color w:val="auto"/>
        </w:rPr>
        <w:t>61,680</w:t>
      </w:r>
    </w:p>
    <w:p>
      <w:pPr>
        <w:spacing w:after="0" w:line="96" w:lineRule="exact"/>
        <w:rPr>
          <w:sz w:val="20"/>
          <w:szCs w:val="20"/>
          <w:color w:val="auto"/>
        </w:rPr>
      </w:pPr>
    </w:p>
    <w:p>
      <w:pPr>
        <w:jc w:val="right"/>
        <w:ind w:right="1099"/>
        <w:spacing w:after="0"/>
        <w:rPr>
          <w:sz w:val="20"/>
          <w:szCs w:val="20"/>
          <w:color w:val="auto"/>
        </w:rPr>
      </w:pPr>
      <w:r>
        <w:rPr>
          <w:rFonts w:ascii="Arial" w:cs="Arial" w:eastAsia="Arial" w:hAnsi="Arial"/>
          <w:sz w:val="14"/>
          <w:szCs w:val="14"/>
          <w:color w:val="auto"/>
        </w:rPr>
        <w:t>61,680</w:t>
      </w:r>
    </w:p>
    <w:p>
      <w:pPr>
        <w:spacing w:after="0" w:line="96" w:lineRule="exact"/>
        <w:rPr>
          <w:sz w:val="20"/>
          <w:szCs w:val="20"/>
          <w:color w:val="auto"/>
        </w:rPr>
      </w:pPr>
    </w:p>
    <w:p>
      <w:pPr>
        <w:jc w:val="right"/>
        <w:ind w:right="1099"/>
        <w:spacing w:after="0"/>
        <w:rPr>
          <w:sz w:val="20"/>
          <w:szCs w:val="20"/>
          <w:color w:val="auto"/>
        </w:rPr>
      </w:pPr>
      <w:r>
        <w:rPr>
          <w:rFonts w:ascii="Arial" w:cs="Arial" w:eastAsia="Arial" w:hAnsi="Arial"/>
          <w:sz w:val="14"/>
          <w:szCs w:val="14"/>
          <w:color w:val="auto"/>
        </w:rPr>
        <w:t>61,680</w:t>
      </w:r>
    </w:p>
    <w:p>
      <w:pPr>
        <w:spacing w:after="0" w:line="96" w:lineRule="exact"/>
        <w:rPr>
          <w:sz w:val="20"/>
          <w:szCs w:val="20"/>
          <w:color w:val="auto"/>
        </w:rPr>
      </w:pPr>
    </w:p>
    <w:p>
      <w:pPr>
        <w:jc w:val="right"/>
        <w:ind w:right="1099"/>
        <w:spacing w:after="0"/>
        <w:rPr>
          <w:sz w:val="20"/>
          <w:szCs w:val="20"/>
          <w:color w:val="auto"/>
        </w:rPr>
      </w:pPr>
      <w:r>
        <w:rPr>
          <w:rFonts w:ascii="Arial" w:cs="Arial" w:eastAsia="Arial" w:hAnsi="Arial"/>
          <w:sz w:val="14"/>
          <w:szCs w:val="14"/>
          <w:color w:val="auto"/>
        </w:rPr>
        <w:t>61,680</w:t>
      </w:r>
    </w:p>
    <w:p>
      <w:pPr>
        <w:spacing w:after="0" w:line="200" w:lineRule="exact"/>
        <w:rPr>
          <w:sz w:val="20"/>
          <w:szCs w:val="20"/>
          <w:color w:val="auto"/>
        </w:rPr>
      </w:pPr>
    </w:p>
    <w:p>
      <w:pPr>
        <w:sectPr>
          <w:pgSz w:w="11900" w:h="16838" w:orient="portrait"/>
          <w:cols w:equalWidth="0" w:num="3">
            <w:col w:w="5980" w:space="720"/>
            <w:col w:w="200" w:space="160"/>
            <w:col w:w="1959"/>
          </w:cols>
          <w:pgMar w:left="1440" w:top="265" w:right="1440"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 </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PAY VERSUS PERFORMANCE</w:t>
      </w:r>
    </w:p>
    <w:p>
      <w:pPr>
        <w:spacing w:after="0" w:line="121" w:lineRule="exact"/>
        <w:rPr>
          <w:sz w:val="20"/>
          <w:szCs w:val="20"/>
          <w:color w:val="auto"/>
        </w:rPr>
      </w:pPr>
    </w:p>
    <w:p>
      <w:pPr>
        <w:jc w:val="both"/>
        <w:ind w:left="1420" w:right="540"/>
        <w:spacing w:after="0" w:line="272" w:lineRule="auto"/>
        <w:rPr>
          <w:sz w:val="20"/>
          <w:szCs w:val="20"/>
          <w:color w:val="auto"/>
        </w:rPr>
      </w:pPr>
      <w:r>
        <w:rPr>
          <w:rFonts w:ascii="Arial" w:cs="Arial" w:eastAsia="Arial" w:hAnsi="Arial"/>
          <w:sz w:val="17"/>
          <w:szCs w:val="17"/>
          <w:color w:val="auto"/>
        </w:rPr>
        <w:t>As required by Section 953(a) of the Dodd-Frank Act and Item 402(v) of Regulation S-K, we are providing the following information about the relationship between executive compensation actually paid and certain financial performance of the Company. Also as required by the SEC, this section compares compensation actually paid to various measures used to gauge performance at the Company. Accordingly, the table below includes the following “Company-Selected Measure” as defined in Item 402(v) of Regulation S-K: Revenue. For further information regarding our compensation philosophy and how we seek to align executive compensation with the Company’s performance, refer to “Executive Compensation—Compensation Discussion and Analysis.”</w:t>
      </w:r>
    </w:p>
    <w:p>
      <w:pPr>
        <w:spacing w:after="0" w:line="160" w:lineRule="exact"/>
        <w:rPr>
          <w:sz w:val="20"/>
          <w:szCs w:val="20"/>
          <w:color w:val="auto"/>
        </w:rPr>
      </w:pPr>
    </w:p>
    <w:tbl>
      <w:tblPr>
        <w:tblLayout w:type="fixed"/>
        <w:tblInd w:w="880" w:type="dxa"/>
        <w:tblCellMar>
          <w:top w:w="0" w:type="dxa"/>
          <w:left w:w="0" w:type="dxa"/>
          <w:bottom w:w="0" w:type="dxa"/>
          <w:right w:w="0" w:type="dxa"/>
        </w:tblCellMar>
      </w:tblPr>
      <w:tr>
        <w:trPr>
          <w:trHeight w:val="164"/>
        </w:trPr>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6"/>
          </w:tcPr>
          <w:p>
            <w:pPr>
              <w:ind w:left="620"/>
              <w:spacing w:after="0"/>
              <w:rPr>
                <w:sz w:val="20"/>
                <w:szCs w:val="20"/>
                <w:color w:val="auto"/>
              </w:rPr>
            </w:pPr>
            <w:r>
              <w:rPr>
                <w:rFonts w:ascii="Arial" w:cs="Arial" w:eastAsia="Arial" w:hAnsi="Arial"/>
                <w:sz w:val="13"/>
                <w:szCs w:val="13"/>
                <w:b w:val="1"/>
                <w:bCs w:val="1"/>
                <w:color w:val="auto"/>
              </w:rPr>
              <w:t>PAY VERSUS PERFORMANCE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Value of Initial Fixed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$100 Investment Based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Average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Summary</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Summary</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Summary</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Average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Peer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Group</w:t>
            </w:r>
          </w:p>
        </w:tc>
        <w:tc>
          <w:tcPr>
            <w:tcW w:w="14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Net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Table</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Table</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Actually</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Actually</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Table Total</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Actually</w:t>
            </w: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Total</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(Loss)</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Total for</w:t>
            </w:r>
          </w:p>
        </w:tc>
        <w:tc>
          <w:tcPr>
            <w:tcW w:w="94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92"/>
              </w:rPr>
              <w:t>Total for</w:t>
            </w:r>
          </w:p>
        </w:tc>
        <w:tc>
          <w:tcPr>
            <w:tcW w:w="94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7"/>
              </w:rPr>
              <w:t>Paid to</w:t>
            </w:r>
          </w:p>
        </w:tc>
        <w:tc>
          <w:tcPr>
            <w:tcW w:w="94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7"/>
              </w:rPr>
              <w:t>Paid to</w:t>
            </w: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for Non-PEO</w:t>
            </w:r>
          </w:p>
        </w:tc>
        <w:tc>
          <w:tcPr>
            <w:tcW w:w="94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8"/>
              </w:rPr>
              <w:t>Paid to Non-</w:t>
            </w:r>
          </w:p>
        </w:tc>
        <w:tc>
          <w:tcPr>
            <w:tcW w:w="80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6"/>
              </w:rPr>
              <w:t>Shareholder</w:t>
            </w:r>
          </w:p>
        </w:tc>
        <w:tc>
          <w:tcPr>
            <w:tcW w:w="6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Shareholder</w:t>
            </w: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7"/>
              </w:rPr>
              <w:t>Income</w:t>
            </w:r>
          </w:p>
        </w:tc>
        <w:tc>
          <w:tcPr>
            <w:tcW w:w="6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4"/>
              </w:rPr>
              <w:t>Revenue</w:t>
            </w:r>
          </w:p>
        </w:tc>
        <w:tc>
          <w:tcPr>
            <w:tcW w:w="0" w:type="dxa"/>
            <w:vAlign w:val="bottom"/>
          </w:tcPr>
          <w:p>
            <w:pPr>
              <w:spacing w:after="0"/>
              <w:rPr>
                <w:sz w:val="1"/>
                <w:szCs w:val="1"/>
                <w:color w:val="auto"/>
              </w:rPr>
            </w:pPr>
          </w:p>
        </w:tc>
      </w:tr>
      <w:tr>
        <w:trPr>
          <w:trHeight w:val="168"/>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center"/>
              <w:ind w:right="120"/>
              <w:spacing w:after="0" w:line="168" w:lineRule="exact"/>
              <w:rPr>
                <w:sz w:val="20"/>
                <w:szCs w:val="20"/>
                <w:color w:val="auto"/>
              </w:rPr>
            </w:pPr>
            <w:r>
              <w:rPr>
                <w:rFonts w:ascii="Arial" w:cs="Arial" w:eastAsia="Arial" w:hAnsi="Arial"/>
                <w:sz w:val="12"/>
                <w:szCs w:val="12"/>
                <w:b w:val="1"/>
                <w:bCs w:val="1"/>
                <w:color w:val="auto"/>
                <w:w w:val="95"/>
              </w:rPr>
              <w:t>Mr. Francis</w:t>
            </w:r>
            <w:r>
              <w:rPr>
                <w:rFonts w:ascii="Arial" w:cs="Arial" w:eastAsia="Arial" w:hAnsi="Arial"/>
                <w:sz w:val="19"/>
                <w:szCs w:val="19"/>
                <w:b w:val="1"/>
                <w:bCs w:val="1"/>
                <w:color w:val="auto"/>
                <w:w w:val="95"/>
                <w:vertAlign w:val="superscript"/>
              </w:rPr>
              <w:t>(1)</w:t>
            </w:r>
          </w:p>
        </w:tc>
        <w:tc>
          <w:tcPr>
            <w:tcW w:w="940" w:type="dxa"/>
            <w:vAlign w:val="bottom"/>
            <w:gridSpan w:val="2"/>
          </w:tcPr>
          <w:p>
            <w:pPr>
              <w:jc w:val="center"/>
              <w:ind w:right="140"/>
              <w:spacing w:after="0" w:line="168" w:lineRule="exact"/>
              <w:rPr>
                <w:sz w:val="20"/>
                <w:szCs w:val="20"/>
                <w:color w:val="auto"/>
              </w:rPr>
            </w:pPr>
            <w:r>
              <w:rPr>
                <w:rFonts w:ascii="Arial" w:cs="Arial" w:eastAsia="Arial" w:hAnsi="Arial"/>
                <w:sz w:val="12"/>
                <w:szCs w:val="12"/>
                <w:b w:val="1"/>
                <w:bCs w:val="1"/>
                <w:color w:val="auto"/>
                <w:w w:val="92"/>
              </w:rPr>
              <w:t>Mr. Beals</w:t>
            </w:r>
            <w:r>
              <w:rPr>
                <w:rFonts w:ascii="Arial" w:cs="Arial" w:eastAsia="Arial" w:hAnsi="Arial"/>
                <w:sz w:val="19"/>
                <w:szCs w:val="19"/>
                <w:b w:val="1"/>
                <w:bCs w:val="1"/>
                <w:color w:val="auto"/>
                <w:w w:val="92"/>
                <w:vertAlign w:val="superscript"/>
              </w:rPr>
              <w:t>(1)</w:t>
            </w:r>
          </w:p>
        </w:tc>
        <w:tc>
          <w:tcPr>
            <w:tcW w:w="940" w:type="dxa"/>
            <w:vAlign w:val="bottom"/>
            <w:gridSpan w:val="2"/>
          </w:tcPr>
          <w:p>
            <w:pPr>
              <w:jc w:val="center"/>
              <w:ind w:right="140"/>
              <w:spacing w:after="0" w:line="168" w:lineRule="exact"/>
              <w:rPr>
                <w:sz w:val="20"/>
                <w:szCs w:val="20"/>
                <w:color w:val="auto"/>
              </w:rPr>
            </w:pPr>
            <w:r>
              <w:rPr>
                <w:rFonts w:ascii="Arial" w:cs="Arial" w:eastAsia="Arial" w:hAnsi="Arial"/>
                <w:sz w:val="12"/>
                <w:szCs w:val="12"/>
                <w:b w:val="1"/>
                <w:bCs w:val="1"/>
                <w:color w:val="auto"/>
                <w:w w:val="95"/>
              </w:rPr>
              <w:t>Mr. Francis</w:t>
            </w:r>
            <w:r>
              <w:rPr>
                <w:rFonts w:ascii="Arial" w:cs="Arial" w:eastAsia="Arial" w:hAnsi="Arial"/>
                <w:sz w:val="19"/>
                <w:szCs w:val="19"/>
                <w:b w:val="1"/>
                <w:bCs w:val="1"/>
                <w:color w:val="auto"/>
                <w:w w:val="95"/>
                <w:vertAlign w:val="superscript"/>
              </w:rPr>
              <w:t>(2)</w:t>
            </w:r>
          </w:p>
        </w:tc>
        <w:tc>
          <w:tcPr>
            <w:tcW w:w="940" w:type="dxa"/>
            <w:vAlign w:val="bottom"/>
            <w:gridSpan w:val="2"/>
          </w:tcPr>
          <w:p>
            <w:pPr>
              <w:jc w:val="center"/>
              <w:ind w:right="120"/>
              <w:spacing w:after="0" w:line="168" w:lineRule="exact"/>
              <w:rPr>
                <w:sz w:val="20"/>
                <w:szCs w:val="20"/>
                <w:color w:val="auto"/>
              </w:rPr>
            </w:pPr>
            <w:r>
              <w:rPr>
                <w:rFonts w:ascii="Arial" w:cs="Arial" w:eastAsia="Arial" w:hAnsi="Arial"/>
                <w:sz w:val="12"/>
                <w:szCs w:val="12"/>
                <w:b w:val="1"/>
                <w:bCs w:val="1"/>
                <w:color w:val="auto"/>
                <w:w w:val="90"/>
              </w:rPr>
              <w:t>Mr. Beals</w:t>
            </w:r>
            <w:r>
              <w:rPr>
                <w:rFonts w:ascii="Arial" w:cs="Arial" w:eastAsia="Arial" w:hAnsi="Arial"/>
                <w:sz w:val="19"/>
                <w:szCs w:val="19"/>
                <w:b w:val="1"/>
                <w:bCs w:val="1"/>
                <w:color w:val="auto"/>
                <w:w w:val="90"/>
                <w:vertAlign w:val="superscript"/>
              </w:rPr>
              <w:t>(2)</w:t>
            </w:r>
          </w:p>
        </w:tc>
        <w:tc>
          <w:tcPr>
            <w:tcW w:w="960" w:type="dxa"/>
            <w:vAlign w:val="bottom"/>
            <w:gridSpan w:val="2"/>
          </w:tcPr>
          <w:p>
            <w:pPr>
              <w:jc w:val="center"/>
              <w:ind w:right="120"/>
              <w:spacing w:after="0" w:line="168" w:lineRule="exact"/>
              <w:rPr>
                <w:sz w:val="20"/>
                <w:szCs w:val="20"/>
                <w:color w:val="auto"/>
              </w:rPr>
            </w:pPr>
            <w:r>
              <w:rPr>
                <w:rFonts w:ascii="Arial" w:cs="Arial" w:eastAsia="Arial" w:hAnsi="Arial"/>
                <w:sz w:val="12"/>
                <w:szCs w:val="12"/>
                <w:b w:val="1"/>
                <w:bCs w:val="1"/>
                <w:color w:val="auto"/>
                <w:w w:val="91"/>
              </w:rPr>
              <w:t>NEOs</w:t>
            </w:r>
            <w:r>
              <w:rPr>
                <w:rFonts w:ascii="Arial" w:cs="Arial" w:eastAsia="Arial" w:hAnsi="Arial"/>
                <w:sz w:val="19"/>
                <w:szCs w:val="19"/>
                <w:b w:val="1"/>
                <w:bCs w:val="1"/>
                <w:color w:val="auto"/>
                <w:w w:val="91"/>
                <w:vertAlign w:val="superscript"/>
              </w:rPr>
              <w:t>(3)</w:t>
            </w:r>
          </w:p>
        </w:tc>
        <w:tc>
          <w:tcPr>
            <w:tcW w:w="940" w:type="dxa"/>
            <w:vAlign w:val="bottom"/>
            <w:gridSpan w:val="2"/>
          </w:tcPr>
          <w:p>
            <w:pPr>
              <w:jc w:val="center"/>
              <w:ind w:right="160"/>
              <w:spacing w:after="0" w:line="168" w:lineRule="exact"/>
              <w:rPr>
                <w:sz w:val="20"/>
                <w:szCs w:val="20"/>
                <w:color w:val="auto"/>
              </w:rPr>
            </w:pPr>
            <w:r>
              <w:rPr>
                <w:rFonts w:ascii="Arial" w:cs="Arial" w:eastAsia="Arial" w:hAnsi="Arial"/>
                <w:sz w:val="12"/>
                <w:szCs w:val="12"/>
                <w:b w:val="1"/>
                <w:bCs w:val="1"/>
                <w:color w:val="auto"/>
                <w:w w:val="96"/>
              </w:rPr>
              <w:t>PEO NEOs</w:t>
            </w:r>
            <w:r>
              <w:rPr>
                <w:rFonts w:ascii="Arial" w:cs="Arial" w:eastAsia="Arial" w:hAnsi="Arial"/>
                <w:sz w:val="19"/>
                <w:szCs w:val="19"/>
                <w:b w:val="1"/>
                <w:bCs w:val="1"/>
                <w:color w:val="auto"/>
                <w:w w:val="96"/>
                <w:vertAlign w:val="superscript"/>
              </w:rPr>
              <w:t>(4)</w:t>
            </w:r>
          </w:p>
        </w:tc>
        <w:tc>
          <w:tcPr>
            <w:tcW w:w="800" w:type="dxa"/>
            <w:vAlign w:val="bottom"/>
            <w:gridSpan w:val="2"/>
          </w:tcPr>
          <w:p>
            <w:pPr>
              <w:jc w:val="center"/>
              <w:ind w:right="140"/>
              <w:spacing w:after="0" w:line="168" w:lineRule="exact"/>
              <w:rPr>
                <w:sz w:val="20"/>
                <w:szCs w:val="20"/>
                <w:color w:val="auto"/>
              </w:rPr>
            </w:pPr>
            <w:r>
              <w:rPr>
                <w:rFonts w:ascii="Arial" w:cs="Arial" w:eastAsia="Arial" w:hAnsi="Arial"/>
                <w:sz w:val="12"/>
                <w:szCs w:val="12"/>
                <w:b w:val="1"/>
                <w:bCs w:val="1"/>
                <w:color w:val="auto"/>
                <w:w w:val="92"/>
              </w:rPr>
              <w:t>Return</w:t>
            </w:r>
            <w:r>
              <w:rPr>
                <w:rFonts w:ascii="Arial" w:cs="Arial" w:eastAsia="Arial" w:hAnsi="Arial"/>
                <w:sz w:val="19"/>
                <w:szCs w:val="19"/>
                <w:b w:val="1"/>
                <w:bCs w:val="1"/>
                <w:color w:val="auto"/>
                <w:w w:val="92"/>
                <w:vertAlign w:val="superscript"/>
              </w:rPr>
              <w:t>(5)</w:t>
            </w:r>
          </w:p>
        </w:tc>
        <w:tc>
          <w:tcPr>
            <w:tcW w:w="68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w w:val="92"/>
              </w:rPr>
              <w:t>Return</w:t>
            </w:r>
            <w:r>
              <w:rPr>
                <w:rFonts w:ascii="Arial" w:cs="Arial" w:eastAsia="Arial" w:hAnsi="Arial"/>
                <w:sz w:val="19"/>
                <w:szCs w:val="19"/>
                <w:b w:val="1"/>
                <w:bCs w:val="1"/>
                <w:color w:val="auto"/>
                <w:w w:val="92"/>
                <w:vertAlign w:val="superscript"/>
              </w:rPr>
              <w:t>(6)</w:t>
            </w:r>
          </w:p>
        </w:tc>
        <w:tc>
          <w:tcPr>
            <w:tcW w:w="140" w:type="dxa"/>
            <w:vAlign w:val="bottom"/>
          </w:tcPr>
          <w:p>
            <w:pPr>
              <w:spacing w:after="0"/>
              <w:rPr>
                <w:sz w:val="14"/>
                <w:szCs w:val="14"/>
                <w:color w:val="auto"/>
              </w:rPr>
            </w:pPr>
          </w:p>
        </w:tc>
        <w:tc>
          <w:tcPr>
            <w:tcW w:w="760" w:type="dxa"/>
            <w:vAlign w:val="bottom"/>
            <w:gridSpan w:val="2"/>
          </w:tcPr>
          <w:p>
            <w:pPr>
              <w:jc w:val="center"/>
              <w:ind w:right="120"/>
              <w:spacing w:after="0" w:line="168" w:lineRule="exact"/>
              <w:rPr>
                <w:sz w:val="20"/>
                <w:szCs w:val="20"/>
                <w:color w:val="auto"/>
              </w:rPr>
            </w:pPr>
            <w:r>
              <w:rPr>
                <w:rFonts w:ascii="Arial" w:cs="Arial" w:eastAsia="Arial" w:hAnsi="Arial"/>
                <w:sz w:val="12"/>
                <w:szCs w:val="12"/>
                <w:b w:val="1"/>
                <w:bCs w:val="1"/>
                <w:color w:val="auto"/>
                <w:w w:val="92"/>
              </w:rPr>
              <w:t>(millions)</w:t>
            </w:r>
            <w:r>
              <w:rPr>
                <w:rFonts w:ascii="Arial" w:cs="Arial" w:eastAsia="Arial" w:hAnsi="Arial"/>
                <w:sz w:val="19"/>
                <w:szCs w:val="19"/>
                <w:b w:val="1"/>
                <w:bCs w:val="1"/>
                <w:color w:val="auto"/>
                <w:w w:val="92"/>
                <w:vertAlign w:val="superscript"/>
              </w:rPr>
              <w:t>(7)</w:t>
            </w:r>
          </w:p>
        </w:tc>
        <w:tc>
          <w:tcPr>
            <w:tcW w:w="66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w w:val="90"/>
              </w:rPr>
              <w:t>(millions)</w:t>
            </w:r>
            <w:r>
              <w:rPr>
                <w:rFonts w:ascii="Arial" w:cs="Arial" w:eastAsia="Arial" w:hAnsi="Arial"/>
                <w:sz w:val="19"/>
                <w:szCs w:val="19"/>
                <w:b w:val="1"/>
                <w:bCs w:val="1"/>
                <w:color w:val="auto"/>
                <w:w w:val="90"/>
                <w:vertAlign w:val="superscript"/>
              </w:rPr>
              <w:t>(7)</w:t>
            </w:r>
          </w:p>
        </w:tc>
        <w:tc>
          <w:tcPr>
            <w:tcW w:w="0" w:type="dxa"/>
            <w:vAlign w:val="bottom"/>
          </w:tcPr>
          <w:p>
            <w:pPr>
              <w:spacing w:after="0"/>
              <w:rPr>
                <w:sz w:val="1"/>
                <w:szCs w:val="1"/>
                <w:color w:val="auto"/>
              </w:rPr>
            </w:pPr>
          </w:p>
        </w:tc>
      </w:tr>
      <w:tr>
        <w:trPr>
          <w:trHeight w:val="168"/>
        </w:trPr>
        <w:tc>
          <w:tcPr>
            <w:tcW w:w="78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4"/>
                <w:szCs w:val="14"/>
                <w:color w:val="auto"/>
              </w:rPr>
            </w:pPr>
          </w:p>
        </w:tc>
        <w:tc>
          <w:tcPr>
            <w:tcW w:w="820" w:type="dxa"/>
            <w:vAlign w:val="bottom"/>
          </w:tcPr>
          <w:p>
            <w:pPr>
              <w:jc w:val="right"/>
              <w:ind w:right="275"/>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80" w:type="dxa"/>
            <w:vAlign w:val="bottom"/>
            <w:gridSpan w:val="2"/>
          </w:tcPr>
          <w:p>
            <w:pPr>
              <w:jc w:val="center"/>
              <w:ind w:left="51"/>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39"/>
        </w:trPr>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263,058</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2,136,675</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4"/>
                <w:szCs w:val="14"/>
                <w:color w:val="auto"/>
              </w:rPr>
              <w:t>(2,043)</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(4,133,509)</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743,179</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(3,393,261)</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 ​4.91</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$77.63</w:t>
            </w:r>
          </w:p>
        </w:tc>
        <w:tc>
          <w:tcPr>
            <w:tcW w:w="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$(82.7)</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$215.5</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7"/>
                <w:szCs w:val="17"/>
                <w:color w:val="auto"/>
              </w:rPr>
            </w:pPr>
          </w:p>
        </w:tc>
        <w:tc>
          <w:tcPr>
            <w:tcW w:w="960" w:type="dxa"/>
            <w:vAlign w:val="bottom"/>
            <w:gridSpan w:val="2"/>
          </w:tcPr>
          <w:p>
            <w:pPr>
              <w:ind w:left="380"/>
              <w:spacing w:after="0"/>
              <w:rPr>
                <w:sz w:val="20"/>
                <w:szCs w:val="20"/>
                <w:color w:val="auto"/>
              </w:rPr>
            </w:pPr>
            <w:r>
              <w:rPr>
                <w:rFonts w:ascii="Arial" w:cs="Arial" w:eastAsia="Arial" w:hAnsi="Arial"/>
                <w:sz w:val="14"/>
                <w:szCs w:val="14"/>
                <w:color w:val="auto"/>
              </w:rPr>
              <w:t>N/A</w:t>
            </w:r>
          </w:p>
        </w:tc>
        <w:tc>
          <w:tcPr>
            <w:tcW w:w="800" w:type="dxa"/>
            <w:vAlign w:val="bottom"/>
          </w:tcPr>
          <w:p>
            <w:pPr>
              <w:jc w:val="right"/>
              <w:ind w:right="35"/>
              <w:spacing w:after="0"/>
              <w:rPr>
                <w:sz w:val="20"/>
                <w:szCs w:val="20"/>
                <w:color w:val="auto"/>
              </w:rPr>
            </w:pPr>
            <w:r>
              <w:rPr>
                <w:rFonts w:ascii="Arial" w:cs="Arial" w:eastAsia="Arial" w:hAnsi="Arial"/>
                <w:sz w:val="14"/>
                <w:szCs w:val="14"/>
                <w:color w:val="auto"/>
                <w:w w:val="96"/>
              </w:rPr>
              <w:t>10,614,467</w:t>
            </w:r>
          </w:p>
        </w:tc>
        <w:tc>
          <w:tcPr>
            <w:tcW w:w="140" w:type="dxa"/>
            <w:vAlign w:val="bottom"/>
          </w:tcPr>
          <w:p>
            <w:pPr>
              <w:spacing w:after="0"/>
              <w:rPr>
                <w:sz w:val="17"/>
                <w:szCs w:val="17"/>
                <w:color w:val="auto"/>
              </w:rPr>
            </w:pPr>
          </w:p>
        </w:tc>
        <w:tc>
          <w:tcPr>
            <w:tcW w:w="940" w:type="dxa"/>
            <w:vAlign w:val="bottom"/>
            <w:gridSpan w:val="2"/>
          </w:tcPr>
          <w:p>
            <w:pPr>
              <w:ind w:left="320"/>
              <w:spacing w:after="0"/>
              <w:rPr>
                <w:sz w:val="20"/>
                <w:szCs w:val="20"/>
                <w:color w:val="auto"/>
              </w:rPr>
            </w:pPr>
            <w:r>
              <w:rPr>
                <w:rFonts w:ascii="Arial" w:cs="Arial" w:eastAsia="Arial" w:hAnsi="Arial"/>
                <w:sz w:val="14"/>
                <w:szCs w:val="14"/>
                <w:color w:val="auto"/>
              </w:rPr>
              <w:t>N/A</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9,985,561</w:t>
            </w:r>
          </w:p>
        </w:tc>
        <w:tc>
          <w:tcPr>
            <w:tcW w:w="120" w:type="dxa"/>
            <w:vAlign w:val="bottom"/>
          </w:tcPr>
          <w:p>
            <w:pPr>
              <w:spacing w:after="0"/>
              <w:rPr>
                <w:sz w:val="17"/>
                <w:szCs w:val="17"/>
                <w:color w:val="auto"/>
              </w:rPr>
            </w:pPr>
          </w:p>
        </w:tc>
        <w:tc>
          <w:tcPr>
            <w:tcW w:w="820" w:type="dxa"/>
            <w:vAlign w:val="bottom"/>
          </w:tcPr>
          <w:p>
            <w:pPr>
              <w:jc w:val="right"/>
              <w:ind w:right="75"/>
              <w:spacing w:after="0"/>
              <w:rPr>
                <w:sz w:val="20"/>
                <w:szCs w:val="20"/>
                <w:color w:val="auto"/>
              </w:rPr>
            </w:pPr>
            <w:r>
              <w:rPr>
                <w:rFonts w:ascii="Arial" w:cs="Arial" w:eastAsia="Arial" w:hAnsi="Arial"/>
                <w:sz w:val="14"/>
                <w:szCs w:val="14"/>
                <w:color w:val="auto"/>
              </w:rPr>
              <w:t>6,099,502</w:t>
            </w:r>
          </w:p>
        </w:tc>
        <w:tc>
          <w:tcPr>
            <w:tcW w:w="140" w:type="dxa"/>
            <w:vAlign w:val="bottom"/>
          </w:tcPr>
          <w:p>
            <w:pPr>
              <w:spacing w:after="0"/>
              <w:rPr>
                <w:sz w:val="17"/>
                <w:szCs w:val="17"/>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678,800</w:t>
            </w:r>
          </w:p>
        </w:tc>
        <w:tc>
          <w:tcPr>
            <w:tcW w:w="1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$29.10</w:t>
            </w: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$97.57</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$152.2</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$193.1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-291465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-291465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-291465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-291465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-291465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-291465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-291465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-291465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-291465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-291465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59055</wp:posOffset>
            </wp:positionV>
            <wp:extent cx="8229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22" w:lineRule="exact"/>
        <w:rPr>
          <w:sz w:val="20"/>
          <w:szCs w:val="20"/>
          <w:color w:val="auto"/>
        </w:rPr>
      </w:pPr>
    </w:p>
    <w:p>
      <w:pPr>
        <w:jc w:val="both"/>
        <w:ind w:left="1760" w:right="540" w:hanging="348"/>
        <w:spacing w:after="0" w:line="238" w:lineRule="auto"/>
        <w:tabs>
          <w:tab w:leader="none" w:pos="1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dollar amounts reported are total compensation reported for Messrs. Francis (our Executive Chair and Principal Executive Officer) and Beals (our former Chief Executive Officer) for each corresponding year in the “Total” column of the Summary Compensation Table. Refer to “Executive Compensation—Summary Compensation Table.”</w:t>
      </w:r>
    </w:p>
    <w:p>
      <w:pPr>
        <w:spacing w:after="0" w:line="20" w:lineRule="exact"/>
        <w:rPr>
          <w:rFonts w:ascii="Arial" w:cs="Arial" w:eastAsia="Arial" w:hAnsi="Arial"/>
          <w:sz w:val="14"/>
          <w:szCs w:val="14"/>
          <w:color w:val="auto"/>
        </w:rPr>
      </w:pPr>
    </w:p>
    <w:p>
      <w:pPr>
        <w:jc w:val="both"/>
        <w:ind w:left="1760" w:right="540" w:hanging="348"/>
        <w:spacing w:after="0" w:line="233" w:lineRule="auto"/>
        <w:tabs>
          <w:tab w:leader="none" w:pos="1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dollar amounts reported represent “compensation actually paid” to Messrs. Francis and Beals as computed in accordance with Item 402(v) of Regulation S-K. The dollar amounts do not reflect the actual amount of compensation earned by or paid to Messrs. Francis and Beals during the applicable year. In accordance with the requirements of Item 402(v) of Regulation S-K, the following adjustments were made to Mr. Francis’ total compensation for each year to determine the compensation actually paid:</w:t>
      </w:r>
    </w:p>
    <w:p>
      <w:pPr>
        <w:sectPr>
          <w:pgSz w:w="11900" w:h="16838" w:orient="portrait"/>
          <w:cols w:equalWidth="0" w:num="1">
            <w:col w:w="10380"/>
          </w:cols>
          <w:pgMar w:left="320" w:top="125" w:right="1199" w:bottom="1440" w:gutter="0" w:footer="0" w:header="0"/>
        </w:sectPr>
      </w:pPr>
    </w:p>
    <w:p>
      <w:pPr>
        <w:spacing w:after="0" w:line="140"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40640</wp:posOffset>
            </wp:positionV>
            <wp:extent cx="5117465"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17465" cy="162560"/>
                    </a:xfrm>
                    <a:prstGeom prst="rect">
                      <a:avLst/>
                    </a:prstGeom>
                    <a:noFill/>
                  </pic:spPr>
                </pic:pic>
              </a:graphicData>
            </a:graphic>
          </wp:anchor>
        </w:drawing>
      </w:r>
    </w:p>
    <w:p>
      <w:pPr>
        <w:spacing w:after="0" w:line="93"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Summary Compensation Table total</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Less: Grant Date Fair Value of Stock Awards Granted in Fiscal Year</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-15875</wp:posOffset>
            </wp:positionV>
            <wp:extent cx="511746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ind w:left="1880" w:hanging="108"/>
        <w:spacing w:after="0"/>
        <w:tabs>
          <w:tab w:leader="none" w:pos="1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Fair Value at Fiscal Year-End of Outstanding Unvested Stock Awards Granted in Fiscal Year</w:t>
      </w:r>
      <w:r>
        <w:rPr>
          <w:rFonts w:ascii="Arial" w:cs="Arial" w:eastAsia="Arial" w:hAnsi="Arial"/>
          <w:sz w:val="23"/>
          <w:szCs w:val="23"/>
          <w:color w:val="auto"/>
          <w:vertAlign w:val="superscript"/>
        </w:rPr>
        <w:t>(b)(i)</w:t>
      </w:r>
    </w:p>
    <w:p>
      <w:pPr>
        <w:spacing w:after="0" w:line="5" w:lineRule="exact"/>
        <w:rPr>
          <w:rFonts w:ascii="Arial" w:cs="Arial" w:eastAsia="Arial" w:hAnsi="Arial"/>
          <w:sz w:val="14"/>
          <w:szCs w:val="14"/>
          <w:color w:val="auto"/>
        </w:rPr>
      </w:pPr>
    </w:p>
    <w:p>
      <w:pPr>
        <w:ind w:left="1880" w:hanging="108"/>
        <w:spacing w:after="0"/>
        <w:tabs>
          <w:tab w:leader="none" w:pos="1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in Fair Value of Outstanding Unvested Stock Awards Granted in Prior Fiscal Years</w:t>
      </w:r>
      <w:r>
        <w:rPr>
          <w:rFonts w:ascii="Arial" w:cs="Arial" w:eastAsia="Arial" w:hAnsi="Arial"/>
          <w:sz w:val="23"/>
          <w:szCs w:val="23"/>
          <w:color w:val="auto"/>
          <w:vertAlign w:val="superscript"/>
        </w:rPr>
        <w:t>(b)(ii)</w:t>
      </w:r>
    </w:p>
    <w:p>
      <w:pPr>
        <w:spacing w:after="0" w:line="5" w:lineRule="exact"/>
        <w:rPr>
          <w:rFonts w:ascii="Arial" w:cs="Arial" w:eastAsia="Arial" w:hAnsi="Arial"/>
          <w:sz w:val="14"/>
          <w:szCs w:val="14"/>
          <w:color w:val="auto"/>
        </w:rPr>
      </w:pPr>
    </w:p>
    <w:p>
      <w:pPr>
        <w:ind w:left="1880" w:hanging="108"/>
        <w:spacing w:after="0" w:line="237" w:lineRule="auto"/>
        <w:tabs>
          <w:tab w:leader="none" w:pos="1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Fair Value at Vesting of Stock Awards Granted in Fiscal Year That Vested During Fiscal Year</w:t>
      </w:r>
      <w:r>
        <w:rPr>
          <w:rFonts w:ascii="Arial" w:cs="Arial" w:eastAsia="Arial" w:hAnsi="Arial"/>
          <w:sz w:val="23"/>
          <w:szCs w:val="23"/>
          <w:color w:val="auto"/>
          <w:vertAlign w:val="superscript"/>
        </w:rPr>
        <w:t>(b)(iii)</w:t>
      </w:r>
    </w:p>
    <w:p>
      <w:pPr>
        <w:ind w:left="1920" w:hanging="148"/>
        <w:spacing w:after="0" w:line="236" w:lineRule="auto"/>
        <w:tabs>
          <w:tab w:leader="none" w:pos="1891"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in Fair Value as of Vesting Date of Stock Awards Granted in Prior Fiscal Years For Which Applicable Vesting Conditions Were Satisfied During Fiscal Year</w:t>
      </w:r>
      <w:r>
        <w:rPr>
          <w:rFonts w:ascii="Arial" w:cs="Arial" w:eastAsia="Arial" w:hAnsi="Arial"/>
          <w:sz w:val="23"/>
          <w:szCs w:val="23"/>
          <w:color w:val="auto"/>
          <w:vertAlign w:val="superscript"/>
        </w:rPr>
        <w:t>(b)(iv)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-457835</wp:posOffset>
            </wp:positionV>
            <wp:extent cx="511746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17465" cy="17145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-20955</wp:posOffset>
            </wp:positionV>
            <wp:extent cx="5117465"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17465" cy="240030"/>
                    </a:xfrm>
                    <a:prstGeom prst="rect">
                      <a:avLst/>
                    </a:prstGeom>
                    <a:noFill/>
                  </pic:spPr>
                </pic:pic>
              </a:graphicData>
            </a:graphic>
          </wp:anchor>
        </w:drawing>
      </w:r>
    </w:p>
    <w:p>
      <w:pPr>
        <w:ind w:left="1920" w:right="100" w:hanging="148"/>
        <w:spacing w:after="0" w:line="237" w:lineRule="auto"/>
        <w:tabs>
          <w:tab w:leader="none" w:pos="18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Fair Value as of Prior Fiscal Year-End of Stock Awards Granted in Prior Fiscal Years That Failed to Meet Applicable Vesting Conditions During Fiscal Year</w:t>
      </w:r>
    </w:p>
    <w:p>
      <w:pPr>
        <w:spacing w:after="0" w:line="48"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24"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197"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24"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24"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24"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305"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346"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65" w:lineRule="exact"/>
        <w:rPr>
          <w:sz w:val="20"/>
          <w:szCs w:val="20"/>
          <w:color w:val="auto"/>
        </w:rPr>
      </w:pPr>
    </w:p>
    <w:p>
      <w:pPr>
        <w:spacing w:after="0"/>
        <w:tabs>
          <w:tab w:leader="none" w:pos="1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2022</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263,058</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(193,357)</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41,908</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(100,329)</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0</w:t>
      </w:r>
    </w:p>
    <w:p>
      <w:pPr>
        <w:spacing w:after="0" w:line="258" w:lineRule="exact"/>
        <w:rPr>
          <w:sz w:val="20"/>
          <w:szCs w:val="20"/>
          <w:color w:val="auto"/>
        </w:rPr>
      </w:pPr>
    </w:p>
    <w:p>
      <w:pPr>
        <w:ind w:left="80"/>
        <w:spacing w:after="0"/>
        <w:rPr>
          <w:sz w:val="20"/>
          <w:szCs w:val="20"/>
          <w:color w:val="auto"/>
        </w:rPr>
      </w:pPr>
      <w:r>
        <w:rPr>
          <w:rFonts w:ascii="Arial" w:cs="Arial" w:eastAsia="Arial" w:hAnsi="Arial"/>
          <w:sz w:val="12"/>
          <w:szCs w:val="12"/>
          <w:color w:val="auto"/>
        </w:rPr>
        <w:t>(13,323)</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0</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(2,043)</w:t>
      </w:r>
    </w:p>
    <w:p>
      <w:pPr>
        <w:spacing w:after="0" w:line="107" w:lineRule="exact"/>
        <w:rPr>
          <w:sz w:val="20"/>
          <w:szCs w:val="20"/>
          <w:color w:val="auto"/>
        </w:rPr>
      </w:pPr>
    </w:p>
    <w:p>
      <w:pPr>
        <w:sectPr>
          <w:pgSz w:w="11900" w:h="16838" w:orient="portrait"/>
          <w:cols w:equalWidth="0" w:num="3">
            <w:col w:w="8680" w:space="180"/>
            <w:col w:w="220" w:space="180"/>
            <w:col w:w="1120"/>
          </w:cols>
          <w:pgMar w:left="320" w:top="125" w:right="1199" w:bottom="1440" w:gutter="0" w:footer="0" w:header="0"/>
          <w:type w:val="continuous"/>
        </w:sectPr>
      </w:pPr>
    </w:p>
    <w:p>
      <w:pPr>
        <w:ind w:left="1780" w:right="540"/>
        <w:spacing w:after="0" w:line="253" w:lineRule="auto"/>
        <w:rPr>
          <w:sz w:val="20"/>
          <w:szCs w:val="20"/>
          <w:color w:val="auto"/>
        </w:rPr>
      </w:pPr>
      <w:r>
        <w:rPr>
          <w:rFonts w:ascii="Arial" w:cs="Arial" w:eastAsia="Arial" w:hAnsi="Arial"/>
          <w:sz w:val="14"/>
          <w:szCs w:val="14"/>
          <w:color w:val="auto"/>
        </w:rPr>
        <w:t>In accordance with the requirements of Item 402(v) of Regulation S-K, the following adjustments were made to Mr. Beals’ total compensation for each year to determine the compensation actually paid:</w:t>
      </w:r>
    </w:p>
    <w:p>
      <w:pPr>
        <w:spacing w:after="0" w:line="85"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598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gridSpan w:val="2"/>
          </w:tcPr>
          <w:p>
            <w:pPr>
              <w:ind w:left="20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00" w:type="dxa"/>
            <w:vAlign w:val="bottom"/>
            <w:gridSpan w:val="2"/>
          </w:tcPr>
          <w:p>
            <w:pPr>
              <w:jc w:val="right"/>
              <w:ind w:right="6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2021</w:t>
            </w:r>
          </w:p>
        </w:tc>
      </w:tr>
      <w:tr>
        <w:trPr>
          <w:trHeight w:val="112"/>
        </w:trPr>
        <w:tc>
          <w:tcPr>
            <w:tcW w:w="5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Summary Compensation Table total</w:t>
            </w:r>
          </w:p>
        </w:tc>
        <w:tc>
          <w:tcPr>
            <w:tcW w:w="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4"/>
                <w:szCs w:val="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4"/>
                <w:szCs w:val="4"/>
                <w:color w:val="auto"/>
              </w:rPr>
              <w:t>​</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 xml:space="preserve">2,136,675 </w:t>
            </w:r>
            <w:r>
              <w:rPr>
                <w:rFonts w:ascii="Arial" w:cs="Arial" w:eastAsia="Arial" w:hAnsi="Arial"/>
                <w:sz w:val="3"/>
                <w:szCs w:val="3"/>
                <w:color w:val="auto"/>
                <w:w w:val="99"/>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4"/>
                <w:szCs w:val="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10,614,467</w:t>
            </w:r>
          </w:p>
        </w:tc>
      </w:tr>
      <w:tr>
        <w:trPr>
          <w:trHeight w:val="270"/>
        </w:trPr>
        <w:tc>
          <w:tcPr>
            <w:tcW w:w="5980" w:type="dxa"/>
            <w:vAlign w:val="bottom"/>
          </w:tcPr>
          <w:p>
            <w:pPr>
              <w:spacing w:after="0"/>
              <w:rPr>
                <w:sz w:val="20"/>
                <w:szCs w:val="20"/>
                <w:color w:val="auto"/>
              </w:rPr>
            </w:pPr>
            <w:r>
              <w:rPr>
                <w:rFonts w:ascii="Arial" w:cs="Arial" w:eastAsia="Arial" w:hAnsi="Arial"/>
                <w:sz w:val="14"/>
                <w:szCs w:val="14"/>
                <w:color w:val="auto"/>
              </w:rPr>
              <w:t>Less: Grant Date Fair Value of Stock Awards Granted in Fiscal Year</w:t>
            </w:r>
            <w:r>
              <w:rPr>
                <w:rFonts w:ascii="Arial" w:cs="Arial" w:eastAsia="Arial" w:hAnsi="Arial"/>
                <w:sz w:val="23"/>
                <w:szCs w:val="23"/>
                <w:color w:val="auto"/>
                <w:vertAlign w:val="superscript"/>
              </w:rPr>
              <w:t>(a)</w:t>
            </w:r>
          </w:p>
        </w:tc>
        <w:tc>
          <w:tcPr>
            <w:tcW w:w="260" w:type="dxa"/>
            <w:vAlign w:val="bottom"/>
            <w:gridSpan w:val="2"/>
          </w:tcPr>
          <w:p>
            <w:pPr>
              <w:ind w:left="20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(565,430)</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(10,000,000)</w:t>
            </w:r>
          </w:p>
        </w:tc>
      </w:tr>
      <w:tr>
        <w:trPr>
          <w:trHeight w:val="270"/>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w w:val="96"/>
              </w:rPr>
              <w:t>± Fair Value at Fiscal Year-End of Outstanding Unvested Stock Awards Granted in Fiscal Year</w:t>
            </w:r>
            <w:r>
              <w:rPr>
                <w:rFonts w:ascii="Arial" w:cs="Arial" w:eastAsia="Arial" w:hAnsi="Arial"/>
                <w:sz w:val="23"/>
                <w:szCs w:val="23"/>
                <w:color w:val="auto"/>
                <w:w w:val="96"/>
                <w:vertAlign w:val="superscript"/>
              </w:rPr>
              <w:t>(b)(i)</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4"/>
                <w:szCs w:val="4"/>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4"/>
                <w:szCs w:val="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gridSpan w:val="2"/>
            <w:shd w:val="clear" w:color="auto" w:fill="CCEEFF"/>
          </w:tcPr>
          <w:p>
            <w:pPr>
              <w:jc w:val="right"/>
              <w:ind w:right="60"/>
              <w:spacing w:after="0"/>
              <w:rPr>
                <w:sz w:val="20"/>
                <w:szCs w:val="20"/>
                <w:color w:val="auto"/>
              </w:rPr>
            </w:pPr>
            <w:r>
              <w:rPr>
                <w:rFonts w:ascii="Arial" w:cs="Arial" w:eastAsia="Arial" w:hAnsi="Arial"/>
                <w:sz w:val="4"/>
                <w:szCs w:val="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4"/>
                <w:szCs w:val="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8,954,422</w:t>
            </w:r>
          </w:p>
        </w:tc>
      </w:tr>
      <w:tr>
        <w:trPr>
          <w:trHeight w:val="270"/>
        </w:trPr>
        <w:tc>
          <w:tcPr>
            <w:tcW w:w="5980" w:type="dxa"/>
            <w:vAlign w:val="bottom"/>
          </w:tcPr>
          <w:p>
            <w:pPr>
              <w:spacing w:after="0"/>
              <w:rPr>
                <w:sz w:val="20"/>
                <w:szCs w:val="20"/>
                <w:color w:val="auto"/>
              </w:rPr>
            </w:pPr>
            <w:r>
              <w:rPr>
                <w:rFonts w:ascii="Arial" w:cs="Arial" w:eastAsia="Arial" w:hAnsi="Arial"/>
                <w:sz w:val="14"/>
                <w:szCs w:val="14"/>
                <w:color w:val="auto"/>
                <w:w w:val="97"/>
              </w:rPr>
              <w:t>± Change in Fair Value of Outstanding Unvested Stock Awards Granted in Prior Fiscal Years</w:t>
            </w:r>
            <w:r>
              <w:rPr>
                <w:rFonts w:ascii="Arial" w:cs="Arial" w:eastAsia="Arial" w:hAnsi="Arial"/>
                <w:sz w:val="23"/>
                <w:szCs w:val="23"/>
                <w:color w:val="auto"/>
                <w:w w:val="97"/>
                <w:vertAlign w:val="superscript"/>
              </w:rPr>
              <w:t>(b)(ii)</w:t>
            </w:r>
          </w:p>
        </w:tc>
        <w:tc>
          <w:tcPr>
            <w:tcW w:w="260" w:type="dxa"/>
            <w:vAlign w:val="bottom"/>
            <w:gridSpan w:val="2"/>
          </w:tcPr>
          <w:p>
            <w:pPr>
              <w:ind w:left="20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gridSpan w:val="2"/>
          </w:tcPr>
          <w:p>
            <w:pPr>
              <w:jc w:val="right"/>
              <w:ind w:right="6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r>
      <w:tr>
        <w:trPr>
          <w:trHeight w:val="270"/>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w w:val="95"/>
              </w:rPr>
              <w:t>± Fair Value at Vesting of Stock Awards Granted in Fiscal Year That Vested During Fiscal Year</w:t>
            </w:r>
            <w:r>
              <w:rPr>
                <w:rFonts w:ascii="Arial" w:cs="Arial" w:eastAsia="Arial" w:hAnsi="Arial"/>
                <w:sz w:val="23"/>
                <w:szCs w:val="23"/>
                <w:color w:val="auto"/>
                <w:w w:val="95"/>
                <w:vertAlign w:val="superscript"/>
              </w:rPr>
              <w:t>(b)(iii)</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4"/>
                <w:szCs w:val="4"/>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4"/>
                <w:szCs w:val="4"/>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 xml:space="preserve">565,430 </w:t>
            </w:r>
            <w:r>
              <w:rPr>
                <w:rFonts w:ascii="Arial" w:cs="Arial" w:eastAsia="Arial" w:hAnsi="Arial"/>
                <w:sz w:val="3"/>
                <w:szCs w:val="3"/>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4"/>
                <w:szCs w:val="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416,672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-847725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-847725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380"/>
          </w:cols>
          <w:pgMar w:left="320" w:top="125" w:right="1199" w:bottom="1440" w:gutter="0" w:footer="0" w:header="0"/>
          <w:type w:val="continuous"/>
        </w:sectPr>
      </w:pPr>
    </w:p>
    <w:p>
      <w:pPr>
        <w:spacing w:after="0" w:line="22" w:lineRule="exact"/>
        <w:rPr>
          <w:sz w:val="20"/>
          <w:szCs w:val="20"/>
          <w:color w:val="auto"/>
        </w:rPr>
      </w:pPr>
    </w:p>
    <w:p>
      <w:pPr>
        <w:ind w:left="1920" w:right="380" w:hanging="148"/>
        <w:spacing w:after="0" w:line="242" w:lineRule="auto"/>
        <w:tabs>
          <w:tab w:leader="none" w:pos="1891" w:val="left"/>
        </w:tabs>
        <w:numPr>
          <w:ilvl w:val="0"/>
          <w:numId w:val="62"/>
        </w:numPr>
        <w:rPr>
          <w:rFonts w:ascii="Arial" w:cs="Arial" w:eastAsia="Arial" w:hAnsi="Arial"/>
          <w:sz w:val="14"/>
          <w:szCs w:val="14"/>
          <w:color w:val="auto"/>
        </w:rPr>
      </w:pPr>
      <w:r>
        <w:rPr>
          <w:rFonts w:ascii="Arial" w:cs="Arial" w:eastAsia="Arial" w:hAnsi="Arial"/>
          <w:sz w:val="14"/>
          <w:szCs w:val="14"/>
          <w:color w:val="auto"/>
        </w:rPr>
        <w:t>Change in Fair Value as of Vesting Date of Stock Awards Granted in Prior Fiscal Years For Which Applicable Vesting Conditions Were Satisfied During Fiscal Year</w:t>
      </w:r>
      <w:r>
        <w:rPr>
          <w:rFonts w:ascii="Arial" w:cs="Arial" w:eastAsia="Arial" w:hAnsi="Arial"/>
          <w:sz w:val="23"/>
          <w:szCs w:val="23"/>
          <w:color w:val="auto"/>
          <w:vertAlign w:val="superscript"/>
        </w:rPr>
        <w:t>(b)(iv)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-19685</wp:posOffset>
            </wp:positionV>
            <wp:extent cx="5117465" cy="2660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17465" cy="266065"/>
                    </a:xfrm>
                    <a:prstGeom prst="rect">
                      <a:avLst/>
                    </a:prstGeom>
                    <a:noFill/>
                  </pic:spPr>
                </pic:pic>
              </a:graphicData>
            </a:graphic>
          </wp:anchor>
        </w:drawing>
      </w:r>
    </w:p>
    <w:p>
      <w:pPr>
        <w:ind w:left="1920" w:hanging="148"/>
        <w:spacing w:after="0" w:line="236" w:lineRule="auto"/>
        <w:tabs>
          <w:tab w:leader="none" w:pos="18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Fair Value as of Prior Fiscal Year-End of Stock Awards Granted in Prior Fiscal Years That Failed to Meet Applicable Vesting Conditions During Fiscal Year</w:t>
      </w:r>
      <w:r>
        <w:rPr>
          <w:rFonts w:ascii="Arial" w:cs="Arial" w:eastAsia="Arial" w:hAnsi="Arial"/>
          <w:sz w:val="23"/>
          <w:szCs w:val="23"/>
          <w:color w:val="auto"/>
          <w:vertAlign w:val="superscript"/>
        </w:rPr>
        <w:t>(b)(v)</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100" w:val="left"/>
          <w:tab w:leader="none" w:pos="880" w:val="left"/>
          <w:tab w:leader="none" w:pos="9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jc w:val="both"/>
        <w:ind w:left="340"/>
        <w:spacing w:after="0"/>
        <w:tabs>
          <w:tab w:leader="none" w:pos="1720" w:val="left"/>
        </w:tabs>
        <w:rPr>
          <w:sz w:val="20"/>
          <w:szCs w:val="20"/>
          <w:color w:val="auto"/>
        </w:rPr>
      </w:pPr>
      <w:r>
        <w:rPr>
          <w:rFonts w:ascii="Arial" w:cs="Arial" w:eastAsia="Arial" w:hAnsi="Arial"/>
          <w:sz w:val="14"/>
          <w:szCs w:val="14"/>
          <w:color w:val="auto"/>
        </w:rPr>
        <w:t>(235,676)</w:t>
      </w:r>
      <w:r>
        <w:rPr>
          <w:sz w:val="20"/>
          <w:szCs w:val="20"/>
          <w:color w:val="auto"/>
        </w:rPr>
        <w:tab/>
      </w:r>
      <w:r>
        <w:rPr>
          <w:rFonts w:ascii="Arial" w:cs="Arial" w:eastAsia="Arial" w:hAnsi="Arial"/>
          <w:sz w:val="14"/>
          <w:szCs w:val="14"/>
          <w:color w:val="auto"/>
        </w:rPr>
        <w:t>0</w:t>
      </w:r>
    </w:p>
    <w:p>
      <w:pPr>
        <w:spacing w:after="0" w:line="212" w:lineRule="exact"/>
        <w:rPr>
          <w:sz w:val="20"/>
          <w:szCs w:val="20"/>
          <w:color w:val="auto"/>
        </w:rPr>
      </w:pPr>
    </w:p>
    <w:p>
      <w:pPr>
        <w:spacing w:after="0"/>
        <w:tabs>
          <w:tab w:leader="none" w:pos="100" w:val="left"/>
          <w:tab w:leader="none" w:pos="880" w:val="left"/>
          <w:tab w:leader="none" w:pos="9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jc w:val="both"/>
        <w:ind w:left="220"/>
        <w:spacing w:after="0"/>
        <w:tabs>
          <w:tab w:leader="none" w:pos="1720" w:val="left"/>
        </w:tabs>
        <w:rPr>
          <w:sz w:val="20"/>
          <w:szCs w:val="20"/>
          <w:color w:val="auto"/>
        </w:rPr>
      </w:pPr>
      <w:r>
        <w:rPr>
          <w:rFonts w:ascii="Arial" w:cs="Arial" w:eastAsia="Arial" w:hAnsi="Arial"/>
          <w:sz w:val="14"/>
          <w:szCs w:val="14"/>
          <w:color w:val="auto"/>
        </w:rPr>
        <w:t>(6,034,508)</w:t>
      </w:r>
      <w:r>
        <w:rPr>
          <w:sz w:val="20"/>
          <w:szCs w:val="20"/>
          <w:color w:val="auto"/>
        </w:rPr>
        <w:tab/>
      </w:r>
      <w:r>
        <w:rPr>
          <w:rFonts w:ascii="Arial" w:cs="Arial" w:eastAsia="Arial" w:hAnsi="Arial"/>
          <w:sz w:val="14"/>
          <w:szCs w:val="14"/>
          <w:color w:val="auto"/>
        </w:rPr>
        <w:t>0</w:t>
      </w:r>
    </w:p>
    <w:p>
      <w:pPr>
        <w:spacing w:after="0" w:line="69" w:lineRule="exact"/>
        <w:rPr>
          <w:sz w:val="20"/>
          <w:szCs w:val="20"/>
          <w:color w:val="auto"/>
        </w:rPr>
      </w:pPr>
    </w:p>
    <w:p>
      <w:pPr>
        <w:sectPr>
          <w:pgSz w:w="11900" w:h="16838" w:orient="portrait"/>
          <w:cols w:equalWidth="0" w:num="2">
            <w:col w:w="7920" w:space="40"/>
            <w:col w:w="2420"/>
          </w:cols>
          <w:pgMar w:left="320" w:top="125" w:right="1199" w:bottom="1440" w:gutter="0" w:footer="0" w:header="0"/>
          <w:type w:val="continuous"/>
        </w:sectPr>
      </w:pPr>
    </w:p>
    <w:p>
      <w:pPr>
        <w:ind w:left="1780"/>
        <w:spacing w:after="0"/>
        <w:tabs>
          <w:tab w:leader="none" w:pos="7940" w:val="left"/>
          <w:tab w:leader="none" w:pos="8060" w:val="left"/>
          <w:tab w:leader="none" w:pos="8160" w:val="left"/>
          <w:tab w:leader="none" w:pos="9160" w:val="left"/>
        </w:tabs>
        <w:rPr>
          <w:sz w:val="20"/>
          <w:szCs w:val="20"/>
          <w:color w:val="auto"/>
        </w:rPr>
      </w:pPr>
      <w:r>
        <w:rPr>
          <w:rFonts w:ascii="Arial" w:cs="Arial" w:eastAsia="Arial" w:hAnsi="Arial"/>
          <w:sz w:val="14"/>
          <w:szCs w:val="14"/>
          <w:color w:val="auto"/>
        </w:rPr>
        <w:t>Compensation Actually Paid</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color w:val="auto"/>
        </w:rPr>
        <w:t>(4,133,509)</w:t>
      </w:r>
      <w:r>
        <w:rPr>
          <w:rFonts w:ascii="Arial" w:cs="Arial" w:eastAsia="Arial" w:hAnsi="Arial"/>
          <w:sz w:val="3"/>
          <w:szCs w:val="3"/>
          <w:color w:val="auto"/>
        </w:rPr>
        <w:t>​      ​</w:t>
      </w:r>
      <w:r>
        <w:rPr>
          <w:sz w:val="20"/>
          <w:szCs w:val="20"/>
          <w:color w:val="auto"/>
        </w:rPr>
        <w:tab/>
      </w:r>
      <w:r>
        <w:rPr>
          <w:rFonts w:ascii="Arial" w:cs="Arial" w:eastAsia="Arial" w:hAnsi="Arial"/>
          <w:sz w:val="13"/>
          <w:szCs w:val="13"/>
          <w:color w:val="auto"/>
        </w:rPr>
        <w:t>9,985,561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184785</wp:posOffset>
            </wp:positionV>
            <wp:extent cx="8229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0" w:lineRule="exact"/>
        <w:rPr>
          <w:sz w:val="20"/>
          <w:szCs w:val="20"/>
          <w:color w:val="auto"/>
        </w:rPr>
      </w:pPr>
    </w:p>
    <w:p>
      <w:pPr>
        <w:ind w:left="2120" w:right="560" w:hanging="348"/>
        <w:spacing w:after="0" w:line="253" w:lineRule="auto"/>
        <w:tabs>
          <w:tab w:leader="none" w:pos="21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grant date fair value of equity awards represents the total of the amounts reported in the “Stock Awards” and “Option Awards” columns in the Summary Compensation Table for the applicable year.</w:t>
      </w:r>
    </w:p>
    <w:p>
      <w:pPr>
        <w:spacing w:after="0" w:line="11" w:lineRule="exact"/>
        <w:rPr>
          <w:rFonts w:ascii="Arial" w:cs="Arial" w:eastAsia="Arial" w:hAnsi="Arial"/>
          <w:sz w:val="14"/>
          <w:szCs w:val="14"/>
          <w:color w:val="auto"/>
        </w:rPr>
      </w:pPr>
    </w:p>
    <w:p>
      <w:pPr>
        <w:jc w:val="both"/>
        <w:ind w:left="2120" w:right="540" w:hanging="348"/>
        <w:spacing w:after="0" w:line="248" w:lineRule="auto"/>
        <w:tabs>
          <w:tab w:leader="none" w:pos="21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w:t>
      </w:r>
    </w:p>
    <w:p>
      <w:pPr>
        <w:jc w:val="both"/>
        <w:ind w:left="2120" w:right="560" w:firstLine="3"/>
        <w:spacing w:after="0" w:line="232" w:lineRule="auto"/>
        <w:tabs>
          <w:tab w:leader="none" w:pos="2349" w:val="left"/>
        </w:tabs>
        <w:numPr>
          <w:ilvl w:val="1"/>
          <w:numId w:val="64"/>
        </w:numPr>
        <w:rPr>
          <w:rFonts w:ascii="Arial" w:cs="Arial" w:eastAsia="Arial" w:hAnsi="Arial"/>
          <w:sz w:val="14"/>
          <w:szCs w:val="14"/>
          <w:color w:val="auto"/>
        </w:rPr>
      </w:pPr>
      <w:r>
        <w:rPr>
          <w:rFonts w:ascii="Arial" w:cs="Arial" w:eastAsia="Arial" w:hAnsi="Arial"/>
          <w:sz w:val="14"/>
          <w:szCs w:val="14"/>
          <w:color w:val="auto"/>
        </w:rPr>
        <w:t>the amount of change as of the end of the applicable year (from the end of the prior fiscal year) in fair value of any awards granted in prior years that are outstanding and unvested as of the end of the applicable year; (iii) for awards that are granted and vest in same</w:t>
      </w:r>
    </w:p>
    <w:p>
      <w:pPr>
        <w:spacing w:after="0" w:line="1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80"/>
          </w:cols>
          <w:pgMar w:left="320" w:top="125" w:right="1199" w:bottom="1440" w:gutter="0" w:footer="0" w:header="0"/>
          <w:type w:val="continuous"/>
        </w:sectPr>
      </w:pPr>
    </w:p>
    <w:bookmarkStart w:id="55" w:name="page56"/>
    <w:bookmarkEnd w:id="5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1020" w:right="299"/>
        <w:spacing w:after="0" w:line="233" w:lineRule="auto"/>
        <w:rPr>
          <w:sz w:val="20"/>
          <w:szCs w:val="20"/>
          <w:color w:val="auto"/>
        </w:rPr>
      </w:pPr>
      <w:r>
        <w:rPr>
          <w:rFonts w:ascii="Arial" w:cs="Arial" w:eastAsia="Arial" w:hAnsi="Arial"/>
          <w:sz w:val="14"/>
          <w:szCs w:val="14"/>
          <w:color w:val="auto"/>
        </w:rPr>
        <w:t>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a deduction for the amount equal to the fair value at the end of the prior fiscal year.</w:t>
      </w:r>
    </w:p>
    <w:p>
      <w:pPr>
        <w:spacing w:after="0" w:line="23" w:lineRule="exact"/>
        <w:rPr>
          <w:sz w:val="20"/>
          <w:szCs w:val="20"/>
          <w:color w:val="auto"/>
        </w:rPr>
      </w:pPr>
    </w:p>
    <w:p>
      <w:pPr>
        <w:jc w:val="both"/>
        <w:ind w:left="640" w:right="299" w:hanging="348"/>
        <w:spacing w:after="0" w:line="251" w:lineRule="auto"/>
        <w:tabs>
          <w:tab w:leader="none" w:pos="6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dollar amounts reported represent the average of the amounts reported for the NEOs as a group (excluding our PEO) in the “Total” column of the Summary Compensation Table in each applicable year. The NEOs (excluding our PEO) included for purposes of calculating the average amounts in each applicable year are as follows: (i) for 2022, Arden Lee, Chief Financial Officer; Brian Camire, General Counsel; Duncan Grazier, Chief Technology Officer; Juanjo Feijoo, former Chief Operating Officer and Justin Dean, former Chief Technology Officer and Chief Information Officer; and (ii) for 2021, Messrs. Lee, Camire, Dean and Feijoo.</w:t>
      </w:r>
    </w:p>
    <w:p>
      <w:pPr>
        <w:spacing w:after="0" w:line="14"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dollar amounts reported represent the average amount of “compensation actually paid” to the NEOs as a group (excluding our PEO), as computed in accordance with Item 402(v) of Regulation S-K. The dollar amounts do not reflect the actual average amount of compensation earned by or paid to the NEOs as a group (excluding our PEO) during the applicable year. In accordance with the requirements of Item 402(v) of Regulation S-K, the following adjustments were made to average total compensation for the NEOs as a group (excluding our PEO) for each year to determine the compensation actually paid, using the same methodology described above in Note (2):</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160" w:type="dxa"/>
            <w:vAlign w:val="bottom"/>
          </w:tcPr>
          <w:p>
            <w:pPr>
              <w:jc w:val="center"/>
              <w:ind w:right="53"/>
              <w:spacing w:after="0"/>
              <w:rPr>
                <w:sz w:val="20"/>
                <w:szCs w:val="20"/>
                <w:color w:val="auto"/>
              </w:rPr>
            </w:pPr>
            <w:r>
              <w:rPr>
                <w:rFonts w:ascii="Arial" w:cs="Arial" w:eastAsia="Arial" w:hAnsi="Arial"/>
                <w:sz w:val="13"/>
                <w:szCs w:val="13"/>
                <w:b w:val="1"/>
                <w:bCs w:val="1"/>
                <w:color w:val="auto"/>
                <w:w w:val="93"/>
              </w:rPr>
              <w:t>Average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Average Equity</w:t>
            </w:r>
          </w:p>
        </w:tc>
        <w:tc>
          <w:tcPr>
            <w:tcW w:w="2380" w:type="dxa"/>
            <w:vAlign w:val="bottom"/>
          </w:tcPr>
          <w:p>
            <w:pPr>
              <w:spacing w:after="0"/>
              <w:rPr>
                <w:sz w:val="14"/>
                <w:szCs w:val="14"/>
                <w:color w:val="auto"/>
              </w:rPr>
            </w:pPr>
          </w:p>
        </w:tc>
      </w:tr>
      <w:tr>
        <w:trPr>
          <w:trHeight w:val="148"/>
        </w:trPr>
        <w:tc>
          <w:tcPr>
            <w:tcW w:w="760" w:type="dxa"/>
            <w:vAlign w:val="bottom"/>
          </w:tcPr>
          <w:p>
            <w:pPr>
              <w:ind w:left="640"/>
              <w:spacing w:after="0"/>
              <w:rPr>
                <w:sz w:val="20"/>
                <w:szCs w:val="20"/>
                <w:color w:val="auto"/>
              </w:rPr>
            </w:pPr>
            <w:r>
              <w:rPr>
                <w:rFonts w:ascii="Arial" w:cs="Arial" w:eastAsia="Arial" w:hAnsi="Arial"/>
                <w:sz w:val="4"/>
                <w:szCs w:val="4"/>
                <w:color w:val="auto"/>
              </w:rPr>
              <w:t>​   ​</w:t>
            </w:r>
          </w:p>
        </w:tc>
        <w:tc>
          <w:tcPr>
            <w:tcW w:w="2160" w:type="dxa"/>
            <w:vAlign w:val="bottom"/>
          </w:tcPr>
          <w:p>
            <w:pPr>
              <w:ind w:left="20"/>
              <w:spacing w:after="0"/>
              <w:rPr>
                <w:sz w:val="20"/>
                <w:szCs w:val="20"/>
                <w:color w:val="auto"/>
              </w:rPr>
            </w:pPr>
            <w:r>
              <w:rPr>
                <w:rFonts w:ascii="Arial" w:cs="Arial" w:eastAsia="Arial" w:hAnsi="Arial"/>
                <w:sz w:val="13"/>
                <w:szCs w:val="13"/>
                <w:b w:val="1"/>
                <w:bCs w:val="1"/>
                <w:color w:val="auto"/>
                <w:w w:val="97"/>
              </w:rPr>
              <w:t>Reported Summary Compensation</w:t>
            </w:r>
            <w:r>
              <w:rPr>
                <w:rFonts w:ascii="Arial" w:cs="Arial" w:eastAsia="Arial" w:hAnsi="Arial"/>
                <w:sz w:val="7"/>
                <w:szCs w:val="7"/>
                <w:color w:val="auto"/>
                <w:w w:val="97"/>
                <w:vertAlign w:val="subscript"/>
              </w:rPr>
              <w:t>​   ​</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4"/>
              </w:rPr>
              <w:t>Reported</w:t>
            </w:r>
          </w:p>
        </w:tc>
        <w:tc>
          <w:tcPr>
            <w:tcW w:w="200" w:type="dxa"/>
            <w:vAlign w:val="bottom"/>
          </w:tcPr>
          <w:p>
            <w:pPr>
              <w:ind w:left="20"/>
              <w:spacing w:after="0"/>
              <w:rPr>
                <w:sz w:val="20"/>
                <w:szCs w:val="20"/>
                <w:color w:val="auto"/>
              </w:rPr>
            </w:pPr>
            <w:r>
              <w:rPr>
                <w:rFonts w:ascii="Arial" w:cs="Arial" w:eastAsia="Arial" w:hAnsi="Arial"/>
                <w:sz w:val="4"/>
                <w:szCs w:val="4"/>
                <w:color w:val="auto"/>
              </w:rPr>
              <w:t>​   ​</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Award</w:t>
            </w:r>
          </w:p>
        </w:tc>
        <w:tc>
          <w:tcPr>
            <w:tcW w:w="2380" w:type="dxa"/>
            <w:vAlign w:val="bottom"/>
          </w:tcPr>
          <w:p>
            <w:pPr>
              <w:ind w:left="100"/>
              <w:spacing w:after="0"/>
              <w:rPr>
                <w:sz w:val="20"/>
                <w:szCs w:val="20"/>
                <w:color w:val="auto"/>
              </w:rPr>
            </w:pPr>
            <w:r>
              <w:rPr>
                <w:rFonts w:ascii="Arial" w:cs="Arial" w:eastAsia="Arial" w:hAnsi="Arial"/>
                <w:sz w:val="7"/>
                <w:szCs w:val="7"/>
                <w:color w:val="auto"/>
                <w:w w:val="92"/>
                <w:vertAlign w:val="subscript"/>
              </w:rPr>
              <w:t>​   ​</w:t>
            </w:r>
            <w:r>
              <w:rPr>
                <w:rFonts w:ascii="Arial" w:cs="Arial" w:eastAsia="Arial" w:hAnsi="Arial"/>
                <w:sz w:val="13"/>
                <w:szCs w:val="13"/>
                <w:b w:val="1"/>
                <w:bCs w:val="1"/>
                <w:color w:val="auto"/>
                <w:w w:val="92"/>
              </w:rPr>
              <w:t xml:space="preserve">   Average Compensation Actually Paid</w:t>
            </w:r>
          </w:p>
        </w:tc>
      </w:tr>
      <w:tr>
        <w:trPr>
          <w:trHeight w:val="163"/>
        </w:trPr>
        <w:tc>
          <w:tcPr>
            <w:tcW w:w="760" w:type="dxa"/>
            <w:vAlign w:val="bottom"/>
          </w:tcPr>
          <w:p>
            <w:pPr>
              <w:spacing w:after="0"/>
              <w:rPr>
                <w:sz w:val="14"/>
                <w:szCs w:val="14"/>
                <w:color w:val="auto"/>
              </w:rPr>
            </w:pPr>
          </w:p>
        </w:tc>
        <w:tc>
          <w:tcPr>
            <w:tcW w:w="216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Table Total for Non-PEO NEOs</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5"/>
              </w:rPr>
              <w:t>Value of Equity Awards</w:t>
            </w:r>
          </w:p>
        </w:tc>
        <w:tc>
          <w:tcPr>
            <w:tcW w:w="200" w:type="dxa"/>
            <w:vAlign w:val="bottom"/>
          </w:tcPr>
          <w:p>
            <w:pPr>
              <w:spacing w:after="0"/>
              <w:rPr>
                <w:sz w:val="14"/>
                <w:szCs w:val="14"/>
                <w:color w:val="auto"/>
              </w:rPr>
            </w:pPr>
          </w:p>
        </w:tc>
        <w:tc>
          <w:tcPr>
            <w:tcW w:w="1120" w:type="dxa"/>
            <w:vAlign w:val="bottom"/>
          </w:tcPr>
          <w:p>
            <w:pPr>
              <w:jc w:val="center"/>
              <w:spacing w:after="0" w:line="163"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8"/>
                <w:szCs w:val="18"/>
                <w:b w:val="1"/>
                <w:bCs w:val="1"/>
                <w:color w:val="auto"/>
                <w:vertAlign w:val="superscript"/>
              </w:rPr>
              <w:t>(a)</w:t>
            </w:r>
          </w:p>
        </w:tc>
        <w:tc>
          <w:tcPr>
            <w:tcW w:w="2380" w:type="dxa"/>
            <w:vAlign w:val="bottom"/>
          </w:tcPr>
          <w:p>
            <w:pPr>
              <w:jc w:val="center"/>
              <w:ind w:left="133"/>
              <w:spacing w:after="0"/>
              <w:rPr>
                <w:sz w:val="20"/>
                <w:szCs w:val="20"/>
                <w:color w:val="auto"/>
              </w:rPr>
            </w:pPr>
            <w:r>
              <w:rPr>
                <w:rFonts w:ascii="Arial" w:cs="Arial" w:eastAsia="Arial" w:hAnsi="Arial"/>
                <w:sz w:val="13"/>
                <w:szCs w:val="13"/>
                <w:b w:val="1"/>
                <w:bCs w:val="1"/>
                <w:color w:val="auto"/>
                <w:w w:val="98"/>
              </w:rPr>
              <w:t>to Non-PEO NEOs</w:t>
            </w:r>
          </w:p>
        </w:tc>
      </w:tr>
      <w:tr>
        <w:trPr>
          <w:trHeight w:val="174"/>
        </w:trPr>
        <w:tc>
          <w:tcPr>
            <w:tcW w:w="760" w:type="dxa"/>
            <w:vAlign w:val="bottom"/>
          </w:tcPr>
          <w:p>
            <w:pPr>
              <w:spacing w:after="0"/>
              <w:rPr>
                <w:sz w:val="20"/>
                <w:szCs w:val="20"/>
                <w:color w:val="auto"/>
              </w:rPr>
            </w:pPr>
            <w:r>
              <w:rPr>
                <w:rFonts w:ascii="Arial" w:cs="Arial" w:eastAsia="Arial" w:hAnsi="Arial"/>
                <w:sz w:val="13"/>
                <w:szCs w:val="13"/>
                <w:b w:val="1"/>
                <w:bCs w:val="1"/>
                <w:color w:val="auto"/>
              </w:rPr>
              <w:t>Year</w:t>
            </w:r>
          </w:p>
        </w:tc>
        <w:tc>
          <w:tcPr>
            <w:tcW w:w="2160" w:type="dxa"/>
            <w:vAlign w:val="bottom"/>
          </w:tcPr>
          <w:p>
            <w:pPr>
              <w:jc w:val="center"/>
              <w:ind w:right="13"/>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380" w:type="dxa"/>
            <w:vAlign w:val="bottom"/>
          </w:tcPr>
          <w:p>
            <w:pPr>
              <w:jc w:val="right"/>
              <w:ind w:right="933"/>
              <w:spacing w:after="0"/>
              <w:rPr>
                <w:sz w:val="20"/>
                <w:szCs w:val="20"/>
                <w:color w:val="auto"/>
              </w:rPr>
            </w:pPr>
            <w:r>
              <w:rPr>
                <w:rFonts w:ascii="Arial" w:cs="Arial" w:eastAsia="Arial" w:hAnsi="Arial"/>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17465" cy="1797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1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2022</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2021</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225425</wp:posOffset>
            </wp:positionV>
            <wp:extent cx="8229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743,179</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6,099,502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34"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(59,999)</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(5,300,000)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jc w:val="cente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(4,076,441)</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(120,702)</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tab/>
        <w:t>​</w:t>
      </w:r>
    </w:p>
    <w:p>
      <w:pPr>
        <w:spacing w:after="0" w:line="211"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(3,393,261)</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678,800</w:t>
      </w:r>
    </w:p>
    <w:p>
      <w:pPr>
        <w:spacing w:after="0" w:line="200" w:lineRule="exact"/>
        <w:rPr>
          <w:sz w:val="20"/>
          <w:szCs w:val="20"/>
          <w:color w:val="auto"/>
        </w:rPr>
      </w:pPr>
    </w:p>
    <w:p>
      <w:pPr>
        <w:sectPr>
          <w:pgSz w:w="11900" w:h="16838" w:orient="portrait"/>
          <w:cols w:equalWidth="0" w:num="9">
            <w:col w:w="940" w:space="360"/>
            <w:col w:w="140" w:space="720"/>
            <w:col w:w="600" w:space="720"/>
            <w:col w:w="60" w:space="460"/>
            <w:col w:w="660" w:space="360"/>
            <w:col w:w="60" w:space="400"/>
            <w:col w:w="660" w:space="280"/>
            <w:col w:w="180" w:space="720"/>
            <w:col w:w="1699"/>
          </w:cols>
          <w:pgMar w:left="1440" w:top="265" w:right="1440" w:bottom="1440" w:gutter="0" w:footer="0" w:header="0"/>
          <w:type w:val="continuous"/>
        </w:sectPr>
      </w:pPr>
    </w:p>
    <w:p>
      <w:pPr>
        <w:spacing w:after="0" w:line="152" w:lineRule="exact"/>
        <w:rPr>
          <w:sz w:val="20"/>
          <w:szCs w:val="20"/>
          <w:color w:val="auto"/>
        </w:rPr>
      </w:pPr>
    </w:p>
    <w:p>
      <w:pPr>
        <w:ind w:left="1000" w:hanging="348"/>
        <w:spacing w:after="0"/>
        <w:tabs>
          <w:tab w:leader="none" w:pos="10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deducted or added in calculating the total average equity award adjustments are as follows: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Year over Year</w:t>
            </w: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8"/>
        </w:trPr>
        <w:tc>
          <w:tcPr>
            <w:tcW w:w="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40" w:type="dxa"/>
            <w:vAlign w:val="bottom"/>
          </w:tcPr>
          <w:p>
            <w:pPr>
              <w:jc w:val="center"/>
              <w:ind w:left="33"/>
              <w:spacing w:after="0"/>
              <w:rPr>
                <w:sz w:val="20"/>
                <w:szCs w:val="20"/>
                <w:color w:val="auto"/>
              </w:rPr>
            </w:pPr>
            <w:r>
              <w:rPr>
                <w:rFonts w:ascii="Arial" w:cs="Arial" w:eastAsia="Arial" w:hAnsi="Arial"/>
                <w:sz w:val="13"/>
                <w:szCs w:val="13"/>
                <w:b w:val="1"/>
                <w:bCs w:val="1"/>
                <w:color w:val="auto"/>
                <w:w w:val="94"/>
              </w:rPr>
              <w:t>Year over Year</w:t>
            </w:r>
          </w:p>
        </w:tc>
        <w:tc>
          <w:tcPr>
            <w:tcW w:w="1320" w:type="dxa"/>
            <w:vAlign w:val="bottom"/>
          </w:tcPr>
          <w:p>
            <w:pPr>
              <w:spacing w:after="0"/>
              <w:rPr>
                <w:sz w:val="12"/>
                <w:szCs w:val="12"/>
                <w:color w:val="auto"/>
              </w:rPr>
            </w:pPr>
          </w:p>
        </w:tc>
        <w:tc>
          <w:tcPr>
            <w:tcW w:w="124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Average Change in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Average Fair Value at</w:t>
            </w:r>
          </w:p>
        </w:tc>
        <w:tc>
          <w:tcPr>
            <w:tcW w:w="820" w:type="dxa"/>
            <w:vAlign w:val="bottom"/>
          </w:tcPr>
          <w:p>
            <w:pPr>
              <w:spacing w:after="0"/>
              <w:rPr>
                <w:sz w:val="12"/>
                <w:szCs w:val="12"/>
                <w:color w:val="auto"/>
              </w:rPr>
            </w:pPr>
          </w:p>
        </w:tc>
      </w:tr>
      <w:tr>
        <w:trPr>
          <w:trHeight w:val="148"/>
        </w:trPr>
        <w:tc>
          <w:tcPr>
            <w:tcW w:w="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40" w:type="dxa"/>
            <w:vAlign w:val="bottom"/>
          </w:tcPr>
          <w:p>
            <w:pPr>
              <w:jc w:val="center"/>
              <w:ind w:left="73"/>
              <w:spacing w:after="0"/>
              <w:rPr>
                <w:sz w:val="20"/>
                <w:szCs w:val="20"/>
                <w:color w:val="auto"/>
              </w:rPr>
            </w:pPr>
            <w:r>
              <w:rPr>
                <w:rFonts w:ascii="Arial" w:cs="Arial" w:eastAsia="Arial" w:hAnsi="Arial"/>
                <w:sz w:val="13"/>
                <w:szCs w:val="13"/>
                <w:b w:val="1"/>
                <w:bCs w:val="1"/>
                <w:color w:val="auto"/>
                <w:w w:val="93"/>
              </w:rPr>
              <w:t>Average Change in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Average Fair Value</w:t>
            </w:r>
          </w:p>
        </w:tc>
        <w:tc>
          <w:tcPr>
            <w:tcW w:w="124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Fair Value of</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the End of the Prior</w:t>
            </w:r>
          </w:p>
        </w:tc>
        <w:tc>
          <w:tcPr>
            <w:tcW w:w="820" w:type="dxa"/>
            <w:vAlign w:val="bottom"/>
          </w:tcPr>
          <w:p>
            <w:pPr>
              <w:jc w:val="center"/>
              <w:ind w:left="13"/>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46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Arial" w:cs="Arial" w:eastAsia="Arial" w:hAnsi="Arial"/>
                <w:sz w:val="4"/>
                <w:szCs w:val="4"/>
                <w:color w:val="auto"/>
              </w:rPr>
              <w:t>​   ​</w:t>
            </w:r>
          </w:p>
        </w:tc>
        <w:tc>
          <w:tcPr>
            <w:tcW w:w="1240" w:type="dxa"/>
            <w:vAlign w:val="bottom"/>
          </w:tcPr>
          <w:p>
            <w:pPr>
              <w:ind w:left="20"/>
              <w:spacing w:after="0"/>
              <w:rPr>
                <w:sz w:val="20"/>
                <w:szCs w:val="20"/>
                <w:color w:val="auto"/>
              </w:rPr>
            </w:pPr>
            <w:r>
              <w:rPr>
                <w:rFonts w:ascii="Arial" w:cs="Arial" w:eastAsia="Arial" w:hAnsi="Arial"/>
                <w:sz w:val="7"/>
                <w:szCs w:val="7"/>
                <w:color w:val="auto"/>
                <w:w w:val="95"/>
                <w:vertAlign w:val="subscript"/>
              </w:rPr>
              <w:t>​   ​</w:t>
            </w:r>
            <w:r>
              <w:rPr>
                <w:rFonts w:ascii="Arial" w:cs="Arial" w:eastAsia="Arial" w:hAnsi="Arial"/>
                <w:sz w:val="13"/>
                <w:szCs w:val="13"/>
                <w:b w:val="1"/>
                <w:bCs w:val="1"/>
                <w:color w:val="auto"/>
                <w:w w:val="95"/>
              </w:rPr>
              <w:t xml:space="preserve">            Fair Value of</w:t>
            </w:r>
          </w:p>
        </w:tc>
        <w:tc>
          <w:tcPr>
            <w:tcW w:w="1320" w:type="dxa"/>
            <w:vAlign w:val="bottom"/>
          </w:tcPr>
          <w:p>
            <w:pPr>
              <w:jc w:val="center"/>
              <w:spacing w:after="0"/>
              <w:rPr>
                <w:sz w:val="20"/>
                <w:szCs w:val="20"/>
                <w:color w:val="auto"/>
              </w:rPr>
            </w:pPr>
            <w:r>
              <w:rPr>
                <w:rFonts w:ascii="Arial" w:cs="Arial" w:eastAsia="Arial" w:hAnsi="Arial"/>
                <w:sz w:val="7"/>
                <w:szCs w:val="7"/>
                <w:color w:val="auto"/>
                <w:w w:val="93"/>
                <w:vertAlign w:val="subscript"/>
              </w:rPr>
              <w:t>​  ​</w:t>
            </w:r>
            <w:r>
              <w:rPr>
                <w:rFonts w:ascii="Arial" w:cs="Arial" w:eastAsia="Arial" w:hAnsi="Arial"/>
                <w:sz w:val="13"/>
                <w:szCs w:val="13"/>
                <w:b w:val="1"/>
                <w:bCs w:val="1"/>
                <w:color w:val="auto"/>
                <w:w w:val="93"/>
              </w:rPr>
              <w:t xml:space="preserve">     as of Vesting Date </w:t>
            </w:r>
            <w:r>
              <w:rPr>
                <w:rFonts w:ascii="Arial" w:cs="Arial" w:eastAsia="Arial" w:hAnsi="Arial"/>
                <w:sz w:val="7"/>
                <w:szCs w:val="7"/>
                <w:color w:val="auto"/>
                <w:w w:val="93"/>
                <w:vertAlign w:val="subscript"/>
              </w:rPr>
              <w:t>​  ​</w:t>
            </w:r>
          </w:p>
        </w:tc>
        <w:tc>
          <w:tcPr>
            <w:tcW w:w="1240" w:type="dxa"/>
            <w:vAlign w:val="bottom"/>
          </w:tcPr>
          <w:p>
            <w:pPr>
              <w:ind w:left="140"/>
              <w:spacing w:after="0"/>
              <w:rPr>
                <w:sz w:val="20"/>
                <w:szCs w:val="20"/>
                <w:color w:val="auto"/>
              </w:rPr>
            </w:pPr>
            <w:r>
              <w:rPr>
                <w:rFonts w:ascii="Arial" w:cs="Arial" w:eastAsia="Arial" w:hAnsi="Arial"/>
                <w:sz w:val="13"/>
                <w:szCs w:val="13"/>
                <w:b w:val="1"/>
                <w:bCs w:val="1"/>
                <w:color w:val="auto"/>
              </w:rPr>
              <w:t xml:space="preserve">Equity Awards   </w:t>
            </w:r>
            <w:r>
              <w:rPr>
                <w:rFonts w:ascii="Arial" w:cs="Arial" w:eastAsia="Arial" w:hAnsi="Arial"/>
                <w:sz w:val="7"/>
                <w:szCs w:val="7"/>
                <w:color w:val="auto"/>
                <w:vertAlign w:val="subscript"/>
              </w:rPr>
              <w:t>​  ​</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Year of Equity</w:t>
            </w:r>
          </w:p>
        </w:tc>
        <w:tc>
          <w:tcPr>
            <w:tcW w:w="820" w:type="dxa"/>
            <w:vAlign w:val="bottom"/>
          </w:tcPr>
          <w:p>
            <w:pPr>
              <w:spacing w:after="0"/>
              <w:rPr>
                <w:sz w:val="20"/>
                <w:szCs w:val="20"/>
                <w:color w:val="auto"/>
              </w:rPr>
            </w:pPr>
            <w:r>
              <w:rPr>
                <w:rFonts w:ascii="Arial" w:cs="Arial" w:eastAsia="Arial" w:hAnsi="Arial"/>
                <w:sz w:val="7"/>
                <w:szCs w:val="7"/>
                <w:color w:val="auto"/>
                <w:w w:val="92"/>
                <w:vertAlign w:val="subscript"/>
              </w:rPr>
              <w:t>​  ​</w:t>
            </w:r>
            <w:r>
              <w:rPr>
                <w:rFonts w:ascii="Arial" w:cs="Arial" w:eastAsia="Arial" w:hAnsi="Arial"/>
                <w:sz w:val="13"/>
                <w:szCs w:val="13"/>
                <w:b w:val="1"/>
                <w:bCs w:val="1"/>
                <w:color w:val="auto"/>
                <w:w w:val="92"/>
              </w:rPr>
              <w:t xml:space="preserve">         Average</w:t>
            </w:r>
          </w:p>
        </w:tc>
      </w:tr>
      <w:tr>
        <w:trPr>
          <w:trHeight w:val="136"/>
        </w:trPr>
        <w:tc>
          <w:tcPr>
            <w:tcW w:w="460" w:type="dxa"/>
            <w:vAlign w:val="bottom"/>
          </w:tcPr>
          <w:p>
            <w:pPr>
              <w:spacing w:after="0"/>
              <w:rPr>
                <w:sz w:val="11"/>
                <w:szCs w:val="11"/>
                <w:color w:val="auto"/>
              </w:rPr>
            </w:pPr>
          </w:p>
        </w:tc>
        <w:tc>
          <w:tcPr>
            <w:tcW w:w="1640" w:type="dxa"/>
            <w:vAlign w:val="bottom"/>
          </w:tcPr>
          <w:p>
            <w:pPr>
              <w:jc w:val="center"/>
              <w:ind w:left="222"/>
              <w:spacing w:after="0" w:line="136" w:lineRule="exact"/>
              <w:rPr>
                <w:sz w:val="20"/>
                <w:szCs w:val="20"/>
                <w:color w:val="auto"/>
              </w:rPr>
            </w:pPr>
            <w:r>
              <w:rPr>
                <w:rFonts w:ascii="Arial" w:cs="Arial" w:eastAsia="Arial" w:hAnsi="Arial"/>
                <w:sz w:val="13"/>
                <w:szCs w:val="13"/>
                <w:b w:val="1"/>
                <w:bCs w:val="1"/>
                <w:color w:val="auto"/>
                <w:w w:val="93"/>
              </w:rPr>
              <w:t>Average</w:t>
            </w:r>
          </w:p>
        </w:tc>
        <w:tc>
          <w:tcPr>
            <w:tcW w:w="1240" w:type="dxa"/>
            <w:vAlign w:val="bottom"/>
          </w:tcPr>
          <w:p>
            <w:pPr>
              <w:jc w:val="center"/>
              <w:ind w:left="33"/>
              <w:spacing w:after="0" w:line="136" w:lineRule="exact"/>
              <w:rPr>
                <w:sz w:val="20"/>
                <w:szCs w:val="20"/>
                <w:color w:val="auto"/>
              </w:rPr>
            </w:pPr>
            <w:r>
              <w:rPr>
                <w:rFonts w:ascii="Arial" w:cs="Arial" w:eastAsia="Arial" w:hAnsi="Arial"/>
                <w:sz w:val="13"/>
                <w:szCs w:val="13"/>
                <w:b w:val="1"/>
                <w:bCs w:val="1"/>
                <w:color w:val="auto"/>
                <w:w w:val="94"/>
              </w:rPr>
              <w:t>Outstanding and</w:t>
            </w:r>
          </w:p>
        </w:tc>
        <w:tc>
          <w:tcPr>
            <w:tcW w:w="13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of Equity Awards</w:t>
            </w:r>
          </w:p>
        </w:tc>
        <w:tc>
          <w:tcPr>
            <w:tcW w:w="1240" w:type="dxa"/>
            <w:vAlign w:val="bottom"/>
          </w:tcPr>
          <w:p>
            <w:pPr>
              <w:jc w:val="center"/>
              <w:ind w:right="33"/>
              <w:spacing w:after="0" w:line="136" w:lineRule="exact"/>
              <w:rPr>
                <w:sz w:val="20"/>
                <w:szCs w:val="20"/>
                <w:color w:val="auto"/>
              </w:rPr>
            </w:pPr>
            <w:r>
              <w:rPr>
                <w:rFonts w:ascii="Arial" w:cs="Arial" w:eastAsia="Arial" w:hAnsi="Arial"/>
                <w:sz w:val="13"/>
                <w:szCs w:val="13"/>
                <w:b w:val="1"/>
                <w:bCs w:val="1"/>
                <w:color w:val="auto"/>
                <w:w w:val="98"/>
              </w:rPr>
              <w:t>Granted in Prior</w:t>
            </w:r>
          </w:p>
        </w:tc>
        <w:tc>
          <w:tcPr>
            <w:tcW w:w="13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Awards that Failed to</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Equity</w:t>
            </w:r>
          </w:p>
        </w:tc>
      </w:tr>
      <w:tr>
        <w:trPr>
          <w:trHeight w:val="148"/>
        </w:trPr>
        <w:tc>
          <w:tcPr>
            <w:tcW w:w="460" w:type="dxa"/>
            <w:vAlign w:val="bottom"/>
          </w:tcPr>
          <w:p>
            <w:pPr>
              <w:spacing w:after="0"/>
              <w:rPr>
                <w:sz w:val="12"/>
                <w:szCs w:val="12"/>
                <w:color w:val="auto"/>
              </w:rPr>
            </w:pPr>
          </w:p>
        </w:tc>
        <w:tc>
          <w:tcPr>
            <w:tcW w:w="1640" w:type="dxa"/>
            <w:vAlign w:val="bottom"/>
          </w:tcPr>
          <w:p>
            <w:pPr>
              <w:jc w:val="center"/>
              <w:ind w:left="222"/>
              <w:spacing w:after="0"/>
              <w:rPr>
                <w:sz w:val="20"/>
                <w:szCs w:val="20"/>
                <w:color w:val="auto"/>
              </w:rPr>
            </w:pPr>
            <w:r>
              <w:rPr>
                <w:rFonts w:ascii="Arial" w:cs="Arial" w:eastAsia="Arial" w:hAnsi="Arial"/>
                <w:sz w:val="13"/>
                <w:szCs w:val="13"/>
                <w:b w:val="1"/>
                <w:bCs w:val="1"/>
                <w:color w:val="auto"/>
                <w:w w:val="95"/>
              </w:rPr>
              <w:t>Year End Fair Value of</w:t>
            </w:r>
          </w:p>
        </w:tc>
        <w:tc>
          <w:tcPr>
            <w:tcW w:w="1240" w:type="dxa"/>
            <w:vAlign w:val="bottom"/>
          </w:tcPr>
          <w:p>
            <w:pPr>
              <w:jc w:val="center"/>
              <w:ind w:left="33"/>
              <w:spacing w:after="0"/>
              <w:rPr>
                <w:sz w:val="20"/>
                <w:szCs w:val="20"/>
                <w:color w:val="auto"/>
              </w:rPr>
            </w:pPr>
            <w:r>
              <w:rPr>
                <w:rFonts w:ascii="Arial" w:cs="Arial" w:eastAsia="Arial" w:hAnsi="Arial"/>
                <w:sz w:val="13"/>
                <w:szCs w:val="13"/>
                <w:b w:val="1"/>
                <w:bCs w:val="1"/>
                <w:color w:val="auto"/>
                <w:w w:val="92"/>
              </w:rPr>
              <w:t>Unvested Equity</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Granted and Vested</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Years that Vested in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Meet Vesting</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Award</w:t>
            </w:r>
          </w:p>
        </w:tc>
      </w:tr>
      <w:tr>
        <w:trPr>
          <w:trHeight w:val="148"/>
        </w:trPr>
        <w:tc>
          <w:tcPr>
            <w:tcW w:w="460" w:type="dxa"/>
            <w:vAlign w:val="bottom"/>
          </w:tcPr>
          <w:p>
            <w:pPr>
              <w:spacing w:after="0"/>
              <w:rPr>
                <w:sz w:val="12"/>
                <w:szCs w:val="12"/>
                <w:color w:val="auto"/>
              </w:rPr>
            </w:pPr>
          </w:p>
        </w:tc>
        <w:tc>
          <w:tcPr>
            <w:tcW w:w="1640" w:type="dxa"/>
            <w:vAlign w:val="bottom"/>
          </w:tcPr>
          <w:p>
            <w:pPr>
              <w:jc w:val="center"/>
              <w:ind w:left="222"/>
              <w:spacing w:after="0"/>
              <w:rPr>
                <w:sz w:val="20"/>
                <w:szCs w:val="20"/>
                <w:color w:val="auto"/>
              </w:rPr>
            </w:pPr>
            <w:r>
              <w:rPr>
                <w:rFonts w:ascii="Arial" w:cs="Arial" w:eastAsia="Arial" w:hAnsi="Arial"/>
                <w:sz w:val="13"/>
                <w:szCs w:val="13"/>
                <w:b w:val="1"/>
                <w:bCs w:val="1"/>
                <w:color w:val="auto"/>
                <w:w w:val="97"/>
              </w:rPr>
              <w:t>Equity Awards</w:t>
            </w:r>
          </w:p>
        </w:tc>
        <w:tc>
          <w:tcPr>
            <w:tcW w:w="124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Awards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in the Year</w:t>
            </w:r>
          </w:p>
        </w:tc>
        <w:tc>
          <w:tcPr>
            <w:tcW w:w="1240" w:type="dxa"/>
            <w:vAlign w:val="bottom"/>
          </w:tcPr>
          <w:p>
            <w:pPr>
              <w:jc w:val="center"/>
              <w:ind w:right="13"/>
              <w:spacing w:after="0"/>
              <w:rPr>
                <w:sz w:val="20"/>
                <w:szCs w:val="20"/>
                <w:color w:val="auto"/>
              </w:rPr>
            </w:pPr>
            <w:r>
              <w:rPr>
                <w:rFonts w:ascii="Arial" w:cs="Arial" w:eastAsia="Arial" w:hAnsi="Arial"/>
                <w:sz w:val="13"/>
                <w:szCs w:val="13"/>
                <w:b w:val="1"/>
                <w:bCs w:val="1"/>
                <w:color w:val="auto"/>
                <w:w w:val="93"/>
              </w:rPr>
              <w:t>the Year</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Conditions in the Year</w:t>
            </w:r>
          </w:p>
        </w:tc>
        <w:tc>
          <w:tcPr>
            <w:tcW w:w="820" w:type="dxa"/>
            <w:vAlign w:val="bottom"/>
          </w:tcPr>
          <w:p>
            <w:pPr>
              <w:jc w:val="center"/>
              <w:ind w:left="33"/>
              <w:spacing w:after="0"/>
              <w:rPr>
                <w:sz w:val="20"/>
                <w:szCs w:val="20"/>
                <w:color w:val="auto"/>
              </w:rPr>
            </w:pPr>
            <w:r>
              <w:rPr>
                <w:rFonts w:ascii="Arial" w:cs="Arial" w:eastAsia="Arial" w:hAnsi="Arial"/>
                <w:sz w:val="13"/>
                <w:szCs w:val="13"/>
                <w:b w:val="1"/>
                <w:bCs w:val="1"/>
                <w:color w:val="auto"/>
                <w:w w:val="91"/>
              </w:rPr>
              <w:t>Adjustments</w:t>
            </w:r>
          </w:p>
        </w:tc>
      </w:tr>
      <w:tr>
        <w:trPr>
          <w:trHeight w:val="174"/>
        </w:trPr>
        <w:tc>
          <w:tcPr>
            <w:tcW w:w="460" w:type="dxa"/>
            <w:vAlign w:val="bottom"/>
          </w:tcPr>
          <w:p>
            <w:pPr>
              <w:spacing w:after="0"/>
              <w:rPr>
                <w:sz w:val="20"/>
                <w:szCs w:val="20"/>
                <w:color w:val="auto"/>
              </w:rPr>
            </w:pPr>
            <w:r>
              <w:rPr>
                <w:rFonts w:ascii="Arial" w:cs="Arial" w:eastAsia="Arial" w:hAnsi="Arial"/>
                <w:sz w:val="13"/>
                <w:szCs w:val="13"/>
                <w:b w:val="1"/>
                <w:bCs w:val="1"/>
                <w:color w:val="auto"/>
              </w:rPr>
              <w:t>Year</w:t>
            </w:r>
          </w:p>
        </w:tc>
        <w:tc>
          <w:tcPr>
            <w:tcW w:w="1640" w:type="dxa"/>
            <w:vAlign w:val="bottom"/>
          </w:tcPr>
          <w:p>
            <w:pPr>
              <w:jc w:val="center"/>
              <w:ind w:left="262"/>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center"/>
              <w:ind w:left="53"/>
              <w:spacing w:after="0"/>
              <w:rPr>
                <w:sz w:val="20"/>
                <w:szCs w:val="20"/>
                <w:color w:val="auto"/>
              </w:rPr>
            </w:pPr>
            <w:r>
              <w:rPr>
                <w:rFonts w:ascii="Arial" w:cs="Arial" w:eastAsia="Arial" w:hAnsi="Arial"/>
                <w:sz w:val="13"/>
                <w:szCs w:val="13"/>
                <w:b w:val="1"/>
                <w:bCs w:val="1"/>
                <w:color w:val="auto"/>
              </w:rPr>
              <w:t>($)</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center"/>
              <w:ind w:left="33"/>
              <w:spacing w:after="0"/>
              <w:rPr>
                <w:sz w:val="20"/>
                <w:szCs w:val="20"/>
                <w:color w:val="auto"/>
              </w:rPr>
            </w:pPr>
            <w:r>
              <w:rPr>
                <w:rFonts w:ascii="Arial" w:cs="Arial" w:eastAsia="Arial" w:hAnsi="Arial"/>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17465" cy="1797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p>
      <w:pPr>
        <w:spacing w:after="0" w:line="11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2022</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207010</wp:posOffset>
            </wp:positionV>
            <wp:extent cx="8229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34"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8,563</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4,687,447</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34"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(1,747,161)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(4,238,985)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6,598</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283,334</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
          <w:szCs w:val="4"/>
          <w:color w:val="auto"/>
        </w:rPr>
        <w:t>​</w:t>
      </w:r>
      <w:r>
        <w:rPr>
          <w:sz w:val="20"/>
          <w:szCs w:val="20"/>
          <w:color w:val="auto"/>
        </w:rPr>
        <w:t xml:space="preserve"> </w:t>
      </w:r>
      <w:r>
        <w:rPr>
          <w:rFonts w:ascii="Arial" w:cs="Arial" w:eastAsia="Arial" w:hAnsi="Arial"/>
          <w:sz w:val="4"/>
          <w:szCs w:val="4"/>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4"/>
          <w:szCs w:val="4"/>
          <w:color w:val="auto"/>
        </w:rPr>
        <w:t>​</w:t>
      </w:r>
      <w:r>
        <w:rPr>
          <w:sz w:val="20"/>
          <w:szCs w:val="20"/>
          <w:color w:val="auto"/>
        </w:rPr>
        <w:t xml:space="preserve"> </w:t>
      </w: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(692,857)</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(852,498)</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(1,651,584)</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right"/>
        <w:ind w:right="319"/>
        <w:spacing w:after="0"/>
        <w:rPr>
          <w:sz w:val="20"/>
          <w:szCs w:val="20"/>
          <w:color w:val="auto"/>
        </w:rPr>
      </w:pPr>
      <w:r>
        <w:rPr>
          <w:rFonts w:ascii="Arial" w:cs="Arial" w:eastAsia="Arial" w:hAnsi="Arial"/>
          <w:sz w:val="13"/>
          <w:szCs w:val="13"/>
          <w:color w:val="auto"/>
        </w:rPr>
        <w:t>(4,076,441)</w:t>
      </w:r>
    </w:p>
    <w:p>
      <w:pPr>
        <w:spacing w:after="0" w:line="107" w:lineRule="exact"/>
        <w:rPr>
          <w:sz w:val="20"/>
          <w:szCs w:val="20"/>
          <w:color w:val="auto"/>
        </w:rPr>
      </w:pPr>
    </w:p>
    <w:p>
      <w:pPr>
        <w:jc w:val="right"/>
        <w:ind w:right="319"/>
        <w:spacing w:after="0"/>
        <w:rPr>
          <w:sz w:val="20"/>
          <w:szCs w:val="20"/>
          <w:color w:val="auto"/>
        </w:rPr>
      </w:pPr>
      <w:r>
        <w:rPr>
          <w:rFonts w:ascii="Arial" w:cs="Arial" w:eastAsia="Arial" w:hAnsi="Arial"/>
          <w:sz w:val="14"/>
          <w:szCs w:val="14"/>
          <w:color w:val="auto"/>
        </w:rPr>
        <w:t>(120,702)</w:t>
      </w:r>
    </w:p>
    <w:p>
      <w:pPr>
        <w:spacing w:after="0" w:line="200" w:lineRule="exact"/>
        <w:rPr>
          <w:sz w:val="20"/>
          <w:szCs w:val="20"/>
          <w:color w:val="auto"/>
        </w:rPr>
      </w:pPr>
    </w:p>
    <w:p>
      <w:pPr>
        <w:sectPr>
          <w:pgSz w:w="11900" w:h="16838" w:orient="portrait"/>
          <w:cols w:equalWidth="0" w:num="13">
            <w:col w:w="940" w:space="360"/>
            <w:col w:w="60" w:space="440"/>
            <w:col w:w="580" w:space="400"/>
            <w:col w:w="60" w:space="300"/>
            <w:col w:w="660" w:space="200"/>
            <w:col w:w="40" w:space="400"/>
            <w:col w:w="460" w:space="340"/>
            <w:col w:w="60" w:space="360"/>
            <w:col w:w="560" w:space="280"/>
            <w:col w:w="40" w:space="380"/>
            <w:col w:w="680" w:space="280"/>
            <w:col w:w="60" w:space="80"/>
            <w:col w:w="999"/>
          </w:cols>
          <w:pgMar w:left="1440" w:top="265" w:right="1440" w:bottom="1440" w:gutter="0" w:footer="0" w:header="0"/>
          <w:type w:val="continuous"/>
        </w:sectPr>
      </w:pPr>
    </w:p>
    <w:p>
      <w:pPr>
        <w:spacing w:after="0" w:line="152" w:lineRule="exact"/>
        <w:rPr>
          <w:sz w:val="20"/>
          <w:szCs w:val="20"/>
          <w:color w:val="auto"/>
        </w:rPr>
      </w:pPr>
    </w:p>
    <w:p>
      <w:pPr>
        <w:jc w:val="both"/>
        <w:ind w:left="640" w:right="299" w:hanging="348"/>
        <w:spacing w:after="0" w:line="233"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We use the Closing Date of the Business Combination as the “measurement point” for purposes of calculating TSR.</w:t>
      </w:r>
    </w:p>
    <w:p>
      <w:pPr>
        <w:spacing w:after="0" w:line="22"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The peer group used for this purpose is Russell 2000 Index, the same peer group identified in our stock performance graph in our Annual Report on Form 10-K for the year ended December 31, 2022.</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dollar amounts for Net (Loss) Income and Revenue reported represent the amount reflected in the Company’s audited financial statements for the applicable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6" w:name="page57"/>
    <w:bookmarkEnd w:id="5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Tabular List of Financial Performance Measures</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Company’s Compensation Committee believes in a holistic evaluation of our NEOs’ and the Company’s performance and uses a mix of performance measures throughout our annual focal and long-term incentive compensation programs to align executive pay with Company performance. As required by SEC rules, the performance measures identified as the most important used to link the “compensation actually paid” to our NEOs’ for fiscal 2022 compensation to the Company’s performance are listed in the table below, each of which is described in more detail in the section entitled Executive Compensation – Compensation Discussion and Analysis.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Performance Measures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Adjusted EBITDA</w:t>
      </w:r>
    </w:p>
    <w:p>
      <w:pPr>
        <w:spacing w:after="0" w:line="275" w:lineRule="exact"/>
        <w:rPr>
          <w:sz w:val="20"/>
          <w:szCs w:val="20"/>
          <w:color w:val="auto"/>
        </w:rPr>
      </w:pPr>
    </w:p>
    <w:p>
      <w:pPr>
        <w:ind w:left="300" w:right="599"/>
        <w:spacing w:after="0" w:line="282" w:lineRule="auto"/>
        <w:rPr>
          <w:sz w:val="20"/>
          <w:szCs w:val="20"/>
          <w:color w:val="auto"/>
        </w:rPr>
      </w:pPr>
      <w:r>
        <w:rPr>
          <w:rFonts w:ascii="Arial" w:cs="Arial" w:eastAsia="Arial" w:hAnsi="Arial"/>
          <w:sz w:val="18"/>
          <w:szCs w:val="18"/>
          <w:b w:val="1"/>
          <w:bCs w:val="1"/>
          <w:color w:val="auto"/>
        </w:rPr>
        <w:t>Required Disclosure of the Relationship Between Compensation Actually Paid and Financial Performance Measures</w:t>
      </w:r>
    </w:p>
    <w:p>
      <w:pPr>
        <w:spacing w:after="0" w:line="58"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As required by Item 402(v) of Regulation S-K, we are providing the following graphs to illustrate the relationship between the pay and performance figures that are included in the pay versus performance tabular disclosure above. As noted above, “compensation actually paid” for purposes of the tabular disclosure and the following graphs was calculated in accordance with SEC rules and does not fully represent the actual final amount of compensation earned by or actually paid to our NEOs during the applicable years.</w:t>
      </w:r>
    </w:p>
    <w:p>
      <w:pPr>
        <w:spacing w:after="0" w:line="6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graph below illustrates the relationship between Company TSR and that of the designated peer group and the PEO “compensation actually paid” and Average Non-PEO NEOs “compensation actually paid”. TSR amounts reported in the graph assume an initial fixed investment of $100 and use the Closing Date of the Business Combination as the “measurement point” for purposes of calculating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161925</wp:posOffset>
            </wp:positionV>
            <wp:extent cx="5271770" cy="28117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7177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graph below illustrates the relationship between Net (loss) Income and PEO “compensation actually paid” and Average Non-PEO NEOs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160020</wp:posOffset>
            </wp:positionV>
            <wp:extent cx="5280660" cy="24003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8066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graph below illustrates the relationship between Revenue and PEO “compensation actually paid” and Average Non- PEO NEOs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151765</wp:posOffset>
            </wp:positionV>
            <wp:extent cx="5280660" cy="2468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8066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i w:val="1"/>
          <w:iCs w:val="1"/>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following is a summary of transactions since January 1, 2022,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Operating Company Agreement</w:t>
      </w:r>
    </w:p>
    <w:p>
      <w:pPr>
        <w:spacing w:after="0" w:line="117"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Concurrently with the Closing, the WMH LLC operating agreement was further amended and restated in its entirety to become the Fourth Amended and Restated Operating Agreement (the “Amended Operating Agreement”). Messrs, Camire, Grazier, Lee, Francis and Hartfield and Ghost Media Group, LLC all own Paired Interests and Class P Units as described in the section titled “Principal Securityholders.”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of the Units</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Camire, Grazier,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66"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Camire, Grazier,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76"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Silver Spike Sponsor purchased an aggregate of 7,000,000 Private Placement Warrants for a purchase price of $1.00 per warrant in a private placement simultaneously with the closing of Silver Spike’s IPO. Each Private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63"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In connection with the Business Combination, we paid certain transaction costs reimbursable by Silver Spike Sponsor, an affiliate to a member of the Board. As of December 31, 2022, the outstanding balance of the note receivable was $1.1 million.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WCC MGMT, LLC is a business in which currently Mr. Francis indirectly owns a majority interest, and Mr. Hartfield indirectly owns a minority interest. In 2022, WCC MGMT, LLC used our listing products and participated in other brand promotion opportunities. WCC MGMT, LLC paid us a total of $511,333 in 2022 for such products and services.</w:t>
      </w:r>
    </w:p>
    <w:p>
      <w:pPr>
        <w:spacing w:after="0" w:line="79"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2022.”</w:t>
      </w:r>
    </w:p>
    <w:p>
      <w:pPr>
        <w:spacing w:after="0" w:line="4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entered into indemnification agreements with substantially all of our directors and executive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5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53"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WM Technology, Inc. Direct your written request to Investor Relations at investors@weedmaps.com. Stockholders who currently receive multiple copies of the Notices of Internet Availability of Proxy Materials at their addresses and would like to request “householding” of their communications should contact their brokers. In addition, we will promptly deliver, upon written or oral request to the address or telephone number above, a separate copy of the Notice of Internet Availability of Proxy Materials or the full set of proxy materials, as applicable, to a stockholder at a shared address to which a single copy of the documents was delivered.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Brian Camire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57785</wp:posOffset>
            </wp:positionV>
            <wp:extent cx="27603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Brian Camire</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General Counsel and Secretary</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27, 2023</w:t>
      </w:r>
    </w:p>
    <w:p>
      <w:pPr>
        <w:spacing w:after="0" w:line="167" w:lineRule="exact"/>
        <w:rPr>
          <w:sz w:val="20"/>
          <w:szCs w:val="20"/>
          <w:color w:val="auto"/>
        </w:rPr>
      </w:pPr>
    </w:p>
    <w:p>
      <w:pPr>
        <w:jc w:val="both"/>
        <w:ind w:left="300" w:right="299"/>
        <w:spacing w:after="0" w:line="266" w:lineRule="auto"/>
        <w:rPr>
          <w:sz w:val="20"/>
          <w:szCs w:val="20"/>
          <w:color w:val="auto"/>
        </w:rPr>
      </w:pPr>
      <w:r>
        <w:rPr>
          <w:rFonts w:ascii="Arial" w:cs="Arial" w:eastAsia="Arial" w:hAnsi="Arial"/>
          <w:sz w:val="18"/>
          <w:szCs w:val="18"/>
          <w:b w:val="1"/>
          <w:bCs w:val="1"/>
          <w:color w:val="auto"/>
        </w:rPr>
        <w:t>A copy of our Annual Report to the Securities and Exchange Commission on Form 10-K for the year ended December 31, 2022 is available without charge upon written request to: Brian Camire, 41 Discovery, Irvine, California 92618.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A—Supplemental Information About Financial Measures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Adjusted EBITDA and Adjusted EBITDA before Provision for Doubtful Accounts, all of which are non-GAAP financial measures that we calculate as net income (loss) before interest, taxes and depreciation and amortization expense in the case of EBITDA and further adjusted to exclude stock-based compensation, change in fair value of warrant liability ,change in tax receivable agreement liability, impairment charges, transaction related bonuses, transaction costs, legal settlements and other legal costs, reduction in force and executive departures and other non-cash, unusual and/or infrequent costs in the case of Adjusted EBITDA. Adjusted EBITDA is further adjusted to exclude provision for doubtful accounts for the case of Adjusted EBITDA before Provision for Doubtful Accounts. Below we have provided a reconciliation of net(loss) income (the most directly comparable GAAP financial measure) to EBITDA; from EBITDA to Adjusted EBITDA; and from Adjusted EBITDA to Adjusted EBITDA before Provision for Doubtful Accounts.</w:t>
      </w:r>
    </w:p>
    <w:p>
      <w:pPr>
        <w:spacing w:after="0" w:line="7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present EBITDA, Adjusted EBITDA and Adjusted EBITDA before Provision for Doubtful Accounts because these metrics are a key measure used by our management to evaluate our operating performance, generate future operating plans and make strategic decisions regarding the allocation of investment capacity. Accordingly, we believe that EBITDA, Adjusted EBITDA and Adjusted EBITDA before Provision for Doubtful Accounts provide useful information to investors and others in understanding and evaluating our operating results in the same manner as our management.</w:t>
      </w:r>
    </w:p>
    <w:p>
      <w:pPr>
        <w:spacing w:after="0" w:line="84"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Each of EBITDA, Adjusted EBITDA and Adjusted EBITDA before Provision for Doubtful Accounts has limitations as an analytical tool, and you should not consider any of these non-GAAP financial measures in isolation or as a substitute for analysis of our results as reported under GAAP. Some of these limitations are as follows:</w:t>
      </w:r>
    </w:p>
    <w:p>
      <w:pPr>
        <w:spacing w:after="0" w:line="41" w:lineRule="exact"/>
        <w:rPr>
          <w:sz w:val="20"/>
          <w:szCs w:val="20"/>
          <w:color w:val="auto"/>
        </w:rPr>
      </w:pPr>
    </w:p>
    <w:p>
      <w:pPr>
        <w:jc w:val="both"/>
        <w:ind w:left="1000" w:right="319" w:hanging="348"/>
        <w:spacing w:after="0" w:line="259"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EBITDA, Adjusted EBITDA and Adjusted EBITDA before Provision for Doubtful Accounts do not reflect cash capital expenditure requirements for such replacements or for new capital expenditure requirements;</w:t>
      </w:r>
    </w:p>
    <w:p>
      <w:pPr>
        <w:spacing w:after="0" w:line="78"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EBITDA, Adjusted EBITDA and Adjusted EBITDA before Provision for Doubtful Accounts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EBITDA, Adjusted EBITDA and Adjusted EBITDA before Provision for Doubtful Accounts do not reflect tax payments that may represent a reduction in cash available to us.</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Because of these limitations, you should consider EBITDA, Adjusted EBITDA and Adjusted EBITDA before Provision for Doubtful Accounts alongside other financial performance measures, including net income (loss) and our other GAAP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Reconciliations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INCOME TO EBITDA, ADJUSTED EBITDA AND ADJUSTED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EBITDA BEFORE PROVISION FOR DOUBTFUL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39370</wp:posOffset>
            </wp:positionV>
            <wp:extent cx="11487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53"/>
        </w:trPr>
        <w:tc>
          <w:tcPr>
            <w:tcW w:w="6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(82,651)</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152,218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600" w:type="dxa"/>
            <w:vAlign w:val="bottom"/>
          </w:tcPr>
          <w:p>
            <w:pPr>
              <w:ind w:left="18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179,077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(601)</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80" w:type="dxa"/>
            <w:vAlign w:val="bottom"/>
            <w:shd w:val="clear" w:color="auto" w:fill="CCEEFF"/>
          </w:tcPr>
          <w:p>
            <w:pPr>
              <w:spacing w:after="0"/>
              <w:rPr>
                <w:sz w:val="22"/>
                <w:szCs w:val="22"/>
                <w:color w:val="auto"/>
              </w:rPr>
            </w:pPr>
          </w:p>
        </w:tc>
      </w:tr>
      <w:tr>
        <w:trPr>
          <w:trHeight w:val="61"/>
        </w:trPr>
        <w:tc>
          <w:tcPr>
            <w:tcW w:w="6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660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107,924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156,042</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6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(25,370)</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(166,518)</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transaction costs</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6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23"/>
                <w:szCs w:val="23"/>
                <w:color w:val="auto"/>
              </w:rPr>
            </w:pP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related bonus expense</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60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2,583</w:t>
            </w:r>
          </w:p>
        </w:tc>
        <w:tc>
          <w:tcPr>
            <w:tcW w:w="80" w:type="dxa"/>
            <w:vAlign w:val="bottom"/>
          </w:tcPr>
          <w:p>
            <w:pPr>
              <w:spacing w:after="0"/>
              <w:rPr>
                <w:sz w:val="23"/>
                <w:szCs w:val="23"/>
                <w:color w:val="auto"/>
              </w:rPr>
            </w:pP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settlements and other legal costs</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600" w:type="dxa"/>
            <w:vAlign w:val="bottom"/>
          </w:tcPr>
          <w:p>
            <w:pPr>
              <w:ind w:left="180"/>
              <w:spacing w:after="0"/>
              <w:rPr>
                <w:sz w:val="20"/>
                <w:szCs w:val="20"/>
                <w:color w:val="auto"/>
              </w:rPr>
            </w:pPr>
            <w:r>
              <w:rPr>
                <w:rFonts w:ascii="Arial" w:cs="Arial" w:eastAsia="Arial" w:hAnsi="Arial"/>
                <w:sz w:val="18"/>
                <w:szCs w:val="18"/>
                <w:color w:val="auto"/>
              </w:rPr>
              <w:t>Change in tax receivable agreement liability</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(142,352)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in force and executive departures</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61"/>
        </w:trPr>
        <w:tc>
          <w:tcPr>
            <w:tcW w:w="6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660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(9,633)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31,698</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80" w:type="dxa"/>
            <w:vAlign w:val="bottom"/>
            <w:tcBorders>
              <w:bottom w:val="single" w:sz="8" w:color="CCEEFF"/>
            </w:tcBorders>
            <w:shd w:val="clear" w:color="auto" w:fill="CCEEFF"/>
          </w:tcPr>
          <w:p>
            <w:pPr>
              <w:spacing w:after="0"/>
              <w:rPr>
                <w:sz w:val="22"/>
                <w:szCs w:val="22"/>
                <w:color w:val="auto"/>
              </w:rPr>
            </w:pPr>
          </w:p>
        </w:tc>
      </w:tr>
      <w:tr>
        <w:trPr>
          <w:trHeight w:val="61"/>
        </w:trPr>
        <w:tc>
          <w:tcPr>
            <w:tcW w:w="6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Adjusted EBITDA before provision for doubtful accounts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7,583</w:t>
            </w:r>
          </w:p>
        </w:tc>
        <w:tc>
          <w:tcPr>
            <w:tcW w:w="60" w:type="dxa"/>
            <w:vAlign w:val="bottom"/>
          </w:tcPr>
          <w:p>
            <w:pPr>
              <w:spacing w:after="0"/>
              <w:rPr>
                <w:sz w:val="23"/>
                <w:szCs w:val="2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37,185</w:t>
            </w:r>
          </w:p>
        </w:tc>
      </w:tr>
      <w:tr>
        <w:trPr>
          <w:trHeight w:val="20"/>
        </w:trPr>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-3350895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-3350895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Definition of Key Operating and Financial Metrics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Average Monthly Revenue Per Paying Client</w:t>
      </w:r>
      <w:r>
        <w:rPr>
          <w:rFonts w:ascii="Arial" w:cs="Arial" w:eastAsia="Arial" w:hAnsi="Arial"/>
          <w:sz w:val="18"/>
          <w:szCs w:val="18"/>
          <w:color w:val="auto"/>
        </w:rPr>
        <w:t>: We calculate this metric by dividing the average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for any particular period by the average monthly number of paying clients in the same respective period. The calculation of monthly revenue includes revenue from any clients that cease to be paying clients during the applicable month.</w:t>
      </w:r>
    </w:p>
    <w:p>
      <w:pPr>
        <w:spacing w:after="0" w:line="71" w:lineRule="exact"/>
        <w:rPr>
          <w:rFonts w:ascii="Arial" w:cs="Arial" w:eastAsia="Arial" w:hAnsi="Arial"/>
          <w:sz w:val="18"/>
          <w:szCs w:val="18"/>
          <w:color w:val="auto"/>
        </w:rPr>
      </w:pPr>
    </w:p>
    <w:p>
      <w:pPr>
        <w:ind w:left="1000" w:right="319" w:hanging="348"/>
        <w:spacing w:after="0" w:line="282"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Average Monthly Paying Clients</w:t>
      </w:r>
      <w:r>
        <w:rPr>
          <w:rFonts w:ascii="Arial" w:cs="Arial" w:eastAsia="Arial" w:hAnsi="Arial"/>
          <w:sz w:val="18"/>
          <w:szCs w:val="18"/>
          <w:color w:val="auto"/>
        </w:rPr>
        <w:t>: We define as the average of the number of paying clients billed in a</w:t>
      </w:r>
      <w:r>
        <w:rPr>
          <w:rFonts w:ascii="Arial" w:cs="Arial" w:eastAsia="Arial" w:hAnsi="Arial"/>
          <w:sz w:val="18"/>
          <w:szCs w:val="18"/>
          <w:b w:val="1"/>
          <w:bCs w:val="1"/>
          <w:color w:val="auto"/>
        </w:rPr>
        <w:t xml:space="preserve"> </w:t>
      </w:r>
      <w:r>
        <w:rPr>
          <w:rFonts w:ascii="Arial" w:cs="Arial" w:eastAsia="Arial" w:hAnsi="Arial"/>
          <w:sz w:val="18"/>
          <w:szCs w:val="18"/>
          <w:color w:val="auto"/>
        </w:rPr>
        <w:t>month across a particular period (and for which services were provided).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92075</wp:posOffset>
            </wp:positionV>
            <wp:extent cx="5246370" cy="67894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92075</wp:posOffset>
            </wp:positionV>
            <wp:extent cx="5246370" cy="67894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lvl w:ilvl="1">
      <w:lvlJc w:val="left"/>
      <w:lvlText w:val="☐"/>
      <w:numFmt w:val="bullet"/>
      <w:start w:val="1"/>
    </w:lvl>
  </w:abstractNum>
  <w:abstractNum w:abstractNumId="1">
    <w:nsid w:val="3804823E"/>
    <w:multiLevelType w:val="hybridMultilevel"/>
    <w:lvl w:ilvl="0">
      <w:lvlJc w:val="left"/>
      <w:lvlText w:val="☒"/>
      <w:numFmt w:val="bullet"/>
      <w:start w:val="1"/>
    </w:lvl>
    <w:lvl w:ilvl="1">
      <w:lvlJc w:val="left"/>
      <w:lvlText w:val="☐"/>
      <w:numFmt w:val="bullet"/>
      <w:start w:val="1"/>
    </w:lvl>
  </w:abstractNum>
  <w:abstractNum w:abstractNumId="2">
    <w:nsid w:val="77465F01"/>
    <w:multiLevelType w:val="hybridMultilevel"/>
    <w:lvl w:ilvl="0">
      <w:lvlJc w:val="left"/>
      <w:lvlText w:val="%1"/>
      <w:numFmt w:val="decimal"/>
      <w:start w:val="4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lvl w:ilvl="1">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lowerRoman"/>
      <w:start w:val="2"/>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3"/>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bullet"/>
      <w:start w:val="1"/>
    </w:lvl>
  </w:abstractNum>
  <w:abstractNum w:abstractNumId="24">
    <w:nsid w:val="7644A45C"/>
    <w:multiLevelType w:val="hybridMultilevel"/>
    <w:lvl w:ilvl="0">
      <w:lvlJc w:val="left"/>
      <w:lvlText w:val="2"/>
      <w:numFmt w:val="bullet"/>
      <w:start w:val="1"/>
    </w:lvl>
  </w:abstractNum>
  <w:abstractNum w:abstractNumId="25">
    <w:nsid w:val="32FFF902"/>
    <w:multiLevelType w:val="hybridMultilevel"/>
    <w:lvl w:ilvl="0">
      <w:lvlJc w:val="left"/>
      <w:lvlText w:val="3"/>
      <w:numFmt w:val="bullet"/>
      <w:start w:val="1"/>
    </w:lvl>
  </w:abstractNum>
  <w:abstractNum w:abstractNumId="26">
    <w:nsid w:val="684A481A"/>
    <w:multiLevelType w:val="hybridMultilevel"/>
    <w:lvl w:ilvl="0">
      <w:lvlJc w:val="left"/>
      <w:lvlText w:val="4"/>
      <w:numFmt w:val="bullet"/>
      <w:start w:val="1"/>
    </w:lvl>
  </w:abstractNum>
  <w:abstractNum w:abstractNumId="27">
    <w:nsid w:val="579478FE"/>
    <w:multiLevelType w:val="hybridMultilevel"/>
    <w:lvl w:ilvl="0">
      <w:lvlJc w:val="left"/>
      <w:lvlText w:val="5"/>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lvl>
    <w:lvl w:ilvl="1">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6"/>
      <w:numFmt w:val="bullet"/>
      <w:start w:val="1"/>
    </w:lvl>
  </w:abstractNum>
  <w:abstractNum w:abstractNumId="33">
    <w:nsid w:val="12E685FB"/>
    <w:multiLevelType w:val="hybridMultilevel"/>
    <w:lvl w:ilvl="0">
      <w:lvlJc w:val="left"/>
      <w:lvlText w:val="7"/>
      <w:numFmt w:val="bullet"/>
      <w:start w:val="1"/>
    </w:lvl>
  </w:abstractNum>
  <w:abstractNum w:abstractNumId="34">
    <w:nsid w:val="70C6A529"/>
    <w:multiLevelType w:val="hybridMultilevel"/>
    <w:lvl w:ilvl="0">
      <w:lvlJc w:val="left"/>
      <w:lvlText w:val="8"/>
      <w:numFmt w:val="bullet"/>
      <w:start w:val="1"/>
    </w:lvl>
  </w:abstractNum>
  <w:abstractNum w:abstractNumId="35">
    <w:nsid w:val="520EEDD1"/>
    <w:multiLevelType w:val="hybridMultilevel"/>
    <w:lvl w:ilvl="0">
      <w:lvlJc w:val="left"/>
      <w:lvlText w:val="9"/>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1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lowerRoman"/>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lowerRoman"/>
      <w:start w:val="4"/>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lowerLetter"/>
      <w:start w:val="1"/>
    </w:lvl>
    <w:lvl w:ilvl="1">
      <w:lvlJc w:val="left"/>
      <w:lvlText w:val="(%2)"/>
      <w:numFmt w:val="lowerLetter"/>
      <w:start w:val="35"/>
    </w:lvl>
  </w:abstractNum>
  <w:abstractNum w:abstractNumId="64">
    <w:nsid w:val="5DB70AE5"/>
    <w:multiLevelType w:val="hybridMultilevel"/>
    <w:lvl w:ilvl="0">
      <w:lvlJc w:val="left"/>
      <w:lvlText w:val="(%1)"/>
      <w:numFmt w:val="decimal"/>
      <w:start w:val="3"/>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decimal"/>
      <w:start w:val="5"/>
    </w:lvl>
  </w:abstractNum>
  <w:abstractNum w:abstractNumId="67">
    <w:nsid w:val="15014ACB"/>
    <w:multiLevelType w:val="hybridMultilevel"/>
    <w:lvl w:ilvl="0">
      <w:lvlJc w:val="left"/>
      <w:lvlText w:val="(%1)"/>
      <w:numFmt w:val="lowerRoman"/>
      <w:start w:val="3"/>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2023-04-27T15:38:40Z</dcterms:created>
  <dcterms:modified xsi:type="dcterms:W3CDTF">2023-04-27T15:38:40Z</dcterms:modified>
</cp:coreProperties>
</file>