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center"/>
        <w:rPr/>
      </w:pPr>
      <w:r>
        <w:rPr/>
      </w:r>
    </w:p>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March 12,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WM TECHNOLOGY,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 Discovery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933-3627</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9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Conditions</w:t>
      </w:r>
    </w:p>
    <w:p>
      <w:pPr>
        <w:pStyle w:val="TextBody"/>
        <w:bidi w:val="0"/>
        <w:spacing w:before="0" w:after="0"/>
        <w:jc w:val="left"/>
        <w:rPr/>
      </w:pPr>
      <w:r>
        <w:rPr/>
      </w:r>
    </w:p>
    <w:p>
      <w:pPr>
        <w:pStyle w:val="TextBody"/>
        <w:bidi w:val="0"/>
        <w:spacing w:lineRule="auto" w:line="290" w:before="34" w:after="283"/>
        <w:jc w:val="both"/>
        <w:rPr>
          <w:rFonts w:ascii="Times New Roman;serif" w:hAnsi="Times New Roman;serif"/>
          <w:b w:val="false"/>
          <w:color w:val="000000"/>
          <w:sz w:val="20"/>
        </w:rPr>
      </w:pPr>
      <w:r>
        <w:rPr>
          <w:rFonts w:ascii="Times New Roman;serif" w:hAnsi="Times New Roman;serif"/>
          <w:b w:val="false"/>
          <w:color w:val="000000"/>
          <w:sz w:val="20"/>
        </w:rPr>
        <w:t>On March 12, 2026, WM Technology, Inc. announced its financial results for the fourth quarter ended December 31, 2025. The full text of the press release issued in connection with the announcement is furnished as Exhibit 99.1 to this Current Report on Form 8-K and is incorporated by reference.</w:t>
      </w:r>
    </w:p>
    <w:p>
      <w:pPr>
        <w:pStyle w:val="TextBody"/>
        <w:bidi w:val="0"/>
        <w:spacing w:before="34" w:after="283"/>
        <w:ind w:left="0" w:right="0" w:firstLine="360"/>
        <w:jc w:val="both"/>
        <w:rPr/>
      </w:pPr>
      <w:r>
        <w:rPr/>
      </w:r>
    </w:p>
    <w:p>
      <w:pPr>
        <w:pStyle w:val="TextBody"/>
        <w:bidi w:val="0"/>
        <w:spacing w:lineRule="auto" w:line="290" w:before="34"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both"/>
        <w:rPr/>
      </w:pPr>
      <w:r>
        <w:rPr/>
      </w:r>
    </w:p>
    <w:tbl>
      <w:tblPr>
        <w:tblW w:w="841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wmtechnologyincearningsre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mtechnologyincearningsrel.htm">
              <w:r>
                <w:rPr>
                  <w:rStyle w:val="InternetLink"/>
                  <w:rFonts w:ascii="Times New Roman;serif" w:hAnsi="Times New Roman;serif"/>
                  <w:b w:val="false"/>
                  <w:color w:val="0000FF"/>
                  <w:sz w:val="20"/>
                  <w:u w:val="single"/>
                </w:rPr>
                <w:t>Press Release dated March 12, 2026</w:t>
              </w:r>
            </w:hyperlink>
          </w:p>
        </w:tc>
      </w:tr>
      <w:tr>
        <w:trPr/>
        <w:tc>
          <w:tcPr>
            <w:tcW w:w="1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152" w:type="dxa"/>
        <w:jc w:val="left"/>
        <w:tblInd w:w="0" w:type="dxa"/>
        <w:tblLayout w:type="fixed"/>
        <w:tblCellMar>
          <w:top w:w="28" w:type="dxa"/>
          <w:left w:w="28" w:type="dxa"/>
          <w:bottom w:w="28" w:type="dxa"/>
          <w:right w:w="28" w:type="dxa"/>
        </w:tblCellMar>
      </w:tblPr>
      <w:tblGrid>
        <w:gridCol w:w="369"/>
        <w:gridCol w:w="325"/>
        <w:gridCol w:w="325"/>
        <w:gridCol w:w="325"/>
        <w:gridCol w:w="325"/>
        <w:gridCol w:w="325"/>
        <w:gridCol w:w="383"/>
        <w:gridCol w:w="383"/>
        <w:gridCol w:w="383"/>
        <w:gridCol w:w="587"/>
        <w:gridCol w:w="587"/>
        <w:gridCol w:w="835"/>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9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12, 2026</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WM TECHNOLOGY, INC.</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0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20" w:after="120"/>
        <w:jc w:val="center"/>
        <w:rPr/>
      </w:pPr>
      <w:r>
        <w:rPr/>
        <w:drawing>
          <wp:inline distT="0" distB="0" distL="0" distR="0">
            <wp:extent cx="2381250" cy="7429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bidi w:val="0"/>
        <w:spacing w:before="120" w:after="120"/>
        <w:jc w:val="right"/>
        <w:rPr/>
      </w:pPr>
      <w:r>
        <w:rPr/>
      </w:r>
    </w:p>
    <w:p>
      <w:pPr>
        <w:pStyle w:val="TextBody"/>
        <w:bidi w:val="0"/>
        <w:spacing w:lineRule="auto" w:line="288" w:before="120" w:after="120"/>
        <w:jc w:val="center"/>
        <w:rPr>
          <w:rFonts w:ascii="Times New Roman;serif" w:hAnsi="Times New Roman;serif"/>
          <w:b/>
          <w:color w:val="000000"/>
          <w:sz w:val="28"/>
        </w:rPr>
      </w:pPr>
      <w:r>
        <w:rPr>
          <w:rFonts w:ascii="Times New Roman;serif" w:hAnsi="Times New Roman;serif"/>
          <w:b/>
          <w:color w:val="000000"/>
          <w:sz w:val="28"/>
        </w:rPr>
        <w:t>WM Technology, Inc. Reports Fourth Quarter and Full Year 2025 Financial Results</w:t>
      </w:r>
    </w:p>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Fourth Quarter 2025 Revenue of $43.1 million and Full Year Revenue of $174.7 million</w:t>
      </w:r>
    </w:p>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Sustains Consecutive Quarters of Adjusted EBITDA Profitability and Achieves Full Year Net Income Profitability</w:t>
      </w:r>
    </w:p>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Appoints Nick Rellas to the Company’s Board of Directors</w:t>
      </w:r>
    </w:p>
    <w:p>
      <w:pPr>
        <w:pStyle w:val="TextBody"/>
        <w:bidi w:val="0"/>
        <w:spacing w:before="120" w:after="120"/>
        <w:jc w:val="center"/>
        <w:rPr/>
      </w:pPr>
      <w:r>
        <w:rPr/>
      </w:r>
    </w:p>
    <w:p>
      <w:pPr>
        <w:pStyle w:val="TextBody"/>
        <w:bidi w:val="0"/>
        <w:spacing w:lineRule="auto" w:line="288" w:before="120" w:after="120"/>
        <w:jc w:val="both"/>
        <w:rPr/>
      </w:pPr>
      <w:r>
        <w:rPr>
          <w:rFonts w:ascii="Times New Roman;serif" w:hAnsi="Times New Roman;serif"/>
          <w:b/>
          <w:color w:val="000000"/>
          <w:sz w:val="20"/>
        </w:rPr>
        <w:t xml:space="preserve">Irvine, Calif. -- March 12, 2026 -- </w:t>
      </w:r>
      <w:r>
        <w:rPr>
          <w:rFonts w:ascii="Times New Roman;serif" w:hAnsi="Times New Roman;serif"/>
          <w:b w:val="false"/>
          <w:color w:val="000000"/>
          <w:sz w:val="20"/>
        </w:rPr>
        <w:t>WM Technology, Inc. (“WM Technology” or the “Company”) (Nasdaq: MAPS), a leading marketplace and technology solutions provider to the cannabis industry, today announced its financial results for the fourth quarter and year ended December 31, 2025.</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2025 was another demanding year for the cannabis industry, with pressure in mature markets and cautious spending across much of the ecosystem,” said Doug Francis, CEO and Chairman of WM Technology. “Against that backdrop, we remained focused on supporting our clients, improving the quality and utility of our platform, and managing the business with discipline. As we look ahead, we believe our marketplace position and strong balance sheet position us well to navigate near-term volatility while continuing to invest for long-term growth.”</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0"/>
        </w:rPr>
        <w:t>Our fourth quarter and full-year results reflect the continued macro and industry-specific pressures facing cannabis operators, as well as the resilience of our business model,” said Susan Echard, Chief Financial Officer of WM Technology. “We enter 2026 with a strong liquidity position, which provides us the flexibility to make targeted investments in the business while maintaining a disciplined approach to capital allocation.”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announced that Nick Rellas has been appointed to its Board of Directors, effective March 5, 2026. Mr. Rellas brings extensive experience building and scaling consumer marketplaces in regulated industries. He is the co-founder and former CEO of Drizly, which pioneered retail-to-consumer alcohol e-commerce prior to its sale to Uber. Mr. Rellas is the founder and CEO of Greater Industries Labs, Inc.</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Fourth Quarter 2025 Financial Highlights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Revenue for the fourth quarter ended December 31, 2025 was $43.1 million, compared to $47.7 million in the prior year period. The decrease from the prior year period was driven by continued challenges across core markets, where ongoing pricing pressure continued to compress client operating margins and constrain marketing budgets.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Average monthly paying clients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5,120, compared to 5,225 in the prior year period. The decrease from the prior year period was largely due to churn in more established markets, partially offset by new client acquisitions across certain developing markets.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Average monthly revenues per paying client</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 $2,804 decreased from $3,041 in the prior year period. The decrease from the prior year period was due to spend declines in established markets driven by continued industry challenges, such as price deflation and ongoing consolidation. In addition, new clients acquired across certain markets had lower levels of average spend.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Net loss was $5.0 million, compared to net income of $3.7 million in the prior year period.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decreased to $10.4 million from $11.9 million in the prior year period.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Fiscal Year 2025 Financial Highlights</w:t>
      </w:r>
    </w:p>
    <w:p>
      <w:pPr>
        <w:pStyle w:val="TextBody"/>
        <w:bidi w:val="0"/>
        <w:spacing w:before="1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Revenue of $174.7 million decreased from $184.5 million in the prior year. The decrease from the prior year was driven by continued headwinds across core markets, where ongoing pricing pressure and price deflation continued to compress client operating margins and constrain marketing budgets.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Average monthly paying clients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5,190 was up from 5,077 in the prior year. The increase from the prior year period was largely due to new client acquisitions across certain developing markets, partially offset by a churn in more established markets.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Average monthly revenues per paying client</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 $2,805 decreased from $3,029 in the prior year. The decrease from the prior year period was due to spend declines in established markets driven by continued industry challenges, such as price deflation and ongoing consolidation. In addition, new clients acquired across certain markets had lower levels of average spend.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Net income decreased to $3.3 million from $12.2 million in the prior year.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decreased to $39.8 million from $42.9 million in the prior year.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shares outstanding across Class A and Class V Common Stock were 157.8 million as of December 31,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Cash increased to $62.4 million as of December 31, 2025, as compared to $52.0 million as of December 31, 2024.</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Reconciliations of GAAP to non-GAAP financial measures have been provided in the tables included in this release.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(1)Average monthly paying clients are defined as the average of the number of paying clients billed in a month across a particular period (and for which services were provided).</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(2)Average monthly revenues per paying client is defined as the average monthly revenues for any particular period divided by the average monthly paying clients in the same respective period.</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(3)For further information about how we calculate EBITDA and Adjusted EBITDA as well as limitations of their use and a reconciliation of EBITDA and Adjusted EBITDA to net income (loss), see “Reconciliation of Net Income (Loss) to EBITDA and Adjusted EBITDA” below.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Business Outlook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on information available as of March 12, 2026, the Company expects first quarter 2026 revenue to decline by mid- to high-single digit percentages sequentially from the fourth quarter. Given the Company’s focus on investing opportunistically across the business, and the potential variability in the timing of these investments, the Company will not be providing Adjusted EBITDA guidance at this time. The Company remains committed to maintaining a strong balance sheet and financial discipline.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guidance provided above is only an estimate of what we believe is realizable as of the date of this release.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Investor Conference Call and Webcasts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will host a conference call and webcast today, Thursday, March 12, 2026, at 2:00 p.m. Pacific Time (5:00 p.m. Eastern Time) at https://edge.media-server.com/mmc/p/voj36wk8. A webcast replay will also be archived at ir.weedmaps.com.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used, and intend to continue to use, the investor relations portion of our website as a means of disclosing material non-public information and for complying with disclosure obligations under Regulation FD.</w:t>
      </w:r>
    </w:p>
    <w:p>
      <w:pPr>
        <w:pStyle w:val="TextBody"/>
        <w:bidi w:val="0"/>
        <w:spacing w:before="1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About WM Technology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Over the past 18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Headquartered in Irvine, California, the Company is committed to advocating for full U.S. legalization, industry-wide social equity, and continued education about the plant through key partnerships and cannabis subject matter experts. Visit us at www.weedmaps.com.</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impact of the material weaknesses in the Company’s internal controls and ability to remediate these material weaknesses in the timing the Company anticipates, or at all; the Company’s ability to maintain its listing on the Nasdaq Stock Market LLC;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for the fiscal year ended December 31, 2025, on Form 10-K filed with the Securities and Exchange Commission on March 12, 2026.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w:t>
      </w:r>
    </w:p>
    <w:p>
      <w:pPr>
        <w:pStyle w:val="TextBody"/>
        <w:bidi w:val="0"/>
        <w:spacing w:before="1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representing the Company’s assessments as of any date subsequent to the date of this press release. Accordingly, undue reliance should not be placed upon the forward-looking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financial statements, including net income (loss), are prepared in accordance with principles generally accepted in the United States of America (“GAAP”).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legal settlements and other legal costs, loss contingency, asset impairment charges, reduction in force, change in the TRA liability and other non-cash, unusual and/or infrequent costs in the case of Adjusted EBITDA. Below we have provided a reconciliation of net income (loss) (the most directly comparable GAAP financial measure) to EBITDA; and from EBITDA to Adjusted EBITDA.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EBITDA and Adjusted EBITDA do not reflect changes in, or cash requirements for, our working capital needs; and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EBITDA and Adjusted EBITDA do not reflect tax payments that may represent a reduction in cash available to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you should consider EBITDA and Adjusted EBITDA alongside other financial performance measures, including net income (loss) and our other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803"/>
        <w:gridCol w:w="2219"/>
        <w:gridCol w:w="2190"/>
        <w:gridCol w:w="109"/>
        <w:gridCol w:w="109"/>
        <w:gridCol w:w="109"/>
        <w:gridCol w:w="211"/>
        <w:gridCol w:w="826"/>
        <w:gridCol w:w="109"/>
        <w:gridCol w:w="109"/>
        <w:gridCol w:w="109"/>
        <w:gridCol w:w="109"/>
        <w:gridCol w:w="211"/>
        <w:gridCol w:w="826"/>
        <w:gridCol w:w="156"/>
      </w:tblGrid>
      <w:tr>
        <w:trPr/>
        <w:tc>
          <w:tcPr>
            <w:tcW w:w="2803"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 $0.0001 par value; 75,000,000 shares authorized; no shares issued and outstanding at December 31,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 $0.0001 par value; 1,500,000,000 shares authorized; 109,990,343 shares issued and outstanding at December 31, 2025 and 99,033,110 shares issued and outstanding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V Common Stock - $0.0001 par value; 500,000,000 shares authorized, 47,852,652 shares issued and outstanding at December 31, 2025 and 54,319,542 shares issued and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WM Technology,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1693"/>
        <w:gridCol w:w="1264"/>
        <w:gridCol w:w="1273"/>
        <w:gridCol w:w="269"/>
        <w:gridCol w:w="840"/>
        <w:gridCol w:w="123"/>
        <w:gridCol w:w="123"/>
        <w:gridCol w:w="123"/>
        <w:gridCol w:w="123"/>
        <w:gridCol w:w="239"/>
        <w:gridCol w:w="819"/>
        <w:gridCol w:w="123"/>
        <w:gridCol w:w="109"/>
        <w:gridCol w:w="109"/>
        <w:gridCol w:w="109"/>
        <w:gridCol w:w="241"/>
        <w:gridCol w:w="945"/>
        <w:gridCol w:w="109"/>
        <w:gridCol w:w="109"/>
        <w:gridCol w:w="109"/>
        <w:gridCol w:w="109"/>
        <w:gridCol w:w="219"/>
        <w:gridCol w:w="862"/>
        <w:gridCol w:w="163"/>
      </w:tblGrid>
      <w:tr>
        <w:trPr/>
        <w:tc>
          <w:tcPr>
            <w:tcW w:w="169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Provision (benefit) for income taxes </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WM Technology, Inc.</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(loss) per share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(loss) per share</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108,870,824</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97,778,402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106,572,365 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96,254,679 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108,870,824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98,726,850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97,103,304 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174" w:type="dxa"/>
        <w:jc w:val="left"/>
        <w:tblInd w:w="0" w:type="dxa"/>
        <w:tblLayout w:type="fixed"/>
        <w:tblCellMar>
          <w:top w:w="28" w:type="dxa"/>
          <w:left w:w="28" w:type="dxa"/>
          <w:bottom w:w="28" w:type="dxa"/>
          <w:right w:w="28" w:type="dxa"/>
        </w:tblCellMar>
      </w:tblPr>
      <w:tblGrid>
        <w:gridCol w:w="2429"/>
        <w:gridCol w:w="2138"/>
        <w:gridCol w:w="2153"/>
        <w:gridCol w:w="211"/>
        <w:gridCol w:w="721"/>
        <w:gridCol w:w="109"/>
        <w:gridCol w:w="109"/>
        <w:gridCol w:w="109"/>
        <w:gridCol w:w="109"/>
        <w:gridCol w:w="211"/>
        <w:gridCol w:w="72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warrant liability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 -use lease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termination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and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repayment of related party note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payment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NET INCOME (LOSS) TO EBITDA AND ADJUSTED EBITDA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589" w:type="dxa"/>
        <w:jc w:val="left"/>
        <w:tblInd w:w="0" w:type="dxa"/>
        <w:tblLayout w:type="fixed"/>
        <w:tblCellMar>
          <w:top w:w="28" w:type="dxa"/>
          <w:left w:w="28" w:type="dxa"/>
          <w:bottom w:w="28" w:type="dxa"/>
          <w:right w:w="28" w:type="dxa"/>
        </w:tblCellMar>
      </w:tblPr>
      <w:tblGrid>
        <w:gridCol w:w="1353"/>
        <w:gridCol w:w="1186"/>
        <w:gridCol w:w="1196"/>
        <w:gridCol w:w="269"/>
        <w:gridCol w:w="920"/>
        <w:gridCol w:w="139"/>
        <w:gridCol w:w="139"/>
        <w:gridCol w:w="139"/>
        <w:gridCol w:w="139"/>
        <w:gridCol w:w="269"/>
        <w:gridCol w:w="920"/>
        <w:gridCol w:w="139"/>
        <w:gridCol w:w="109"/>
        <w:gridCol w:w="109"/>
        <w:gridCol w:w="109"/>
        <w:gridCol w:w="211"/>
        <w:gridCol w:w="721"/>
        <w:gridCol w:w="109"/>
        <w:gridCol w:w="109"/>
        <w:gridCol w:w="109"/>
        <w:gridCol w:w="109"/>
        <w:gridCol w:w="211"/>
        <w:gridCol w:w="72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w:t>
              <w:br/>
              <w:t>December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Contingency</w:t>
            </w:r>
            <w:r>
              <w:rPr>
                <w:rFonts w:ascii="Times New Roman;serif" w:hAnsi="Times New Roman;serif"/>
                <w:b w:val="false"/>
                <w:color w:val="000000"/>
                <w:sz w:val="13"/>
              </w:rPr>
              <w:t>(1)</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charges</w:t>
            </w:r>
            <w:r>
              <w:rPr>
                <w:rFonts w:ascii="Times New Roman;serif" w:hAnsi="Times New Roman;serif"/>
                <w:b w:val="false"/>
                <w:color w:val="000000"/>
                <w:sz w:val="13"/>
              </w:rPr>
              <w:t>(2)</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settlements and other legal costs</w:t>
            </w:r>
            <w:r>
              <w:rPr>
                <w:rFonts w:ascii="Times New Roman;serif" w:hAnsi="Times New Roman;serif"/>
                <w:b w:val="false"/>
                <w:color w:val="000000"/>
                <w:sz w:val="13"/>
              </w:rPr>
              <w:t>(3)</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in force</w:t>
            </w:r>
            <w:r>
              <w:rPr>
                <w:rFonts w:ascii="Times New Roman;serif" w:hAnsi="Times New Roman;serif"/>
                <w:b w:val="false"/>
                <w:color w:val="000000"/>
                <w:sz w:val="13"/>
              </w:rPr>
              <w:t>(4)</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Represents loss contingency related to the shortfall under the AWS minimum commitment obligation. See Note 6, “Commitments and Contingencies” to our audited consolidated financial statements included in our Annual Report on Form 10-K for fiscal year December 31, 2025 filed with the SEC for additional information.</w:t>
      </w:r>
    </w:p>
    <w:p>
      <w:pPr>
        <w:pStyle w:val="TextBody"/>
        <w:bidi w:val="0"/>
        <w:spacing w:lineRule="auto" w:line="288" w:before="120" w:after="1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Represents $7.1 million</w:t>
      </w:r>
      <w:r>
        <w:rPr>
          <w:color w:val="000000"/>
          <w:shd w:fill="FFFFFF" w:val="clear"/>
        </w:rPr>
        <w:t xml:space="preserve"> </w:t>
      </w:r>
      <w:r>
        <w:rPr>
          <w:rFonts w:ascii="Times New Roman;serif" w:hAnsi="Times New Roman;serif"/>
          <w:b w:val="false"/>
          <w:color w:val="000000"/>
          <w:sz w:val="18"/>
          <w:shd w:fill="FFFFFF" w:val="clear"/>
        </w:rPr>
        <w:t>in goodwill impairment</w:t>
      </w:r>
      <w:r>
        <w:rPr>
          <w:color w:val="000000"/>
        </w:rPr>
        <w:t xml:space="preserve"> </w:t>
      </w:r>
      <w:r>
        <w:rPr>
          <w:rFonts w:ascii="Times New Roman;serif" w:hAnsi="Times New Roman;serif"/>
          <w:b w:val="false"/>
          <w:color w:val="000000"/>
          <w:sz w:val="18"/>
        </w:rPr>
        <w:t>and $0.7 million in impairment charges related to capitalized implementation costs. See Note 8, “Goodwill and Intangible Assets,” and Note 9, “Prepaid Expenses and Other Current Assets,”</w:t>
      </w:r>
      <w:r>
        <w:rPr>
          <w:color w:val="000000"/>
        </w:rPr>
        <w:t xml:space="preserve"> </w:t>
      </w:r>
      <w:r>
        <w:rPr>
          <w:rFonts w:ascii="Times New Roman;serif" w:hAnsi="Times New Roman;serif"/>
          <w:b w:val="false"/>
          <w:color w:val="000000"/>
          <w:sz w:val="18"/>
        </w:rPr>
        <w:t>to our audited consolidated financial statements included in our Annual Report on Form 10-K for fiscal year December 31, 2025 filed with the SEC for additional information.</w:t>
      </w:r>
    </w:p>
    <w:p>
      <w:pPr>
        <w:pStyle w:val="TextBody"/>
        <w:bidi w:val="0"/>
        <w:spacing w:lineRule="auto" w:line="288" w:before="120" w:after="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As of December 31, 2025, includes legal and advisory fees related to among other things, ongoing litigation related to shareholder class action and derivative actions, and as of December 31, 2024, includes legal and advisory fees related to the SEC enforcement matter and SEC settlement. See Note 6, “Commitments and Contingencies” to our audited consolidated financial statements included in our Annual Report on Form 10-K for fiscal year December 31, 2025 filed with the SEC for additional information.</w:t>
      </w:r>
    </w:p>
    <w:p>
      <w:pPr>
        <w:pStyle w:val="TextBody"/>
        <w:bidi w:val="0"/>
        <w:spacing w:lineRule="auto" w:line="288" w:before="120" w:after="18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Represents severance charges included in general and administrative expense in the audited consolidated statement of operations, related to certain reduction in force actions taken by our management. These reduction in force actions are designed to enhance operational efficiency and align resources with strategic priorities in its corporate technology and marketing divisions.</w:t>
      </w:r>
    </w:p>
    <w:p>
      <w:pPr>
        <w:pStyle w:val="TextBody"/>
        <w:bidi w:val="0"/>
        <w:spacing w:before="120" w:after="283"/>
        <w:jc w:val="both"/>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FF"/>
          <w:sz w:val="20"/>
        </w:rPr>
      </w:pPr>
      <w:r>
        <w:rPr>
          <w:rFonts w:ascii="Times New Roman;serif" w:hAnsi="Times New Roman;serif"/>
          <w:b w:val="false"/>
          <w:color w:val="0000FF"/>
          <w:sz w:val="20"/>
        </w:rPr>
        <w:t>investors@weedmaps.com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Contract: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FF"/>
          <w:sz w:val="20"/>
        </w:rPr>
      </w:pPr>
      <w:r>
        <w:rPr>
          <w:rFonts w:ascii="Times New Roman;serif" w:hAnsi="Times New Roman;serif"/>
          <w:b w:val="false"/>
          <w:color w:val="0000FF"/>
          <w:sz w:val="20"/>
        </w:rPr>
        <w:t>press@weedmaps.com</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16380"/>
                <wp:effectExtent l="0" t="0" r="0" b="0"/>
                <wp:wrapNone/>
                <wp:docPr id="13" name="Frame12"/>
                <a:graphic xmlns:a="http://schemas.openxmlformats.org/drawingml/2006/main">
                  <a:graphicData uri="http://schemas.microsoft.com/office/word/2010/wordprocessingShape">
                    <wps:wsp>
                      <wps:cNvSpPr txBox="1"/>
                      <wps:spPr>
                        <a:xfrm>
                          <a:off x="0" y="0"/>
                          <a:ext cx="6480175" cy="1516380"/>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4023</Words>
  <Characters>23066</Characters>
  <CharactersWithSpaces>26774</CharactersWithSpaces>
  <Paragraphs>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