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Susan Echard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 Technology, Inc.</w:t>
      </w:r>
    </w:p>
    <w:p>
      <w:pPr>
        <w:ind w:right="8439" w:firstLine="8"/>
        <w:spacing w:after="0" w:line="377" w:lineRule="auto"/>
        <w:tabs>
          <w:tab w:leader="none" w:pos="316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Discovery Irvine, CA 92618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WM Technology,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Susan Echard: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year ended December 31, 2023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7.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Estimates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Goodwill and Intangible Assets, page 63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perform your annual impairment test on December 31, and that as of both</w:t>
      </w:r>
    </w:p>
    <w:p>
      <w:pPr>
        <w:ind w:right="21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2023, and 2022 your market capitalization was below book value. Please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the percentage by which the estimated fair value of goodwill exceeded the carrying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value as of your most recent impairment test. If goodwill is at risk of impairment, disclose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amount (or percentage) by which the fair value exceeded the carrying value and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potential events and/or changes in circumstances that would reasonably be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to negatively affect any key assumptions. If you determined that the fair value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substantially exceeded the carrying value, please revise to disclose that fact. Refer to Item</w:t>
      </w:r>
    </w:p>
    <w:p>
      <w:pPr>
        <w:ind w:left="120" w:right="6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303(b)(3) of Regulation S-K. August 21, 2024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9A. Controls and Procedures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Report on Internal Control Over Financial Reporting, page 66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your Form 10-K to include a statement that specifically asserts whether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determined that your internal controls over financial reporting were effective</w:t>
      </w:r>
    </w:p>
    <w:p>
      <w:pPr>
        <w:ind w:right="2439" w:firstLine="737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ineffective as of December 31, 2023. Refer to Item 308(a)(3) of Regulation S-K.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Brittany Ebbertt at 202-551-3572 or Kathleen Collins at 202-551-3499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Brian Camire</w:t>
      </w:r>
    </w:p>
    <w:sectPr>
      <w:pgSz w:w="11900" w:h="16838" w:orient="portrait"/>
      <w:cols w:equalWidth="0" w:num="1">
        <w:col w:w="10139"/>
      </w:cols>
      <w:pgMar w:left="320" w:top="218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"/>
      <w:numFmt w:val="decimal"/>
      <w:start w:val="4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2024-12-27T23:12:30Z</dcterms:created>
  <dcterms:modified xsi:type="dcterms:W3CDTF">2024-12-27T23:12:30Z</dcterms:modified>
</cp:coreProperties>
</file>