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35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1145540</wp:posOffset>
            </wp:positionH>
            <wp:positionV relativeFrom="paragraph">
              <wp:posOffset>182880</wp:posOffset>
            </wp:positionV>
            <wp:extent cx="3429000" cy="1019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1,938,798 Shares of Class A Common Stock</w:t>
      </w: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229" w:lineRule="exact"/>
        <w:rPr>
          <w:sz w:val="24"/>
          <w:szCs w:val="24"/>
          <w:color w:val="auto"/>
        </w:rPr>
      </w:pPr>
    </w:p>
    <w:p>
      <w:pPr>
        <w:jc w:val="both"/>
        <w:ind w:left="40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96" w:lineRule="exact"/>
        <w:rPr>
          <w:sz w:val="24"/>
          <w:szCs w:val="24"/>
          <w:color w:val="auto"/>
        </w:rPr>
      </w:pPr>
    </w:p>
    <w:p>
      <w:pPr>
        <w:jc w:val="both"/>
        <w:ind w:left="400" w:right="419" w:firstLine="360"/>
        <w:spacing w:after="0" w:line="25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in the section entitled “Plan of Distribution.”</w:t>
      </w:r>
    </w:p>
    <w:p>
      <w:pPr>
        <w:spacing w:after="0" w:line="187" w:lineRule="exact"/>
        <w:rPr>
          <w:sz w:val="24"/>
          <w:szCs w:val="24"/>
          <w:color w:val="auto"/>
        </w:rPr>
      </w:pPr>
    </w:p>
    <w:p>
      <w:pPr>
        <w:jc w:val="both"/>
        <w:ind w:left="400" w:right="4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October 18, 2022, the closing price of our Class A Common Stock was $1.80.</w:t>
      </w:r>
    </w:p>
    <w:p>
      <w:pPr>
        <w:spacing w:after="0" w:line="162"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of this prospectus, and under similar headings in any amendments or supplements to this prospectus and the documents incorporated herein by reference, to read about factors you should consider before buying our securities.</w:t>
      </w:r>
    </w:p>
    <w:p>
      <w:pPr>
        <w:spacing w:after="0" w:line="176"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October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138430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7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3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20"/>
                <w:szCs w:val="20"/>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6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10</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18</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0000EE"/>
            </w:tcBorders>
            <w:shd w:val="clear" w:color="auto" w:fill="CCEEFF"/>
          </w:tcPr>
          <w:p>
            <w:pPr>
              <w:spacing w:after="0"/>
              <w:rPr>
                <w:sz w:val="6"/>
                <w:szCs w:val="6"/>
                <w:color w:val="auto"/>
              </w:rPr>
            </w:pPr>
          </w:p>
        </w:tc>
        <w:tc>
          <w:tcPr>
            <w:tcW w:w="1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24</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24</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25</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0000EE"/>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940" w:type="dxa"/>
            <w:vAlign w:val="bottom"/>
            <w:gridSpan w:val="3"/>
          </w:tcPr>
          <w:p>
            <w:pPr>
              <w:spacing w:after="0"/>
              <w:rPr>
                <w:sz w:val="19"/>
                <w:szCs w:val="19"/>
                <w:color w:val="auto"/>
              </w:rPr>
            </w:pP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-2845435</wp:posOffset>
            </wp:positionV>
            <wp:extent cx="111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(as defined below) periods, “Legacy WMH” and when referred to in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WMH LLC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“WMTI,”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the documents incorporated by reference herein and any prospectus supplement delivered with this prospectus may contain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736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77362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We were founded in 2008 and operate a leading online cannabis marketplace for consumers together with a comprehensive set of eCommerce and compliance software solutions for cannabis businesses, which are sold to retailers and brands in the U.S. state-legal and Canadian cannabis markets. The Company’s mission is to power a transparent and inclusive global cannabis economy. Our technology addresses the challenges facing both consumers seeking to understand cannabis products and businesses who serve cannabis users in a legally compliant fashion. Over the past 14 years, the Weedmaps marketplace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6"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on providing detailed, accurate information about cannabis.</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On September 3, 2021, we entered into the Asset Purchase Agreement with Sprout, Text Ripple, WM Loyalty, LLC, certain equityholders of Sprout and Text Ripple, and Jaret Christopher, as sellers’ representative. We issued 1,244,258 shares of Class A Common Stock pursuant to the Asset Purchase Agreement , and we are required under the Asset Purchase Agreement to register such shares for resale under the Securities Act.</w:t>
      </w:r>
    </w:p>
    <w:p>
      <w:pPr>
        <w:spacing w:after="0" w:line="72"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On September 28, 2021, Ghost Management Group, LLC, a subsidiary of the Company, entered into the Equity Interest Purchase Agreement with TLHC, certain securityholders of TLHC, and Justin Morris, as sellers’ representative. We issued 694,540 shares of Class A Common Stock pursuant to the Equity Interest Purchase Agreement.</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3133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31330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020"/>
          </w:cols>
          <w:pgMar w:left="440" w:top="263" w:right="439" w:bottom="1440" w:gutter="0" w:footer="0" w:header="0"/>
        </w:sectPr>
      </w:pP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8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Resale of Class A Common Stock</w:t>
      </w:r>
    </w:p>
    <w:p>
      <w:pPr>
        <w:spacing w:after="0" w:line="117" w:lineRule="exact"/>
        <w:rPr>
          <w:sz w:val="20"/>
          <w:szCs w:val="20"/>
          <w:color w:val="auto"/>
        </w:rPr>
      </w:pPr>
    </w:p>
    <w:p>
      <w:pPr>
        <w:ind w:left="14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Shares of Class A Common Stock Offered by the Selling Securityholders</w:t>
      </w:r>
    </w:p>
    <w:p>
      <w:pPr>
        <w:spacing w:after="0" w:line="1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1,938,798 shares of Class A Common Stock.</w:t>
      </w:r>
    </w:p>
    <w:p>
      <w:pPr>
        <w:spacing w:after="0" w:line="158" w:lineRule="exact"/>
        <w:rPr>
          <w:sz w:val="20"/>
          <w:szCs w:val="20"/>
          <w:color w:val="auto"/>
        </w:rPr>
      </w:pPr>
    </w:p>
    <w:p>
      <w:pPr>
        <w:jc w:val="both"/>
        <w:ind w:right="128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Securityholders.</w:t>
      </w:r>
    </w:p>
    <w:p>
      <w:pPr>
        <w:spacing w:after="0" w:line="91" w:lineRule="exact"/>
        <w:rPr>
          <w:sz w:val="20"/>
          <w:szCs w:val="20"/>
          <w:color w:val="auto"/>
        </w:rPr>
      </w:pPr>
    </w:p>
    <w:p>
      <w:pPr>
        <w:sectPr>
          <w:pgSz w:w="11900" w:h="16838" w:orient="portrait"/>
          <w:cols w:equalWidth="0" w:num="2">
            <w:col w:w="5040" w:space="600"/>
            <w:col w:w="53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w:t>
            </w: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Our Class A Common Stock is currently traded on</w:t>
            </w:r>
          </w:p>
        </w:tc>
      </w:tr>
      <w:tr>
        <w:trPr>
          <w:trHeight w:val="234"/>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Nasdaq under the symbol “MAPS.”</w:t>
            </w:r>
          </w:p>
        </w:tc>
      </w:tr>
      <w:tr>
        <w:trPr>
          <w:trHeight w:val="346"/>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See  the  section  entitled  “Risk  Factors,”  other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similar headings in any amendments or supplements to</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this prospectus and the documents incorporated herein</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by reference, for a discussion of factors you should</w:t>
            </w:r>
          </w:p>
        </w:tc>
      </w:tr>
      <w:tr>
        <w:trPr>
          <w:trHeight w:val="234"/>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consider before investing in our securities.</w:t>
            </w:r>
          </w:p>
        </w:tc>
      </w:tr>
      <w:tr>
        <w:trPr>
          <w:trHeight w:val="213"/>
        </w:trPr>
        <w:tc>
          <w:tcPr>
            <w:tcW w:w="108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type w:val="continuous"/>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Annual Report on Form 10-K for fiscal year ended December 31, 2021,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Securityholders acquired 1,938,798 shares of Class A Common Stock (the “Shares”), consisting of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1,244,258  shares  of  Class A  Common  Stock  issued  pursuant  to  the  Asset  Purchase  Agreement  and</w:t>
      </w:r>
    </w:p>
    <w:p>
      <w:pPr>
        <w:spacing w:after="0" w:line="9" w:lineRule="exact"/>
        <w:rPr>
          <w:sz w:val="20"/>
          <w:szCs w:val="20"/>
          <w:color w:val="auto"/>
        </w:rPr>
      </w:pPr>
    </w:p>
    <w:p>
      <w:pPr>
        <w:jc w:val="both"/>
        <w:ind w:left="300" w:right="319" w:hanging="8"/>
        <w:spacing w:after="0" w:line="253" w:lineRule="auto"/>
        <w:tabs>
          <w:tab w:leader="none" w:pos="5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694,540 shares of Class A Common Stock issued pursuant to the Equity Interest Purchase Agreement. We agreed to file a registration statement with the SEC for the purposes of registering for resale such shares of Class A Common Stock. The shares of Common Stock were issued to the Selling Securityholders in reliance on the exemption from registration in Section 4(a)(2) under the Securities Act.</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these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registered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8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88,836,328 shares of our Class A Common Stock issued and outstanding as of June 30, 2022.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owned beneficially after the offering assumes the sale of all of the shares of Class A Common Stock offered and no other purchases or sales of our Class A Common Stock. The Selling Securityholders may offer and sell some, all or none of their shares of Class A Common Stock, as applicable.</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tbl>
      <w:tblPr>
        <w:tblLayout w:type="fixed"/>
        <w:tblInd w:w="300" w:type="dxa"/>
        <w:tblCellMar>
          <w:top w:w="0" w:type="dxa"/>
          <w:left w:w="0" w:type="dxa"/>
          <w:bottom w:w="0" w:type="dxa"/>
          <w:right w:w="0" w:type="dxa"/>
        </w:tblCellMar>
      </w:tblPr>
      <w:tr>
        <w:trPr>
          <w:trHeight w:val="161"/>
        </w:trPr>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ClassA</w:t>
            </w:r>
          </w:p>
        </w:tc>
        <w:tc>
          <w:tcPr>
            <w:tcW w:w="22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vMerge w:val="restart"/>
          </w:tcPr>
          <w:p>
            <w:pPr>
              <w:spacing w:after="0"/>
              <w:rPr>
                <w:sz w:val="8"/>
                <w:szCs w:val="8"/>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450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500" w:type="dxa"/>
            <w:vAlign w:val="bottom"/>
            <w:gridSpan w:val="3"/>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Andrew &amp; Ellen Astrove</w:t>
            </w:r>
            <w:r>
              <w:rPr>
                <w:rFonts w:ascii="Times New Roman" w:cs="Times New Roman" w:eastAsia="Times New Roman" w:hAnsi="Times New Roman"/>
                <w:sz w:val="29"/>
                <w:szCs w:val="29"/>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Ashwin Surajbali</w:t>
            </w:r>
            <w:r>
              <w:rPr>
                <w:rFonts w:ascii="Times New Roman" w:cs="Times New Roman" w:eastAsia="Times New Roman" w:hAnsi="Times New Roman"/>
                <w:sz w:val="29"/>
                <w:szCs w:val="29"/>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Bradley Nathan Albert</w:t>
            </w:r>
            <w:r>
              <w:rPr>
                <w:rFonts w:ascii="Times New Roman" w:cs="Times New Roman" w:eastAsia="Times New Roman" w:hAnsi="Times New Roman"/>
                <w:sz w:val="29"/>
                <w:szCs w:val="29"/>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Diane Roskind</w:t>
            </w:r>
            <w:r>
              <w:rPr>
                <w:rFonts w:ascii="Times New Roman" w:cs="Times New Roman" w:eastAsia="Times New Roman" w:hAnsi="Times New Roman"/>
                <w:sz w:val="29"/>
                <w:szCs w:val="29"/>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DJK Morris Investments, LLC</w:t>
            </w:r>
            <w:r>
              <w:rPr>
                <w:rFonts w:ascii="Times New Roman" w:cs="Times New Roman" w:eastAsia="Times New Roman" w:hAnsi="Times New Roman"/>
                <w:sz w:val="29"/>
                <w:szCs w:val="29"/>
                <w:color w:val="auto"/>
                <w:vertAlign w:val="superscript"/>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Farzin Arsanjani</w:t>
            </w:r>
            <w:r>
              <w:rPr>
                <w:rFonts w:ascii="Times New Roman" w:cs="Times New Roman" w:eastAsia="Times New Roman" w:hAnsi="Times New Roman"/>
                <w:sz w:val="29"/>
                <w:szCs w:val="29"/>
                <w:color w:val="auto"/>
                <w:vertAlign w:val="superscript"/>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Ian Cohen</w:t>
            </w:r>
            <w:r>
              <w:rPr>
                <w:rFonts w:ascii="Times New Roman" w:cs="Times New Roman" w:eastAsia="Times New Roman" w:hAnsi="Times New Roman"/>
                <w:sz w:val="29"/>
                <w:szCs w:val="29"/>
                <w:color w:val="auto"/>
                <w:vertAlign w:val="superscript"/>
              </w:rPr>
              <w:t>(7)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Jennifer Goldman-Brisman</w:t>
            </w:r>
            <w:r>
              <w:rPr>
                <w:rFonts w:ascii="Times New Roman" w:cs="Times New Roman" w:eastAsia="Times New Roman" w:hAnsi="Times New Roman"/>
                <w:sz w:val="29"/>
                <w:szCs w:val="29"/>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LCP Group, L.P.</w:t>
            </w:r>
            <w:r>
              <w:rPr>
                <w:rFonts w:ascii="Times New Roman" w:cs="Times New Roman" w:eastAsia="Times New Roman" w:hAnsi="Times New Roman"/>
                <w:sz w:val="29"/>
                <w:szCs w:val="29"/>
                <w:color w:val="auto"/>
                <w:vertAlign w:val="superscript"/>
              </w:rPr>
              <w:t>(9)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LeRoy Robinson</w:t>
            </w:r>
            <w:r>
              <w:rPr>
                <w:rFonts w:ascii="Times New Roman" w:cs="Times New Roman" w:eastAsia="Times New Roman" w:hAnsi="Times New Roman"/>
                <w:sz w:val="29"/>
                <w:szCs w:val="29"/>
                <w:color w:val="auto"/>
                <w:vertAlign w:val="superscript"/>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0" w:type="dxa"/>
            <w:vAlign w:val="bottom"/>
          </w:tcPr>
          <w:p>
            <w:pPr>
              <w:spacing w:after="0"/>
              <w:rPr>
                <w:sz w:val="24"/>
                <w:szCs w:val="24"/>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M&amp;S Investment Group, LLC</w:t>
            </w:r>
            <w:r>
              <w:rPr>
                <w:rFonts w:ascii="Times New Roman" w:cs="Times New Roman" w:eastAsia="Times New Roman" w:hAnsi="Times New Roman"/>
                <w:sz w:val="29"/>
                <w:szCs w:val="29"/>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MembersRSVP, LLC</w:t>
            </w:r>
            <w:r>
              <w:rPr>
                <w:rFonts w:ascii="Times New Roman" w:cs="Times New Roman" w:eastAsia="Times New Roman" w:hAnsi="Times New Roman"/>
                <w:sz w:val="29"/>
                <w:szCs w:val="29"/>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1,244,258</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1,244,258</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Michael Schlaefer</w:t>
            </w:r>
            <w:r>
              <w:rPr>
                <w:rFonts w:ascii="Times New Roman" w:cs="Times New Roman" w:eastAsia="Times New Roman" w:hAnsi="Times New Roman"/>
                <w:sz w:val="29"/>
                <w:szCs w:val="29"/>
                <w:color w:val="auto"/>
                <w:vertAlign w:val="superscript"/>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20"/>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Yael Morris</w:t>
            </w:r>
            <w:r>
              <w:rPr>
                <w:rFonts w:ascii="Times New Roman" w:cs="Times New Roman" w:eastAsia="Times New Roman" w:hAnsi="Times New Roman"/>
                <w:sz w:val="29"/>
                <w:szCs w:val="29"/>
                <w:color w:val="auto"/>
                <w:vertAlign w:val="superscript"/>
              </w:rPr>
              <w:t>(14)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-2957830</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-2957830</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-2957830</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-2957830</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-2957830</wp:posOffset>
            </wp:positionV>
            <wp:extent cx="137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127635</wp:posOffset>
            </wp:positionV>
            <wp:extent cx="822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6" w:lineRule="exact"/>
        <w:rPr>
          <w:sz w:val="20"/>
          <w:szCs w:val="20"/>
          <w:color w:val="auto"/>
        </w:rPr>
      </w:pPr>
    </w:p>
    <w:p>
      <w:pPr>
        <w:ind w:left="640" w:hanging="348"/>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Andrew Astrove and Ellen Astrove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Ashwin Surajbali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Bradley Nathan Albert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Diane Roskind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Keith E. Morris is deemed to have power to vote or dispose of the Registrable Securities. Keith E. Morris is our Vice President.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Farzin Arsanjani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Ian Cohen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Goldman-Brisman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Robert Roskind, in his capacity as Founder and Chairman of LCP Group, L.P., is deemed to have investment discretion and voting power over the Registrable Securities held by LCP Group, L.P.</w:t>
      </w: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LeRoy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41"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Schlaefer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Yael Morris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“Certificate of Incorporation”), our amended and restated bylaws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 (x) 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June 30, 2022, there were (1) 88,836,328 shares of Class A Common Stock, (2) 56,466,013 shares of Class V Common Stock and no shares of preferred stock outstanding.</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representing limited liability company interests of WMH LLC (the “Class A Units”), such share will automatically be transferred to us for no consideration and thereupon will be retired. We will not issue additional shares of Class V Common Stock other than in connection with the valid issuance or transfer of Class P units representing limited liability company interests of WMH LLC (the “Class P Units” and together with the Class A Units, the “Units”) or Class A Units in accordance with the governing documents of WMH LLC.</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Times New Roman" w:cs="Times New Roman" w:eastAsia="Times New Roman" w:hAnsi="Times New Roman"/>
          <w:sz w:val="17"/>
          <w:szCs w:val="17"/>
          <w:color w:val="auto"/>
        </w:rPr>
        <w:t>Each whole the public warrants originally issued in the initial public offering of Silver Spike (the “Public Warrants”) entitles the registered holder to purchase one share of Class A Common Stock at a price of $11.50 per share, subject to adjustment as discussed below, at any time commencing 30 days after the Closing, provided that we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LLC (“Silver Spike Sponsor”) and its permitted transferees would still be entitled to exercise their warrants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Whenever the number of shares of Class A Common Stock purchasable upon exercise of the Public Warrants is adjusted, as described above, the Public Warrant exercise price will be adjusted by multiplying the Public Warrant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3"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firstLine="360"/>
        <w:spacing w:after="0" w:line="222"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56"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 nor a partnership or an entity or arrangement treated as a partnership for U.S. federal income tax purposes.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below. In addition, if we determine that we are likely to be classified as a “United States real property holding corporation” (see the section entitled “Non-U.S. Holders—Gain on Sale, Exchange or Other Taxable Disposition of Class A Common Stock” below), we will withhold 15% of any distribution that exceeds our current and accumulated earnings and profits.</w:t>
      </w:r>
    </w:p>
    <w:p>
      <w:pPr>
        <w:spacing w:after="0" w:line="8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sell their securities by one or more of, or a combination of, the following methods:</w:t>
      </w:r>
    </w:p>
    <w:p>
      <w:pPr>
        <w:spacing w:after="0" w:line="40"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9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0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44"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0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2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90"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5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the Company appearing in the Company’s Annual Report on Form 10-K for the year ended as of December 31, 2021 have been audited by Baker Tilly US, LLP (“Baker Tilly”), an independent registered public accounting firm, as stated in their report thereon, included therein, and incorporated herein by reference, which report expresses an unqualified opinion and includes an emphasis of matter paragraph relating to the industry in which WMTI operates. Such consolidated financial statements are incorporated by reference in reliance upon such reports and upon the authority of such firm as experts in accounting and auditing.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w:t>
      </w:r>
    </w:p>
    <w:p>
      <w:pPr>
        <w:spacing w:after="0" w:line="81" w:lineRule="exact"/>
        <w:rPr>
          <w:sz w:val="20"/>
          <w:szCs w:val="20"/>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auto"/>
          </w:rPr>
          <w:t xml:space="preserve">our Annual Report on Form 10-K for the year ended December 31, 2021, filed with the SEC on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25, 2022</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auto"/>
          </w:rPr>
          <w:t xml:space="preserve">our Definitive Proxy Statement on Form DEF 14A for the year ended December 31, 2021, filed on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29, 2022</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auto"/>
          </w:rPr>
          <w:t xml:space="preserve">our Quarterly Reports on Form 10-Q for the quarter ended March 31, 2022, filed with the SEC on </w:t>
        </w:r>
        <w:r>
          <w:rPr>
            <w:rFonts w:ascii="Times New Roman" w:cs="Times New Roman" w:eastAsia="Times New Roman" w:hAnsi="Times New Roman"/>
            <w:sz w:val="18"/>
            <w:szCs w:val="18"/>
            <w:u w:val="single" w:color="auto"/>
            <w:color w:val="0000EE"/>
          </w:rPr>
          <w:t>May 6,</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 and for the quarter ended June 30, 2022, filed with the SEC on</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August 9, 2022</w:t>
        </w:r>
      </w:hyperlink>
      <w:hyperlink r:id="rId45">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27,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 9,</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extent the information in such reports is filed and not furnished; and</w:t>
        </w:r>
      </w:hyperlink>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contained in </w:t>
      </w:r>
      <w:hyperlink r:id="rId48">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2021 filed with the SEC on February 25, 2022, and any amendment or report filed with the SEC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75"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1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7" w:lineRule="exact"/>
        <w:rPr>
          <w:rFonts w:ascii="Times New Roman" w:cs="Times New Roman" w:eastAsia="Times New Roman" w:hAnsi="Times New Roman"/>
          <w:sz w:val="18"/>
          <w:szCs w:val="18"/>
          <w:color w:val="auto"/>
        </w:rPr>
      </w:pPr>
    </w:p>
    <w:p>
      <w:pPr>
        <w:ind w:left="4240" w:hanging="218"/>
        <w:spacing w:after="0"/>
        <w:tabs>
          <w:tab w:leader="none" w:pos="4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9" w:lineRule="exact"/>
        <w:rPr>
          <w:rFonts w:ascii="Times New Roman" w:cs="Times New Roman" w:eastAsia="Times New Roman" w:hAnsi="Times New Roman"/>
          <w:sz w:val="18"/>
          <w:szCs w:val="18"/>
          <w:color w:val="auto"/>
        </w:rPr>
      </w:pPr>
    </w:p>
    <w:p>
      <w:pPr>
        <w:ind w:left="3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ind w:left="3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(844) 933-3627</w:t>
      </w:r>
    </w:p>
    <w:p>
      <w:pPr>
        <w:spacing w:after="0" w:line="20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Roman"/>
      <w:start w:val="2"/>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4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hyperlink" Target="https://www.sec.gov/ix?doc=/Archives/edgar/data/1779474/000177947422000010/maps-20211231.htm" TargetMode="External"/><Relationship Id="rId44" Type="http://schemas.openxmlformats.org/officeDocument/2006/relationships/hyperlink" Target="https://www.sec.gov/Archives/edgar/data/1779474/000114036122016940/edge20003709x2_def14a.htm" TargetMode="External"/><Relationship Id="rId45" Type="http://schemas.openxmlformats.org/officeDocument/2006/relationships/hyperlink" Target="https://www.sec.gov/ix?doc=/Archives/edgar/data/1779474/000177947422000022/maps-20220331.htm" TargetMode="External"/><Relationship Id="rId46" Type="http://schemas.openxmlformats.org/officeDocument/2006/relationships/hyperlink" Target="https://www.sec.gov/ix?doc=/Archives/edgar/data/1779474/000177947422000058/maps-20220630.htm" TargetMode="External"/><Relationship Id="rId47" Type="http://schemas.openxmlformats.org/officeDocument/2006/relationships/hyperlink" Target="https://www.sec.gov/Archives/edgar/data/1779474/000177947422000056/wmtechnologyincformearning.htm" TargetMode="External"/><Relationship Id="rId48" Type="http://schemas.openxmlformats.org/officeDocument/2006/relationships/hyperlink" Target="https://www.sec.gov/Archives/edgar/data/1779474/000177947422000010/exhibit45descriptionofsec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2022-10-19T15:41:20Z</dcterms:created>
  <dcterms:modified xsi:type="dcterms:W3CDTF">2022-10-19T15:41:20Z</dcterms:modified>
</cp:coreProperties>
</file>