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(Mark One)</w:t>
      </w:r>
    </w:p>
    <w:p>
      <w:pPr>
        <w:spacing w:after="0" w:line="14" w:lineRule="exact"/>
        <w:rPr>
          <w:sz w:val="24"/>
          <w:szCs w:val="24"/>
          <w:color w:val="auto"/>
        </w:rPr>
      </w:pPr>
    </w:p>
    <w:p>
      <w:pPr>
        <w:jc w:val="center"/>
        <w:ind w:left="3540" w:hanging="3527"/>
        <w:spacing w:after="0" w:line="443" w:lineRule="auto"/>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2020</w:t>
      </w:r>
    </w:p>
    <w:p>
      <w:pPr>
        <w:spacing w:after="0" w:line="36" w:lineRule="exact"/>
        <w:rPr>
          <w:sz w:val="24"/>
          <w:szCs w:val="24"/>
          <w:color w:val="auto"/>
        </w:rPr>
      </w:pPr>
    </w:p>
    <w:p>
      <w:pPr>
        <w:ind w:left="500" w:hanging="252"/>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rFonts w:ascii="MS PGothic" w:cs="MS PGothic" w:eastAsia="MS PGothic" w:hAnsi="MS PGothic"/>
          <w:sz w:val="22"/>
          <w:szCs w:val="22"/>
          <w:color w:val="auto"/>
        </w:rPr>
      </w:pPr>
    </w:p>
    <w:p>
      <w:pPr>
        <w:ind w:left="54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09" w:lineRule="exact"/>
        <w:rPr>
          <w:sz w:val="24"/>
          <w:szCs w:val="24"/>
          <w:color w:val="auto"/>
        </w:rPr>
      </w:pPr>
    </w:p>
    <w:p>
      <w:pPr>
        <w:ind w:left="3820"/>
        <w:spacing w:after="0"/>
        <w:tabs>
          <w:tab w:leader="none" w:pos="72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001-39021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Cayman Islands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rPr>
              <w:t>N/A</w:t>
            </w:r>
          </w:p>
        </w:tc>
      </w:tr>
      <w:tr>
        <w:trPr>
          <w:trHeight w:val="230"/>
        </w:trPr>
        <w:tc>
          <w:tcPr>
            <w:tcW w:w="5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0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bl>
    <w:p>
      <w:pPr>
        <w:spacing w:after="0" w:line="210"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600 Madison Ave, 17th Floor</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New York, New York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905-4923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4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Trading Symbol(s)</w:t>
            </w: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4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ordinary shares, par value $0.0001 per share</w:t>
            </w:r>
          </w:p>
        </w:tc>
        <w:tc>
          <w:tcPr>
            <w:tcW w:w="28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SSPK</w:t>
            </w:r>
          </w:p>
        </w:tc>
        <w:tc>
          <w:tcPr>
            <w:tcW w:w="260" w:type="dxa"/>
            <w:vAlign w:val="bottom"/>
          </w:tcPr>
          <w:p>
            <w:pPr>
              <w:spacing w:after="0"/>
              <w:rPr>
                <w:sz w:val="17"/>
                <w:szCs w:val="17"/>
                <w:color w:val="auto"/>
              </w:rPr>
            </w:pPr>
          </w:p>
        </w:tc>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Stock Market LLC</w:t>
            </w:r>
          </w:p>
        </w:tc>
      </w:tr>
      <w:tr>
        <w:trPr>
          <w:trHeight w:val="216"/>
        </w:trPr>
        <w:tc>
          <w:tcPr>
            <w:tcW w:w="4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SSPKW</w:t>
            </w:r>
          </w:p>
        </w:tc>
        <w:tc>
          <w:tcPr>
            <w:tcW w:w="41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48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Class A ordinary share at an exercise price of $11.50</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8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Units, each consisting of one Class A ordinary share and one-</w:t>
            </w: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SSPKU</w:t>
            </w:r>
          </w:p>
        </w:tc>
        <w:tc>
          <w:tcPr>
            <w:tcW w:w="41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48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half of one redeemable warrant</w:t>
            </w: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tcPr>
          <w:p>
            <w:pPr>
              <w:spacing w:after="0"/>
              <w:rPr>
                <w:sz w:val="20"/>
                <w:szCs w:val="20"/>
                <w:color w:val="auto"/>
              </w:rPr>
            </w:pPr>
          </w:p>
        </w:tc>
      </w:tr>
    </w:tbl>
    <w:p>
      <w:pPr>
        <w:spacing w:after="0" w:line="222"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00"/>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Accelerated filer</w:t>
            </w:r>
          </w:p>
        </w:tc>
      </w:t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00"/>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w w:val="91"/>
              </w:rPr>
              <w:t>Smaller reporting company</w:t>
            </w:r>
          </w:p>
        </w:tc>
      </w:tr>
      <w:tr>
        <w:trPr>
          <w:trHeight w:val="283"/>
        </w:trPr>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w w:val="91"/>
              </w:rPr>
              <w:t>Emerging growth company</w:t>
            </w:r>
          </w:p>
        </w:tc>
      </w:tr>
    </w:tbl>
    <w:p>
      <w:pPr>
        <w:spacing w:after="0" w:line="200" w:lineRule="exact"/>
        <w:rPr>
          <w:sz w:val="24"/>
          <w:szCs w:val="24"/>
          <w:color w:val="auto"/>
        </w:rPr>
      </w:pPr>
    </w:p>
    <w:p>
      <w:pPr>
        <w:sectPr>
          <w:pgSz w:w="11900" w:h="16838" w:orient="portrait"/>
          <w:cols w:equalWidth="0" w:num="1">
            <w:col w:w="11240"/>
          </w:cols>
          <w:pgMar w:left="320" w:top="535" w:right="339" w:bottom="198" w:gutter="0" w:footer="0" w:header="0"/>
        </w:sectPr>
      </w:pPr>
    </w:p>
    <w:p>
      <w:pPr>
        <w:spacing w:after="0" w:line="2"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ectPr>
          <w:pgSz w:w="11900" w:h="16838" w:orient="portrait"/>
          <w:cols w:equalWidth="0" w:num="1">
            <w:col w:w="11240"/>
          </w:cols>
          <w:pgMar w:left="320" w:top="535" w:right="339" w:bottom="198" w:gutter="0" w:footer="0" w:header="0"/>
          <w:type w:val="continuous"/>
        </w:sectPr>
      </w:pPr>
    </w:p>
    <w:bookmarkStart w:id="1" w:name="page2"/>
    <w:bookmarkEnd w:id="1"/>
    <w:p>
      <w:pPr>
        <w:ind w:left="660"/>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p>
    <w:p>
      <w:pPr>
        <w:spacing w:after="0" w:line="88"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p>
      <w:pPr>
        <w:spacing w:after="0" w:line="22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of August 7, 2020, there were 25,000,000 Class A ordinary shares, $0.0001 par value per share, and 6,250,000 Class B ordinary shares,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56" w:lineRule="exact"/>
        <w:rPr>
          <w:sz w:val="20"/>
          <w:szCs w:val="20"/>
          <w:color w:val="auto"/>
        </w:rPr>
      </w:pPr>
    </w:p>
    <w:p>
      <w:pPr>
        <w:ind w:left="1058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17145</wp:posOffset>
            </wp:positionV>
            <wp:extent cx="591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as of June 30, 2020 (unaudited) and December 31, 2019</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1</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6"/>
        </w:trPr>
        <w:tc>
          <w:tcPr>
            <w:tcW w:w="920" w:type="dxa"/>
            <w:vAlign w:val="bottom"/>
            <w:shd w:val="clear" w:color="auto" w:fill="CCEEFF"/>
          </w:tcPr>
          <w:p>
            <w:pPr>
              <w:spacing w:after="0"/>
              <w:rPr>
                <w:sz w:val="15"/>
                <w:szCs w:val="15"/>
                <w:color w:val="auto"/>
              </w:rPr>
            </w:pPr>
          </w:p>
        </w:tc>
        <w:tc>
          <w:tcPr>
            <w:tcW w:w="9560" w:type="dxa"/>
            <w:vAlign w:val="bottom"/>
            <w:gridSpan w:val="7"/>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Statements of Operations for the Three and Six Months Ended June 30, 2020 (unaudited) and for the period from June</w:t>
              </w:r>
            </w:hyperlink>
          </w:p>
        </w:tc>
        <w:tc>
          <w:tcPr>
            <w:tcW w:w="760" w:type="dxa"/>
            <w:vAlign w:val="bottom"/>
            <w:shd w:val="clear" w:color="auto" w:fill="CCEEFF"/>
          </w:tcPr>
          <w:p>
            <w:pPr>
              <w:spacing w:after="0"/>
              <w:rPr>
                <w:sz w:val="15"/>
                <w:szCs w:val="15"/>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7, 2019 (inception) through June 30, 2019 (unaudited)</w:t>
              </w:r>
            </w:hyperlink>
          </w:p>
        </w:tc>
        <w:tc>
          <w:tcPr>
            <w:tcW w:w="20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920" w:type="dxa"/>
            <w:vAlign w:val="bottom"/>
            <w:tcBorders>
              <w:top w:val="single" w:sz="8" w:color="CCEEFF"/>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94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Statements of Changes in Shareholders’ Equity for the Three and Six Months Ended June 30, 2020 (unaudited) and</w:t>
              </w:r>
            </w:hyperlink>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 the period from June 7, 2019 (inception) through June 30, 2019 (unaudited)</w:t>
              </w:r>
            </w:hyperlink>
          </w:p>
        </w:tc>
        <w:tc>
          <w:tcPr>
            <w:tcW w:w="76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920" w:type="dxa"/>
            <w:vAlign w:val="bottom"/>
            <w:tcBorders>
              <w:top w:val="single" w:sz="8" w:color="CCEEFF"/>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Statements of Cash Flows for the Six Months Ended June 30, 2020 (unaudited) and for the period from June 7, 2019</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(inception) through June 30, 2019 (unaudited)</w:t>
              </w:r>
            </w:hyperlink>
          </w:p>
        </w:tc>
        <w:tc>
          <w:tcPr>
            <w:tcW w:w="76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920" w:type="dxa"/>
            <w:vAlign w:val="bottom"/>
            <w:tcBorders>
              <w:top w:val="single" w:sz="8" w:color="CCEEFF"/>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Financial Statements (unaudited)</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6</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14</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Control and Procedures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17</w:t>
            </w:r>
          </w:p>
        </w:tc>
      </w:tr>
      <w:tr>
        <w:trPr>
          <w:trHeight w:val="432"/>
        </w:trPr>
        <w:tc>
          <w:tcPr>
            <w:tcW w:w="10480" w:type="dxa"/>
            <w:vAlign w:val="bottom"/>
            <w:gridSpan w:val="8"/>
          </w:tcPr>
          <w:p>
            <w:pPr>
              <w:spacing w:after="0"/>
              <w:rPr>
                <w:sz w:val="20"/>
                <w:szCs w:val="20"/>
                <w:color w:val="auto"/>
              </w:rPr>
            </w:pPr>
            <w:r>
              <w:rPr>
                <w:rFonts w:ascii="Arial" w:cs="Arial" w:eastAsia="Arial" w:hAnsi="Arial"/>
                <w:sz w:val="18"/>
                <w:szCs w:val="18"/>
                <w:b w:val="1"/>
                <w:bCs w:val="1"/>
                <w:color w:val="auto"/>
              </w:rPr>
              <w:t>PART II – OTHER INFORMATION</w:t>
            </w:r>
          </w:p>
        </w:tc>
        <w:tc>
          <w:tcPr>
            <w:tcW w:w="7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Unregistered Sales of Equity Securities and Use of Proceeds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Defaults Upon Senior Securities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18</w:t>
            </w:r>
          </w:p>
        </w:tc>
      </w:tr>
      <w:tr>
        <w:trPr>
          <w:trHeight w:val="216"/>
        </w:trPr>
        <w:tc>
          <w:tcPr>
            <w:tcW w:w="42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gridSpan w:val="8"/>
            <w:shd w:val="clear" w:color="auto" w:fill="CCEEFF"/>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SIGNATURES</w:t>
              </w:r>
            </w:hyperlink>
          </w:p>
        </w:tc>
        <w:tc>
          <w:tcPr>
            <w:tcW w:w="7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19</w:t>
            </w:r>
          </w:p>
        </w:tc>
      </w:tr>
      <w:tr>
        <w:trPr>
          <w:trHeight w:val="425"/>
        </w:trPr>
        <w:tc>
          <w:tcPr>
            <w:tcW w:w="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665,236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894,589</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146,583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257,110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811,819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254,070,734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251,924,993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254,882,553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437,458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9,187,458</w:t>
            </w: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8,846,895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ordinary shares subject to possible redemption, 23,683,866 and 23,740,181 shares at redemption value at June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 2020 and December 31, 2019, respectively</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240,695,088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239,229,796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Class A ordinary shares, $0.0001 par value; 200,000,000 shares authorized; 1,316,134 and 1,259,819 shares issued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and outstanding (excluding 23,683,866 and 23,740,181 shares subject to possible redemption) at June 30, 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December 31, 2019, respectively</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6,250,000 shares issued and outstanding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at June 30, 2020 and December 31, 2020</w:t>
            </w: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3,381,091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3,083,457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1,618,159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254,882,553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Period</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from June 7,</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Six 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222,827</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680,443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(222,827)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(680,443)</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(5,000)</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on marketable securities held in Trust Account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1,865,015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(871,960)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280,726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2,145,741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(161,809</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1,465,298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(5,000)</w:t>
            </w:r>
          </w:p>
        </w:tc>
      </w:tr>
      <w:tr>
        <w:trPr>
          <w:trHeight w:val="209"/>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Weighted average shares outstanding, basic and diluted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7,544,519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7,527,169</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Basic and diluted net loss per ordinary share </w:t>
            </w:r>
            <w:r>
              <w:rPr>
                <w:rFonts w:ascii="Arial" w:cs="Arial" w:eastAsia="Arial" w:hAnsi="Arial"/>
                <w:sz w:val="25"/>
                <w:szCs w:val="25"/>
                <w:b w:val="1"/>
                <w:bCs w:val="1"/>
                <w:color w:val="auto"/>
                <w:vertAlign w:val="superscript"/>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an aggregate of 23,683,866 shares subject to possible redemption at June 30, 2020.</w:t>
      </w:r>
    </w:p>
    <w:p>
      <w:pPr>
        <w:spacing w:after="0" w:line="252"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per ordinary share – basic and diluted excludes income attributable to ordinary shares subject to possible redemption of $57,808 and $2,032,875 for the three and six months ended June 30, 2020, respectively (see Note 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CHANGES IN SHAREHOLDERS’ EQUITY</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SIX MONTHS ENDED JUNE 30,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Class 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1940" w:type="dxa"/>
            <w:vAlign w:val="bottom"/>
          </w:tcPr>
          <w:p>
            <w:pPr>
              <w:spacing w:after="0"/>
              <w:rPr>
                <w:sz w:val="20"/>
                <w:szCs w:val="20"/>
                <w:color w:val="auto"/>
              </w:rPr>
            </w:pPr>
          </w:p>
        </w:tc>
        <w:tc>
          <w:tcPr>
            <w:tcW w:w="27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Ordinary Shares</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23"/>
        </w:trPr>
        <w:tc>
          <w:tcPr>
            <w:tcW w:w="1940" w:type="dxa"/>
            <w:vAlign w:val="bottom"/>
          </w:tcPr>
          <w:p>
            <w:pPr>
              <w:spacing w:after="0"/>
              <w:rPr>
                <w:sz w:val="19"/>
                <w:szCs w:val="19"/>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January 1,</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1,259,819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6,250,000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3,381,091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1,618,159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5,000,001</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ordinary shares subject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to possible redemption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(1,627,107)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(1,627,104)</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1,627,107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1,627,107</w:t>
            </w:r>
          </w:p>
        </w:tc>
      </w:tr>
      <w:tr>
        <w:trPr>
          <w:trHeight w:val="216"/>
        </w:trPr>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March 31,</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1,294,519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6,250,000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1,753,984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3,245,266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5,000,004</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ordinary shares subject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to possible redemption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161,809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161,812</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(161,809)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(161,809)</w:t>
            </w:r>
          </w:p>
        </w:tc>
      </w:tr>
      <w:tr>
        <w:trPr>
          <w:trHeight w:val="198"/>
        </w:trPr>
        <w:tc>
          <w:tcPr>
            <w:tcW w:w="19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 June 30,</w:t>
            </w: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1,316,134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6,250,000</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1,915,793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3,083,457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5,000,007</w:t>
            </w:r>
          </w:p>
        </w:tc>
      </w:tr>
      <w:tr>
        <w:trPr>
          <w:trHeight w:val="21"/>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THE PERIOD FROM JUNE 7, 2019 (INCEPTION) THROUGH JUNE 30,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4"/>
              </w:rPr>
              <w:t>Class B</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tcPr>
          <w:p>
            <w:pPr>
              <w:spacing w:after="0"/>
              <w:rPr>
                <w:sz w:val="20"/>
                <w:szCs w:val="20"/>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Ordinary Shares</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7,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Class B ordinary shares to Sponsor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 June 30, 2019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7,187,500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24,281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(5,000</w:t>
            </w: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20,000</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1,465,298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(1,865,015)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(280,726)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110,527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(229,353)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(5,000)</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68,625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2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(63,625)</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(229,353)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 Beginning</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894,589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665,236</w:t>
            </w:r>
          </w:p>
        </w:tc>
        <w:tc>
          <w:tcPr>
            <w:tcW w:w="200" w:type="dxa"/>
            <w:vAlign w:val="bottom"/>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r>
      <w:tr>
        <w:trPr>
          <w:trHeight w:val="209"/>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(161,812)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Deferred offering costs paid directly by Sponsor in exchange for the issuance of ordinary shares to Sponsor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AND BUSINESS OPERATIONS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June 30, 2020, the Company had not commenced any operations. All activity through June 30, 2020 relates to the Company’s formation, the initial public offering (“Initial Public Offering”), which is described below, and, after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Transaction costs amounted to $14,413,362, consisting of $5,000,000 of underwriting fees, $8,750,000 of deferred underwriting fees and $663,362 of other offering costs. In addition, as of June 30, 2020, cash of $665,236 was held outside of the Trust and is available for working capital purposes.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00" w:lineRule="exact"/>
        <w:rPr>
          <w:sz w:val="20"/>
          <w:szCs w:val="20"/>
          <w:color w:val="auto"/>
        </w:rPr>
      </w:pP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Company will have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ectPr>
          <w:pgSz w:w="11900" w:h="16838" w:orient="portrait"/>
          <w:cols w:equalWidth="0" w:num="1">
            <w:col w:w="11240"/>
          </w:cols>
          <w:pgMar w:left="320" w:top="121"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accompanying unaudited condensed financial statements should be read in conjunction with the Company’s Annual Report on Form 10-K for the year ended December 31, 2019 as filed with the SEC on March 30,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and six months ended June 30, 2020 are not necessarily indicative of the results to be expected for the year ending December 31, 2020 or for any future interim periods.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ectPr>
          <w:pgSz w:w="11900" w:h="16838" w:orient="portrait"/>
          <w:cols w:equalWidth="0" w:num="1">
            <w:col w:w="11240"/>
          </w:cols>
          <w:pgMar w:left="320" w:top="122" w:right="339" w:bottom="413"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13"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preparation of the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considers all short-term investments with an original maturity of three months or less when purchased to be cash equivalents. The Company did not have any cash equivalents as of June 30, 2020 and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Marketable Securities Held in Trust Account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At June 30, 2020 and December 31, 2019, the assets held in the Trust Account were substantially held in U.S. Treasury Bills.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Ordinary Shares Subject to Possible Redemption</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Loss Per Ordinary Share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June 30, 2020,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Net Loss Per Ordinary Share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net income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Period</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from June 7,</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Six 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Less: Income attributable to ordinary shares subject to possible redemption</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(57,808)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(2,032,875)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(219,617)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(567,577)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7,544,519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7,527,169</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Credit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Instruments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Topic 820, “Fair Value Measurement,” approximates the carrying amounts represented in the accompanying condensed financial statements, primarily due to their short-term nature.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condensed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and Uncertainties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INITIAL PUBLIC OFFERING</w:t>
      </w:r>
    </w:p>
    <w:p>
      <w:pPr>
        <w:spacing w:after="0" w:line="239"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ectPr>
          <w:pgSz w:w="11900" w:h="16838" w:orient="portrait"/>
          <w:cols w:equalWidth="0" w:num="1">
            <w:col w:w="11240"/>
          </w:cols>
          <w:pgMar w:left="320" w:top="122"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w:t>
      </w:r>
    </w:p>
    <w:p>
      <w:pPr>
        <w:spacing w:after="0" w:line="43" w:lineRule="exact"/>
        <w:rPr>
          <w:sz w:val="20"/>
          <w:szCs w:val="20"/>
          <w:color w:val="auto"/>
        </w:rPr>
      </w:pPr>
    </w:p>
    <w:p>
      <w:pPr>
        <w:jc w:val="both"/>
        <w:ind w:firstLine="8"/>
        <w:spacing w:after="0" w:line="275" w:lineRule="auto"/>
        <w:tabs>
          <w:tab w:leader="none" w:pos="385" w:val="left"/>
        </w:tabs>
        <w:numPr>
          <w:ilvl w:val="0"/>
          <w:numId w:val="4"/>
        </w:numPr>
        <w:rPr>
          <w:rFonts w:ascii="Arial" w:cs="Arial" w:eastAsia="Arial" w:hAnsi="Arial"/>
          <w:sz w:val="19"/>
          <w:szCs w:val="19"/>
          <w:color w:val="auto"/>
        </w:rPr>
      </w:pPr>
      <w:r>
        <w:rPr>
          <w:rFonts w:ascii="Arial" w:cs="Arial" w:eastAsia="Arial" w:hAnsi="Arial"/>
          <w:sz w:val="19"/>
          <w:szCs w:val="19"/>
          <w:color w:val="auto"/>
        </w:rPr>
        <w:t>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 – Related Party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Services Agreement</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and six months ended June 30, 2020, the Company incurred $60,000 and $120,000, respectively, in fees for these services. At June 30, 2020 and December 31, 2019, fees of $159,879 and $82,228, respectively, are included in accrued expenses in the accompanying condensed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Loans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ectPr>
          <w:pgSz w:w="11900" w:h="16838" w:orient="portrait"/>
          <w:cols w:equalWidth="0" w:num="1">
            <w:col w:w="11240"/>
          </w:cols>
          <w:pgMar w:left="320" w:top="122" w:right="3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SHAREHOLDERS’ EQUITY</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 xml:space="preserve">Preferred Shares </w:t>
      </w:r>
      <w:r>
        <w:rPr>
          <w:rFonts w:ascii="Arial" w:cs="Arial" w:eastAsia="Arial" w:hAnsi="Arial"/>
          <w:sz w:val="19"/>
          <w:szCs w:val="19"/>
          <w:color w:val="auto"/>
        </w:rPr>
        <w:t>— The Company is authorized to issue 1,000,000 preference shares with a par value of $0.0001.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June 30, 2020 and December 31, 2019, there were no preference shares issued or outstanding.</w:t>
      </w:r>
    </w:p>
    <w:p>
      <w:pPr>
        <w:spacing w:after="0" w:line="177"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b w:val="1"/>
          <w:bCs w:val="1"/>
          <w:i w:val="1"/>
          <w:iCs w:val="1"/>
          <w:color w:val="auto"/>
        </w:rPr>
        <w:t xml:space="preserve">Class A Ordinary Shares </w:t>
      </w:r>
      <w:r>
        <w:rPr>
          <w:rFonts w:ascii="Arial" w:cs="Arial" w:eastAsia="Arial" w:hAnsi="Arial"/>
          <w:sz w:val="21"/>
          <w:szCs w:val="21"/>
          <w:color w:val="auto"/>
        </w:rPr>
        <w:t>— The Company is authorized to issue 200,000,000 Class A ordinary shares, with a par value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$0.0001 per share. Holders of Class A ordinary shares are entitled to one vote for each share. At June 30, 2020 and December 31, 2019, there were 1,316,134 and 1,259,819 shares of Class A ordinary shares issued or outstanding, excluding 23,683,866 and 23,740,181 Class A ordinary shares subject to possible redemption, respectively.</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 xml:space="preserve">Class B Ordinary Shares </w:t>
      </w:r>
      <w:r>
        <w:rPr>
          <w:rFonts w:ascii="Arial" w:cs="Arial" w:eastAsia="Arial" w:hAnsi="Arial"/>
          <w:sz w:val="22"/>
          <w:szCs w:val="22"/>
          <w:color w:val="auto"/>
        </w:rPr>
        <w:t>— The Company is authorized to issue 20,000,000 Class B ordinary shares, with a par value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$0.0001 per share. Holders of the Class B ordinary shares are entitled to one vote for each share. At June 30, 2020 and December 31, 2019, there were 6,250,000 Class B ordinary shares issued and outstanding.</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ectPr>
          <w:pgSz w:w="11900" w:h="16838" w:orient="portrait"/>
          <w:cols w:equalWidth="0" w:num="1">
            <w:col w:w="11240"/>
          </w:cols>
          <w:pgMar w:left="320" w:top="122" w:right="339" w:bottom="679"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16" w:name="page17"/>
    <w:bookmarkEnd w:id="16"/>
    <w:p>
      <w:pPr>
        <w:spacing w:after="0" w:line="1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 xml:space="preserve">Warrants </w:t>
      </w:r>
      <w:r>
        <w:rPr>
          <w:rFonts w:ascii="Arial" w:cs="Arial" w:eastAsia="Arial" w:hAnsi="Arial"/>
          <w:sz w:val="21"/>
          <w:szCs w:val="21"/>
          <w:color w:val="auto"/>
        </w:rPr>
        <w:t>— Public Warrants may only be exercised for a whole number of shares. No fractional shares will be issued upon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9" w:lineRule="exact"/>
        <w:rPr>
          <w:rFonts w:ascii="Arial" w:cs="Arial" w:eastAsia="Arial" w:hAnsi="Arial"/>
          <w:sz w:val="18"/>
          <w:szCs w:val="18"/>
          <w:color w:val="auto"/>
        </w:rPr>
      </w:pPr>
    </w:p>
    <w:p>
      <w:pPr>
        <w:ind w:left="660" w:right="3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10"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ectPr>
          <w:pgSz w:w="11900" w:h="16848" w:orient="portrait"/>
          <w:cols w:equalWidth="0" w:num="1">
            <w:col w:w="11240"/>
          </w:cols>
          <w:pgMar w:left="320" w:top="122" w:right="339"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48" w:orient="portrait"/>
          <w:cols w:equalWidth="0" w:num="1">
            <w:col w:w="11240"/>
          </w:cols>
          <w:pgMar w:left="320" w:top="122" w:right="339" w:bottom="0"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8" w:lineRule="exact"/>
        <w:rPr>
          <w:sz w:val="20"/>
          <w:szCs w:val="20"/>
          <w:color w:val="auto"/>
        </w:rPr>
      </w:pPr>
    </w:p>
    <w:p>
      <w:pPr>
        <w:ind w:left="660" w:right="8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0"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at June 30, 2020 and December 31, 2019, and indicates the fair value hierarchy of the valuation inputs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254,070,734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251,924,993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SUBSEQUENT EVENTS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References in this report (the “Quarterly Report”) to “we,” “us” or the “Company” refer to Silver Spike Acquisition Corp. References to our “management” or our “management team” refer to our officers and directors, and references to the “Sponsor” refer to Silver Spike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Quarterly Report includes “forward-looking statements” within the meaning of Section 27A of the Securities Act of 1933, as amended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ended December 31, 2019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issuance of additional ordinary shares in a Business Combination:</w:t>
      </w:r>
    </w:p>
    <w:p>
      <w:pPr>
        <w:spacing w:after="0" w:line="240" w:lineRule="exact"/>
        <w:rPr>
          <w:sz w:val="20"/>
          <w:szCs w:val="20"/>
          <w:color w:val="auto"/>
        </w:rPr>
      </w:pPr>
    </w:p>
    <w:p>
      <w:pPr>
        <w:ind w:left="660" w:right="4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which dilution would increase if the anti-dilution provisions of the Class B ordinary shares resulted in the issuance of Class A ordinary shares on a greater than one-to-one basis upon conversion of the Class B ordinary shares;</w:t>
      </w:r>
    </w:p>
    <w:p>
      <w:pPr>
        <w:ind w:left="660" w:right="3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ind w:left="660" w:right="12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ind w:left="660" w:right="3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Similarly, if we issue debt securities, it could result in:</w:t>
      </w:r>
    </w:p>
    <w:p>
      <w:pPr>
        <w:spacing w:after="0" w:line="2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46" w:lineRule="exact"/>
        <w:rPr>
          <w:rFonts w:ascii="Arial" w:cs="Arial" w:eastAsia="Arial" w:hAnsi="Arial"/>
          <w:sz w:val="16"/>
          <w:szCs w:val="16"/>
          <w:color w:val="auto"/>
        </w:rPr>
      </w:pPr>
    </w:p>
    <w:p>
      <w:pPr>
        <w:ind w:left="660" w:right="5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9" w:lineRule="exact"/>
        <w:rPr>
          <w:rFonts w:ascii="Arial" w:cs="Arial" w:eastAsia="Arial" w:hAnsi="Arial"/>
          <w:sz w:val="18"/>
          <w:szCs w:val="18"/>
          <w:color w:val="auto"/>
        </w:rPr>
      </w:pPr>
    </w:p>
    <w:p>
      <w:pPr>
        <w:ind w:left="660" w:right="260" w:hanging="328"/>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ectPr>
          <w:pgSz w:w="11900" w:h="16838" w:orient="portrait"/>
          <w:cols w:equalWidth="0" w:num="1">
            <w:col w:w="11240"/>
          </w:cols>
          <w:pgMar w:left="320" w:top="121"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3"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ind w:left="660" w:right="28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a Business Combination will be successful.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neither engaged in any operations nor generated any revenues to date. Our only activities from inception through June 30, 2020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June 30, 2020, we had a net loss of $161,809, which consists of operating and formation costs of $222,827 and an unrealized loss on marketable securities held in the Trust Account of $871,960, offset by interest income on marketable securities held in the Trust Account of $932,978.</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six months ended June 30, 2020, we had net income of $1,465,298, which consists of interest income on marketable securities held in the Trust Account of $1,865,015 and an unrealized gain on marketable securities held in the Trust Account of $280,726, offset by operating and formation costs of $680,443.</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period from June 7, 2019 (inception) through June 30, 2019, we had net income of $5,000, which consists of operating and formation costs.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August 12, 2019, we consummated the Initial Public Offering of 25,000,000 Units, at a price of $10.00 per Unit, generating gross proceeds of $250,000,000. Simultaneously with the closing of the Initial Public Offering, we consummated the sale of 7,000,000 Private Placement Warrants to our Sponsor at a price of $1.00 per warrant, generating gross proceeds of $7,000,000.</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Following the Initial Public Offering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six months ended June 30, 2020, cash used in operating activities was $229,353. Net income of $1,465,298 was offset by interest earned on marketable securities held in the Trust Account of $1,865,015, an unrealized gain on marketable securities of $280,726 and changes in operating assets and liabilities, which provided of $451,090 of cash from operating activities.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 of June 30, 2020, we had marketable securities held in the Trust Account of $254,070,734.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June 30, 2020, we had cash of $665,236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June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Ordinary Shares Subject to Redemption</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condensed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Loss per Ordinary Share</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income is adjusted for the portion of income that is attributable to ordinary shares subject to redemption, as these shares only participate in the earnings of the Trust Account and not our income or losses.</w:t>
      </w:r>
    </w:p>
    <w:p>
      <w:pPr>
        <w:sectPr>
          <w:pgSz w:w="11900" w:h="16838" w:orient="portrait"/>
          <w:cols w:equalWidth="0" w:num="1">
            <w:col w:w="11240"/>
          </w:cols>
          <w:pgMar w:left="320" w:top="121" w:right="339" w:bottom="679"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our condensed financial statements.</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required by Rules 13a-15 and 15d-15 under the Exchange Act, our Chief Executive Officer and Chief Financial Officer carried out an evaluation of the effectiveness of the design and operation of our disclosure controls and procedures as of June 30, 2020. Based upon their evaluation, our Chief Executive Officer and Chief Financial Officer concluded that our disclosure controls and procedures (as defined in Rules 13a-15 (e) and 15d-15 (e) under the Exchange Act) were effective.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Factors that could cause our actual results to differ materially from those in this report include the risk factors described in our Annual Report on Form 10-K for the year ended December 31, 2019 filed with the SEC on March 30, 2020. As of the date of this Report, other than as described below, there have been no material changes to the risk factors disclosed in our Annual Report filed with the SEC.</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do not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ectPr>
          <w:pgSz w:w="11900" w:h="16838" w:orient="portrait"/>
          <w:cols w:equalWidth="0" w:num="1">
            <w:col w:w="11240"/>
          </w:cols>
          <w:pgMar w:left="320" w:top="121" w:right="339" w:bottom="103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3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On August 12, 2019, we consummated our Initial Public Offering of 25,000,000 Units, at a price of $10.00 per Unit, generating total gross proceeds of $250,000,000. Credit Suisse acted as the sole book-running manager and I-Bankers Securities, Inc as the Co-Manager. The securities sold in the offering were registered under the Securities Act on registration statements on Form S-1 (No. </w:t>
      </w:r>
      <w:r>
        <w:rPr>
          <w:rFonts w:ascii="Arial" w:cs="Arial" w:eastAsia="Arial" w:hAnsi="Arial"/>
          <w:sz w:val="19"/>
          <w:szCs w:val="19"/>
          <w:u w:val="single" w:color="auto"/>
          <w:color w:val="auto"/>
        </w:rPr>
        <w:t>333-232734)</w:t>
      </w:r>
      <w:r>
        <w:rPr>
          <w:rFonts w:ascii="Arial" w:cs="Arial" w:eastAsia="Arial" w:hAnsi="Arial"/>
          <w:sz w:val="19"/>
          <w:szCs w:val="19"/>
          <w:color w:val="auto"/>
        </w:rPr>
        <w:t>. The SEC declared the registration statements effective on August 7, 2019.</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Simultaneously with the consummation of the Initial Public Offering, we consummated a private placement of 7,000,000 Private Placement Warrants to our Sponsor at a price of $1.00 per Private Placement Warrant, generating total proceeds of $7,000,000. Such securities were issued pursuant to the exemption from registration contained in Section 4(a)(2) of the Securities Act.</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Of the gross proceeds received from the Initial Public Offering, $250,000,000 was placed in the Trust Account.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paid a total of $ 5,000,000 in underwriting discounts and commissions and $663,362 for other offering costs and expenses related to the Initial Public Offering. In addition, the underwriters agreed to defer $8,750,000 in underwriting discounts and commissions.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For a description of the use of the proceeds generated in our Initial Public Offering, see Part I, Item 2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filed as part of, or incorporated by reference into, this Quarterly Report on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6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01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195"/>
        </w:trPr>
        <w:tc>
          <w:tcPr>
            <w:tcW w:w="1060" w:type="dxa"/>
            <w:vAlign w:val="bottom"/>
            <w:tcBorders>
              <w:top w:val="single" w:sz="8" w:color="auto"/>
            </w:tcBorders>
            <w:shd w:val="clear" w:color="auto" w:fill="CCEEFF"/>
          </w:tcPr>
          <w:p>
            <w:pPr>
              <w:spacing w:after="0" w:line="195"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31.1*</w:t>
              </w:r>
            </w:hyperlink>
          </w:p>
        </w:tc>
        <w:tc>
          <w:tcPr>
            <w:tcW w:w="18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Certification of Principal Executive Officer Pursuant to Securities Exchange Act Rules 13a-14(a) and 15(d)-14(a), as adopted Pursuant to</w:t>
            </w:r>
          </w:p>
        </w:tc>
      </w:tr>
      <w:tr>
        <w:trPr>
          <w:trHeight w:val="230"/>
        </w:trPr>
        <w:tc>
          <w:tcPr>
            <w:tcW w:w="1060" w:type="dxa"/>
            <w:vAlign w:val="bottom"/>
            <w:shd w:val="clear" w:color="auto" w:fill="CCEEFF"/>
          </w:tcPr>
          <w:p>
            <w:pPr>
              <w:spacing w:after="0"/>
              <w:rPr>
                <w:sz w:val="20"/>
                <w:szCs w:val="20"/>
                <w:color w:val="auto"/>
              </w:rPr>
            </w:pPr>
          </w:p>
        </w:tc>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1060" w:type="dxa"/>
            <w:vAlign w:val="bottom"/>
          </w:tcPr>
          <w:p>
            <w:pPr>
              <w:spacing w:after="0" w:line="201"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31.2*</w:t>
              </w:r>
            </w:hyperlink>
          </w:p>
        </w:tc>
        <w:tc>
          <w:tcPr>
            <w:tcW w:w="101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Certification of Principal Financial Officer Pursuant to Securities Exchange Act Rules 13a-14(a) and 15(d)-14(a), as adopted Pursuant to</w:t>
            </w:r>
          </w:p>
        </w:tc>
      </w:tr>
      <w:tr>
        <w:trPr>
          <w:trHeight w:val="230"/>
        </w:trPr>
        <w:tc>
          <w:tcPr>
            <w:tcW w:w="1060" w:type="dxa"/>
            <w:vAlign w:val="bottom"/>
          </w:tcPr>
          <w:p>
            <w:pPr>
              <w:spacing w:after="0"/>
              <w:rPr>
                <w:sz w:val="20"/>
                <w:szCs w:val="20"/>
                <w:color w:val="auto"/>
              </w:rPr>
            </w:pP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106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32.1**</w:t>
              </w:r>
            </w:hyperlink>
          </w:p>
        </w:tc>
        <w:tc>
          <w:tcPr>
            <w:tcW w:w="10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Certification of Principal Executive Officer Pursuant to 18 U.S.C. Section 1350, as adopted Pursuant to Section 906 of the Sarbanes-</w:t>
            </w:r>
          </w:p>
        </w:tc>
      </w:tr>
      <w:tr>
        <w:trPr>
          <w:trHeight w:val="230"/>
        </w:trPr>
        <w:tc>
          <w:tcPr>
            <w:tcW w:w="1060" w:type="dxa"/>
            <w:vAlign w:val="bottom"/>
            <w:shd w:val="clear" w:color="auto" w:fill="CCEEFF"/>
          </w:tcPr>
          <w:p>
            <w:pPr>
              <w:spacing w:after="0"/>
              <w:rPr>
                <w:sz w:val="20"/>
                <w:szCs w:val="20"/>
                <w:color w:val="auto"/>
              </w:rPr>
            </w:pPr>
          </w:p>
        </w:tc>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Oxley Act of 2002</w:t>
            </w:r>
          </w:p>
        </w:tc>
      </w:tr>
      <w:tr>
        <w:trPr>
          <w:trHeight w:val="202"/>
        </w:trPr>
        <w:tc>
          <w:tcPr>
            <w:tcW w:w="1060" w:type="dxa"/>
            <w:vAlign w:val="bottom"/>
          </w:tcPr>
          <w:p>
            <w:pPr>
              <w:spacing w:after="0" w:line="201" w:lineRule="exact"/>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32.2**</w:t>
              </w:r>
            </w:hyperlink>
          </w:p>
        </w:tc>
        <w:tc>
          <w:tcPr>
            <w:tcW w:w="101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w:t>
            </w:r>
          </w:p>
        </w:tc>
      </w:tr>
      <w:tr>
        <w:trPr>
          <w:trHeight w:val="230"/>
        </w:trPr>
        <w:tc>
          <w:tcPr>
            <w:tcW w:w="1060" w:type="dxa"/>
            <w:vAlign w:val="bottom"/>
          </w:tcPr>
          <w:p>
            <w:pPr>
              <w:spacing w:after="0"/>
              <w:rPr>
                <w:sz w:val="20"/>
                <w:szCs w:val="20"/>
                <w:color w:val="auto"/>
              </w:rPr>
            </w:pP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Act of 2002</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Securities Exchange Act of 1934, the registrant has duly caused this report to be signed on its behalf by the undersigned, thereunto duly authorized.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2020</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Gordon</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Gregory Gentile</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5480" w:space="720"/>
            <w:col w:w="5040"/>
          </w:cols>
          <w:pgMar w:left="320" w:top="121" w:right="339" w:bottom="1440" w:gutter="0" w:footer="0" w:header="0"/>
          <w:type w:val="continuous"/>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rPr>
          <w:rFonts w:ascii="Arial" w:cs="Arial" w:eastAsia="Arial" w:hAnsi="Arial"/>
          <w:sz w:val="17"/>
          <w:szCs w:val="17"/>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sz w:val="20"/>
          <w:szCs w:val="20"/>
          <w:color w:val="auto"/>
        </w:rPr>
      </w:pPr>
    </w:p>
    <w:p>
      <w:pPr>
        <w:ind w:left="980" w:right="4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80" w:val="left"/>
          <w:tab w:leader="none" w:pos="67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Gregory Gentile, certify that:</w:t>
      </w:r>
    </w:p>
    <w:p>
      <w:pPr>
        <w:spacing w:after="0" w:line="24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rPr>
          <w:rFonts w:ascii="Arial" w:cs="Arial" w:eastAsia="Arial" w:hAnsi="Arial"/>
          <w:sz w:val="17"/>
          <w:szCs w:val="17"/>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sz w:val="20"/>
          <w:szCs w:val="20"/>
          <w:color w:val="auto"/>
        </w:rPr>
      </w:pPr>
    </w:p>
    <w:p>
      <w:pPr>
        <w:ind w:left="980" w:right="4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6"/>
          <w:szCs w:val="16"/>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Gregory Gentile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Silver Spike Acquisition Corp. (the “Company”) on Form 10-Q for the quarterly period ended June 30, 2020, as filed with the Securities and Exchange Commission (the “Report”), I, Scott Gordon, Chief Executive Officer of the Company, certify, pursuant to 18 U.S.C. §1350, as added by §906 of the Sarbanes-Oxley Act of 2002, that:</w:t>
      </w:r>
    </w:p>
    <w:p>
      <w:pPr>
        <w:spacing w:after="0" w:line="21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6"/>
          <w:szCs w:val="16"/>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Silver Spike Acquisition Corp. (the “Company”) on Form 10-Q for the quarterly period ended June 30, 2020, as filed with the Securities and Exchange Commission (the “Report”), I, Gregory Gentile, Chief Financial Officer of the Company, certify, pursuant to 18 U.S.C. §1350, as added by §906 of the Sarbanes-Oxley Act of 2002, that:</w:t>
      </w:r>
    </w:p>
    <w:p>
      <w:pPr>
        <w:spacing w:after="0" w:line="21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6"/>
          <w:szCs w:val="16"/>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Gregory Gentile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2020-08-10T06:16:12Z</dcterms:created>
  <dcterms:modified xsi:type="dcterms:W3CDTF">2020-08-10T06:16:12Z</dcterms:modified>
</cp:coreProperties>
</file>