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3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154305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36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184150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71" w:lineRule="exact"/>
        <w:rPr>
          <w:sz w:val="24"/>
          <w:szCs w:val="24"/>
          <w:color w:val="auto"/>
        </w:rPr>
      </w:pPr>
    </w:p>
    <w:p>
      <w:pPr>
        <w:ind w:left="2900"/>
        <w:spacing w:after="0"/>
        <w:rPr>
          <w:sz w:val="20"/>
          <w:szCs w:val="20"/>
          <w:color w:val="auto"/>
        </w:rPr>
      </w:pPr>
      <w:r>
        <w:rPr>
          <w:rFonts w:ascii="Arial" w:cs="Arial" w:eastAsia="Arial" w:hAnsi="Arial"/>
          <w:sz w:val="43"/>
          <w:szCs w:val="43"/>
          <w:b w:val="1"/>
          <w:bCs w:val="1"/>
          <w:color w:val="auto"/>
        </w:rPr>
        <w:t>WM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227965</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186055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2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398145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209550</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260985</wp:posOffset>
            </wp:positionV>
            <wp:extent cx="617220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92075</wp:posOffset>
            </wp:positionV>
            <wp:extent cx="1714500" cy="506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w:t>
      </w:r>
    </w:p>
    <w:p>
      <w:pPr>
        <w:spacing w:after="0" w:line="225" w:lineRule="exact"/>
        <w:rPr>
          <w:sz w:val="20"/>
          <w:szCs w:val="20"/>
          <w:color w:val="auto"/>
        </w:rPr>
      </w:pPr>
    </w:p>
    <w:p>
      <w:pPr>
        <w:ind w:left="3320" w:right="3319" w:firstLine="535"/>
        <w:spacing w:after="0" w:line="282" w:lineRule="auto"/>
        <w:tabs>
          <w:tab w:leader="none" w:pos="409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IRVINE, CALIFORNIA 92618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TUESDAY, JUNE 21, 2022 AT 10:00 A.M. PACIFIC TIME</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Dear Stockholders of WM Technology, Inc.:</w:t>
      </w:r>
    </w:p>
    <w:p>
      <w:pPr>
        <w:spacing w:after="0" w:line="117"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 xml:space="preserve">You are cordially invited to attend the Annual Meeting of Stockholders (the “Annual Meeting”) of WM Technology, Inc., a Delaware corporation (the “Company”). The meeting will be held on </w:t>
      </w:r>
      <w:r>
        <w:rPr>
          <w:rFonts w:ascii="Arial" w:cs="Arial" w:eastAsia="Arial" w:hAnsi="Arial"/>
          <w:sz w:val="16"/>
          <w:szCs w:val="16"/>
          <w:b w:val="1"/>
          <w:bCs w:val="1"/>
          <w:color w:val="auto"/>
        </w:rPr>
        <w:t>Tuesday, June 21, 2022 at 10:00 a.m.</w:t>
      </w:r>
      <w:r>
        <w:rPr>
          <w:rFonts w:ascii="Arial" w:cs="Arial" w:eastAsia="Arial" w:hAnsi="Arial"/>
          <w:sz w:val="16"/>
          <w:szCs w:val="16"/>
          <w:color w:val="auto"/>
        </w:rPr>
        <w:t xml:space="preserve"> </w:t>
      </w:r>
      <w:r>
        <w:rPr>
          <w:rFonts w:ascii="Arial" w:cs="Arial" w:eastAsia="Arial" w:hAnsi="Arial"/>
          <w:sz w:val="16"/>
          <w:szCs w:val="16"/>
          <w:b w:val="1"/>
          <w:bCs w:val="1"/>
          <w:color w:val="auto"/>
        </w:rPr>
        <w:t>Pacific Time</w:t>
      </w:r>
      <w:r>
        <w:rPr>
          <w:rFonts w:ascii="Arial" w:cs="Arial" w:eastAsia="Arial" w:hAnsi="Arial"/>
          <w:sz w:val="16"/>
          <w:szCs w:val="16"/>
          <w:color w:val="auto"/>
        </w:rPr>
        <w:t>. The Annual Meeting will be a virtual meeting of stockholders, which will be conducted only via a</w:t>
      </w:r>
      <w:r>
        <w:rPr>
          <w:rFonts w:ascii="Arial" w:cs="Arial" w:eastAsia="Arial" w:hAnsi="Arial"/>
          <w:sz w:val="16"/>
          <w:szCs w:val="16"/>
          <w:b w:val="1"/>
          <w:bCs w:val="1"/>
          <w:color w:val="auto"/>
        </w:rPr>
        <w:t xml:space="preserve"> </w:t>
      </w:r>
      <w:r>
        <w:rPr>
          <w:rFonts w:ascii="Arial" w:cs="Arial" w:eastAsia="Arial" w:hAnsi="Arial"/>
          <w:sz w:val="16"/>
          <w:szCs w:val="16"/>
          <w:color w:val="auto"/>
        </w:rPr>
        <w:t>live audio webcast. You will be able to attend the Annual Meeting, submit your questions and vote online during the meeting by visiting www.virtualshareholdermeeting.com/MAPS2022. We believe a virtual meeting provides expanded access, improves communication, enables increased stockholder attendance and participation, allows our stockholders, including our many international employees, around the world to attend the Annual Meeting, and provides cost savings for our stockholders and the Company. A complete list of record stockholders will be available for examination by any stockholder for any purpose germane to the Annual Meeting beginning ten days prior to the Annual Meeting at our corporate headquarters during regular business hours. In addition, the list of record stockholders will be available during the Annual Meeting for inspection by stockholders of record for any legally valid purpose related to the Annual Meeting at www.virtualshareholdermeeting.com/MAPS2022.</w:t>
      </w:r>
    </w:p>
    <w:p>
      <w:pPr>
        <w:spacing w:after="0" w:line="6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We are holding the Annual Meeting for the following purposes, as more fully described in the accompanying proxy statement:</w:t>
      </w:r>
    </w:p>
    <w:p>
      <w:pPr>
        <w:spacing w:after="0" w:line="62" w:lineRule="exact"/>
        <w:rPr>
          <w:sz w:val="20"/>
          <w:szCs w:val="20"/>
          <w:color w:val="auto"/>
        </w:rPr>
      </w:pPr>
    </w:p>
    <w:p>
      <w:pPr>
        <w:jc w:val="both"/>
        <w:ind w:left="1000" w:right="319" w:hanging="348"/>
        <w:spacing w:after="0" w:line="286"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the three nominees for Class I directors named in the accompanying proxy statement (“Proxy Statement”) to serve until the 2025 annual meeting of stockholders and until their successors are duly elected and qualified or until such director’s earlier death, disqualification, resignation or removal;</w:t>
      </w:r>
    </w:p>
    <w:p>
      <w:pPr>
        <w:spacing w:after="0" w:line="57"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as disclosed in the Proxy Statement of our principal executive officer, our principal financial officer, and our three most highly compensated executive officers (other than our principal executive officer and principal financial officer) who were serving as our executive officers at the end of the last completed fiscal year (the “Named Executive Officers”) for the year ended 2021;</w:t>
      </w:r>
    </w:p>
    <w:p>
      <w:pPr>
        <w:spacing w:after="0" w:line="79"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indicate, on a non-binding advisory basis, the preferred frequency of stockholder advisory votes on the compensation of our Named Executive Officers;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Baker Tilly US, LLP as our independent registered public accounting firm for the year ending December 31, 2022;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11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These items of business are more fully described in the Proxy Statement accompanying this Notice of Annual Meeting of Stockholders.</w:t>
      </w:r>
    </w:p>
    <w:p>
      <w:pPr>
        <w:spacing w:after="0" w:line="6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record date for the Annual Meeting is April 28, 2022. Only stockholders of record at the close of business on that date may vote at the meeting or any adjournment thereof. A complete list of the stockholders entitled to vote at the Annual Meeting will be made available to stockholders during the meeting at www.virtualshareholdermeeting.com/MAPS2022.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101600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5349240" cy="942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942975"/>
                    </a:xfrm>
                    <a:prstGeom prst="rect">
                      <a:avLst/>
                    </a:prstGeom>
                    <a:noFill/>
                  </pic:spPr>
                </pic:pic>
              </a:graphicData>
            </a:graphic>
          </wp:anchor>
        </w:drawing>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Important Notice Regarding the Availability of Proxy Materials for the Stockholders’ Meeting to Be</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Held on Tuesday, June 21, 2022 at 10:00 a.m. Pacific Time online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www.virtualshareholdermeeting.com/MAPS2022.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to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are available at www.proxyvote.com</w:t>
      </w:r>
    </w:p>
    <w:p>
      <w:pPr>
        <w:spacing w:after="0" w:line="25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 Brian Camire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57785</wp:posOffset>
            </wp:positionV>
            <wp:extent cx="3008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3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Brian Camire</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General Counsel and Secretary</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Irvine, California</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160655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90170</wp:posOffset>
            </wp:positionV>
            <wp:extent cx="5353050" cy="1118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53050" cy="1118870"/>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You are cordially invited to attend the Annual Meeting, which will be held virtually via the Internet.</w:t>
      </w:r>
    </w:p>
    <w:p>
      <w:pPr>
        <w:spacing w:after="0" w:line="39" w:lineRule="exact"/>
        <w:rPr>
          <w:sz w:val="20"/>
          <w:szCs w:val="20"/>
          <w:color w:val="auto"/>
        </w:rPr>
      </w:pPr>
    </w:p>
    <w:p>
      <w:pPr>
        <w:jc w:val="center"/>
        <w:ind w:left="1900"/>
        <w:spacing w:after="0" w:line="290" w:lineRule="auto"/>
        <w:rPr>
          <w:sz w:val="20"/>
          <w:szCs w:val="20"/>
          <w:color w:val="auto"/>
        </w:rPr>
      </w:pPr>
      <w:r>
        <w:rPr>
          <w:rFonts w:ascii="Arial" w:cs="Arial" w:eastAsia="Arial" w:hAnsi="Arial"/>
          <w:sz w:val="16"/>
          <w:szCs w:val="16"/>
          <w:b w:val="1"/>
          <w:bCs w:val="1"/>
          <w:color w:val="auto"/>
        </w:rPr>
        <w:t>Whether or not you expect to attend the Annual Meeting, please vote over the telephone or the internet as instructed in these materials, or, if you receive a paper proxy card by mail, by completing and returning the proxy card mailed to you, as promptly as possible in order to ensure your representation at the meeting. Even if you have voted by proxy, you may still attend the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164465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40"/>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THESE PROXY MATERIALS AND VOTING</w:t>
              </w:r>
            </w:hyperlink>
          </w:p>
        </w:tc>
        <w:tc>
          <w:tcPr>
            <w:tcW w:w="24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6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PROPOSAL 1 ELECTION OF DIRECTORS</w:t>
              </w:r>
            </w:hyperlink>
          </w:p>
        </w:tc>
        <w:tc>
          <w:tcPr>
            <w:tcW w:w="240" w:type="dxa"/>
            <w:vAlign w:val="bottom"/>
            <w:gridSpan w:val="3"/>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7</w:t>
              </w:r>
            </w:hyperlink>
          </w:p>
        </w:tc>
        <w:tc>
          <w:tcPr>
            <w:tcW w:w="6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0"/>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INFORMATION REGARDING THE BOARD OF DIRECTORS AND CORPORATE GOVERNANCE</w:t>
              </w:r>
            </w:hyperlink>
          </w:p>
        </w:tc>
        <w:tc>
          <w:tcPr>
            <w:tcW w:w="240" w:type="dxa"/>
            <w:vAlign w:val="bottom"/>
            <w:tcBorders>
              <w:right w:val="single" w:sz="8" w:color="CCEEFF"/>
            </w:tcBorders>
            <w:gridSpan w:val="3"/>
            <w:shd w:val="clear" w:color="auto" w:fill="CCEEFF"/>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c>
          <w:tcPr>
            <w:tcW w:w="6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Director Independence</w:t>
              </w:r>
            </w:hyperlink>
          </w:p>
        </w:tc>
        <w:tc>
          <w:tcPr>
            <w:tcW w:w="2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c>
          <w:tcPr>
            <w:tcW w:w="6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40"/>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Board Leadership Structure</w:t>
              </w:r>
            </w:hyperlink>
          </w:p>
        </w:tc>
        <w:tc>
          <w:tcPr>
            <w:tcW w:w="240" w:type="dxa"/>
            <w:vAlign w:val="bottom"/>
            <w:tcBorders>
              <w:right w:val="single" w:sz="8" w:color="CCEEFF"/>
            </w:tcBorders>
            <w:gridSpan w:val="3"/>
            <w:shd w:val="clear" w:color="auto" w:fill="CCEEFF"/>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c>
          <w:tcPr>
            <w:tcW w:w="6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Role of the Board in Risk Oversight</w:t>
              </w:r>
            </w:hyperlink>
          </w:p>
        </w:tc>
        <w:tc>
          <w:tcPr>
            <w:tcW w:w="2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c>
          <w:tcPr>
            <w:tcW w:w="6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0"/>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Meetings of the Board of Directors</w:t>
              </w:r>
            </w:hyperlink>
          </w:p>
        </w:tc>
        <w:tc>
          <w:tcPr>
            <w:tcW w:w="240" w:type="dxa"/>
            <w:vAlign w:val="bottom"/>
            <w:tcBorders>
              <w:right w:val="single" w:sz="8" w:color="CCEEFF"/>
            </w:tcBorders>
            <w:gridSpan w:val="3"/>
            <w:shd w:val="clear" w:color="auto" w:fill="CCEEFF"/>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c>
          <w:tcPr>
            <w:tcW w:w="6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Information Regarding Committees of the Board of Directors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74"/>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40"/>
            <w:shd w:val="clear" w:color="auto" w:fill="CCEEFF"/>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Audit Committee</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Report of the Audit Committee of the Board of Directors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r>
      <w:tr>
        <w:trPr>
          <w:trHeight w:val="74"/>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0"/>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Compensation Committee</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Compensation Committee Processes and Procedures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r>
      <w:tr>
        <w:trPr>
          <w:trHeight w:val="75"/>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0"/>
            <w:shd w:val="clear" w:color="auto" w:fill="CCEEFF"/>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Compensation Committee Interlocks and Insider Participation</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Nominating and Corporate Governance Committee</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r>
      <w:tr>
        <w:trPr>
          <w:trHeight w:val="74"/>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0"/>
            <w:shd w:val="clear" w:color="auto" w:fill="CCEEFF"/>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Stockholder Communications with the Board of Directors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21">
              <w:r>
                <w:rPr>
                  <w:rFonts w:ascii="Arial" w:cs="Arial" w:eastAsia="Arial" w:hAnsi="Arial"/>
                  <w:sz w:val="18"/>
                  <w:szCs w:val="18"/>
                  <w:color w:val="0000EE"/>
                </w:rPr>
                <w:t>16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Code of Ethics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21">
              <w:r>
                <w:rPr>
                  <w:rFonts w:ascii="Arial" w:cs="Arial" w:eastAsia="Arial" w:hAnsi="Arial"/>
                  <w:sz w:val="18"/>
                  <w:szCs w:val="18"/>
                  <w:color w:val="0000EE"/>
                </w:rPr>
                <w:t>16</w:t>
              </w:r>
            </w:hyperlink>
          </w:p>
        </w:tc>
      </w:tr>
      <w:tr>
        <w:trPr>
          <w:trHeight w:val="75"/>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0"/>
            <w:shd w:val="clear" w:color="auto" w:fill="CCEEFF"/>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Corporate Governance Guidelines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21">
              <w:r>
                <w:rPr>
                  <w:rFonts w:ascii="Arial" w:cs="Arial" w:eastAsia="Arial" w:hAnsi="Arial"/>
                  <w:sz w:val="18"/>
                  <w:szCs w:val="18"/>
                  <w:color w:val="0000EE"/>
                </w:rPr>
                <w:t>16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Hedging Policy</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22">
              <w:r>
                <w:rPr>
                  <w:rFonts w:ascii="Arial" w:cs="Arial" w:eastAsia="Arial" w:hAnsi="Arial"/>
                  <w:sz w:val="18"/>
                  <w:szCs w:val="18"/>
                  <w:color w:val="0000EE"/>
                </w:rPr>
                <w:t>17</w:t>
              </w:r>
            </w:hyperlink>
          </w:p>
        </w:tc>
      </w:tr>
      <w:tr>
        <w:trPr>
          <w:trHeight w:val="74"/>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6860" w:type="dxa"/>
            <w:vAlign w:val="bottom"/>
            <w:tcBorders>
              <w:bottom w:val="single" w:sz="8" w:color="0000EE"/>
            </w:tcBorders>
            <w:gridSpan w:val="34"/>
            <w:shd w:val="clear" w:color="auto" w:fill="CCEEFF"/>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PROPOSAL NO. 2: ADVISORY VOTE, ON A NON-BINDING BASIS, TO APPROVE THE</w:t>
              </w:r>
            </w:hyperlink>
          </w:p>
        </w:tc>
        <w:tc>
          <w:tcPr>
            <w:tcW w:w="1260" w:type="dxa"/>
            <w:vAlign w:val="bottom"/>
            <w:tcBorders>
              <w:bottom w:val="single" w:sz="8" w:color="CCEEFF"/>
            </w:tcBorders>
            <w:gridSpan w:val="6"/>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7940" w:type="dxa"/>
            <w:vAlign w:val="bottom"/>
            <w:gridSpan w:val="39"/>
            <w:shd w:val="clear" w:color="auto" w:fill="CCEEFF"/>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COMPENSATION OF OUR NAMED EXECUTIVE OFFICERS FOR THE YEAR ENDED 2021</w:t>
              </w:r>
            </w:hyperlink>
          </w:p>
        </w:tc>
        <w:tc>
          <w:tcPr>
            <w:tcW w:w="300" w:type="dxa"/>
            <w:vAlign w:val="bottom"/>
            <w:gridSpan w:val="4"/>
            <w:shd w:val="clear" w:color="auto" w:fill="CCEEFF"/>
          </w:tcPr>
          <w:p>
            <w:pPr>
              <w:jc w:val="right"/>
              <w:ind w:right="6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18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7420" w:type="dxa"/>
            <w:vAlign w:val="bottom"/>
            <w:tcBorders>
              <w:bottom w:val="single" w:sz="8" w:color="0000EE"/>
            </w:tcBorders>
            <w:gridSpan w:val="37"/>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PROPOSAL NO. 3: ADVISORY VOTE, ON A NON-BINDING BASIS, ON THE FREQUENCY OF</w:t>
              </w:r>
            </w:hyperlink>
          </w:p>
        </w:tc>
        <w:tc>
          <w:tcPr>
            <w:tcW w:w="70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3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SOLICITATION OF ADVISORY STOCKHOLDER APPROVAL OF EXECUTIVE COMPENSATION</w:t>
              </w:r>
            </w:hyperlink>
          </w:p>
        </w:tc>
        <w:tc>
          <w:tcPr>
            <w:tcW w:w="300" w:type="dxa"/>
            <w:vAlign w:val="bottom"/>
            <w:gridSpan w:val="4"/>
          </w:tcPr>
          <w:p>
            <w:pPr>
              <w:jc w:val="right"/>
              <w:ind w:right="6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r>
      <w:tr>
        <w:trPr>
          <w:trHeight w:val="75"/>
        </w:trPr>
        <w:tc>
          <w:tcPr>
            <w:tcW w:w="18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40"/>
            <w:shd w:val="clear" w:color="auto" w:fill="CCEEFF"/>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PROPOSAL 4 RATIFICATION OF SELECTION OF INDEPENDENT REGISTERED PUBLIC</w:t>
              </w:r>
            </w:hyperlink>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20" w:type="dxa"/>
            <w:vAlign w:val="bottom"/>
            <w:tcBorders>
              <w:top w:val="single" w:sz="8" w:color="0000EE"/>
            </w:tcBorders>
            <w:gridSpan w:val="34"/>
            <w:shd w:val="clear" w:color="auto" w:fill="CCEEFF"/>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ACCOUNTING FIRM</w:t>
              </w:r>
            </w:hyperlink>
          </w:p>
        </w:tc>
        <w:tc>
          <w:tcPr>
            <w:tcW w:w="1120" w:type="dxa"/>
            <w:vAlign w:val="bottom"/>
            <w:tcBorders>
              <w:top w:val="single" w:sz="8" w:color="CCEEFF"/>
            </w:tcBorders>
            <w:gridSpan w:val="5"/>
            <w:shd w:val="clear" w:color="auto" w:fill="CCEEFF"/>
          </w:tcPr>
          <w:p>
            <w:pPr>
              <w:spacing w:after="0"/>
              <w:rPr>
                <w:sz w:val="17"/>
                <w:szCs w:val="17"/>
                <w:color w:val="auto"/>
              </w:rPr>
            </w:pPr>
          </w:p>
        </w:tc>
        <w:tc>
          <w:tcPr>
            <w:tcW w:w="300" w:type="dxa"/>
            <w:vAlign w:val="bottom"/>
            <w:tcBorders>
              <w:top w:val="single" w:sz="8" w:color="CCEEFF"/>
            </w:tcBorders>
            <w:gridSpan w:val="4"/>
            <w:shd w:val="clear" w:color="auto" w:fill="CCEEFF"/>
          </w:tcPr>
          <w:p>
            <w:pPr>
              <w:jc w:val="right"/>
              <w:ind w:right="6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20</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Principal Accountant Fees and Services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26">
              <w:r>
                <w:rPr>
                  <w:rFonts w:ascii="Arial" w:cs="Arial" w:eastAsia="Arial" w:hAnsi="Arial"/>
                  <w:sz w:val="18"/>
                  <w:szCs w:val="18"/>
                  <w:color w:val="0000EE"/>
                </w:rPr>
                <w:t>21</w:t>
              </w:r>
            </w:hyperlink>
          </w:p>
        </w:tc>
      </w:tr>
      <w:tr>
        <w:trPr>
          <w:trHeight w:val="75"/>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0"/>
            <w:shd w:val="clear" w:color="auto" w:fill="CCEEFF"/>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Pre-Approval Policies and Procedures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26">
              <w:r>
                <w:rPr>
                  <w:rFonts w:ascii="Arial" w:cs="Arial" w:eastAsia="Arial" w:hAnsi="Arial"/>
                  <w:sz w:val="18"/>
                  <w:szCs w:val="18"/>
                  <w:color w:val="0000EE"/>
                </w:rPr>
                <w:t>21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EXECUTIVE OFFICERS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27">
              <w:r>
                <w:rPr>
                  <w:rFonts w:ascii="Arial" w:cs="Arial" w:eastAsia="Arial" w:hAnsi="Arial"/>
                  <w:sz w:val="18"/>
                  <w:szCs w:val="18"/>
                  <w:color w:val="0000EE"/>
                </w:rPr>
                <w:t>22</w:t>
              </w:r>
            </w:hyperlink>
          </w:p>
        </w:tc>
      </w:tr>
      <w:tr>
        <w:trPr>
          <w:trHeight w:val="75"/>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0"/>
            <w:shd w:val="clear" w:color="auto" w:fill="CCEEFF"/>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SECURITY OWNERSHIP OF CERTAIN BENEFICIAL OWNERS AND MANAGEMENT</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28">
              <w:r>
                <w:rPr>
                  <w:rFonts w:ascii="Arial" w:cs="Arial" w:eastAsia="Arial" w:hAnsi="Arial"/>
                  <w:sz w:val="18"/>
                  <w:szCs w:val="18"/>
                  <w:color w:val="0000EE"/>
                </w:rPr>
                <w:t>23</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EXECUTIVE COMPENSATION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0">
              <w:r>
                <w:rPr>
                  <w:rFonts w:ascii="Arial" w:cs="Arial" w:eastAsia="Arial" w:hAnsi="Arial"/>
                  <w:sz w:val="18"/>
                  <w:szCs w:val="18"/>
                  <w:color w:val="0000EE"/>
                </w:rPr>
                <w:t>25</w:t>
              </w:r>
            </w:hyperlink>
          </w:p>
        </w:tc>
      </w:tr>
      <w:tr>
        <w:trPr>
          <w:trHeight w:val="75"/>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40"/>
            <w:shd w:val="clear" w:color="auto" w:fill="CCEEFF"/>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Summary Compensation Table</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6">
              <w:r>
                <w:rPr>
                  <w:rFonts w:ascii="Arial" w:cs="Arial" w:eastAsia="Arial" w:hAnsi="Arial"/>
                  <w:sz w:val="18"/>
                  <w:szCs w:val="18"/>
                  <w:color w:val="0000EE"/>
                </w:rPr>
                <w:t>41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Grants of Plan-Based Awards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r>
      <w:tr>
        <w:trPr>
          <w:trHeight w:val="75"/>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40"/>
            <w:shd w:val="clear" w:color="auto" w:fill="CCEEFF"/>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Outstanding Equity Awards at Fiscal Year-End</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8">
              <w:r>
                <w:rPr>
                  <w:rFonts w:ascii="Arial" w:cs="Arial" w:eastAsia="Arial" w:hAnsi="Arial"/>
                  <w:sz w:val="18"/>
                  <w:szCs w:val="18"/>
                  <w:color w:val="0000EE"/>
                </w:rPr>
                <w:t>43</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Option Exercises and Stock Vest</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51">
              <w:r>
                <w:rPr>
                  <w:rFonts w:ascii="Arial" w:cs="Arial" w:eastAsia="Arial" w:hAnsi="Arial"/>
                  <w:sz w:val="18"/>
                  <w:szCs w:val="18"/>
                  <w:color w:val="0000EE"/>
                </w:rPr>
                <w:t>46</w:t>
              </w:r>
            </w:hyperlink>
          </w:p>
        </w:tc>
      </w:tr>
      <w:tr>
        <w:trPr>
          <w:trHeight w:val="75"/>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0"/>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Potential Payments Upon Termination or Change in Control</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51">
              <w:r>
                <w:rPr>
                  <w:rFonts w:ascii="Arial" w:cs="Arial" w:eastAsia="Arial" w:hAnsi="Arial"/>
                  <w:sz w:val="18"/>
                  <w:szCs w:val="18"/>
                  <w:color w:val="0000EE"/>
                </w:rPr>
                <w:t>46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Non-Employee Director Compensation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53">
              <w:r>
                <w:rPr>
                  <w:rFonts w:ascii="Arial" w:cs="Arial" w:eastAsia="Arial" w:hAnsi="Arial"/>
                  <w:sz w:val="18"/>
                  <w:szCs w:val="18"/>
                  <w:color w:val="0000EE"/>
                </w:rPr>
                <w:t>48</w:t>
              </w:r>
            </w:hyperlink>
          </w:p>
        </w:tc>
      </w:tr>
      <w:tr>
        <w:trPr>
          <w:trHeight w:val="75"/>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40"/>
            <w:shd w:val="clear" w:color="auto" w:fill="CCEEFF"/>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PERSON TRANSACTIONS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HOUSEHOLDING OF PROXY MATERIALS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1">
              <w:r>
                <w:rPr>
                  <w:rFonts w:ascii="Arial" w:cs="Arial" w:eastAsia="Arial" w:hAnsi="Arial"/>
                  <w:sz w:val="18"/>
                  <w:szCs w:val="18"/>
                  <w:color w:val="0000EE"/>
                </w:rPr>
                <w:t>56</w:t>
              </w:r>
            </w:hyperlink>
          </w:p>
        </w:tc>
      </w:tr>
      <w:tr>
        <w:trPr>
          <w:trHeight w:val="74"/>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40"/>
            <w:shd w:val="clear" w:color="auto" w:fill="CCEEFF"/>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MATTERS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2">
              <w:r>
                <w:rPr>
                  <w:rFonts w:ascii="Arial" w:cs="Arial" w:eastAsia="Arial" w:hAnsi="Arial"/>
                  <w:sz w:val="18"/>
                  <w:szCs w:val="18"/>
                  <w:color w:val="0000EE"/>
                </w:rPr>
                <w:t>57</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4900" w:type="dxa"/>
            <w:vAlign w:val="bottom"/>
            <w:gridSpan w:val="30"/>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Appendix A—Supplemental Information About Financial Measures</w:t>
              </w:r>
            </w:hyperlink>
          </w:p>
        </w:tc>
        <w:tc>
          <w:tcPr>
            <w:tcW w:w="3220" w:type="dxa"/>
            <w:vAlign w:val="bottom"/>
            <w:gridSpan w:val="10"/>
          </w:tcPr>
          <w:p>
            <w:pPr>
              <w:spacing w:after="0"/>
              <w:rPr>
                <w:sz w:val="19"/>
                <w:szCs w:val="19"/>
                <w:color w:val="auto"/>
              </w:rPr>
            </w:pPr>
          </w:p>
        </w:tc>
        <w:tc>
          <w:tcPr>
            <w:tcW w:w="300" w:type="dxa"/>
            <w:vAlign w:val="bottom"/>
            <w:gridSpan w:val="4"/>
          </w:tcPr>
          <w:p>
            <w:pPr>
              <w:jc w:val="right"/>
              <w:ind w:right="60"/>
              <w:spacing w:after="0"/>
              <w:rPr>
                <w:rFonts w:ascii="Arial" w:cs="Arial" w:eastAsia="Arial" w:hAnsi="Arial"/>
                <w:sz w:val="18"/>
                <w:szCs w:val="18"/>
                <w:color w:val="0000EE"/>
              </w:rPr>
            </w:pPr>
            <w:hyperlink w:anchor="page63">
              <w:r>
                <w:rPr>
                  <w:rFonts w:ascii="Arial" w:cs="Arial" w:eastAsia="Arial" w:hAnsi="Arial"/>
                  <w:sz w:val="18"/>
                  <w:szCs w:val="18"/>
                  <w:color w:val="0000EE"/>
                </w:rPr>
                <w:t>58</w:t>
              </w:r>
            </w:hyperlink>
          </w:p>
        </w:tc>
      </w:tr>
      <w:tr>
        <w:trPr>
          <w:trHeight w:val="20"/>
        </w:trPr>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-7783195</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2022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AT 10:00 A.M. PACIFIC TIME ON TUESDAY, JUNE 21, 2022</w:t>
      </w:r>
    </w:p>
    <w:p>
      <w:pPr>
        <w:spacing w:after="0" w:line="103"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We have sent you these proxy materials because the Board of Directors of WM Technology, Inc. (the “Board”) is soliciting your proxy to vote at the 2022 Annual Meeting of Stockholders (the “Annual Meeting”), including at any adjournments or postponements thereof, to be held via a live audio webcast on Tuesday, June 21, 2022 at 10:00 a.m. Pacific Time. The Annual Meeting can be accessed by visiting www.virtualshareholdermeeting.com/MAPS2022 where you will be able to listen to the meeting live, submit questions and vote online.</w:t>
      </w:r>
    </w:p>
    <w:p>
      <w:pPr>
        <w:spacing w:after="0" w:line="53"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You are invited to attend the Annual Meeting to vote on the proposals described in this Proxy Statement. However, you do not need to attend the Annual Meeting to vote your shares. Instead, you may simply follow the instructions below to submit your proxy. The proxy materials, including this Proxy Statement and our 2021 Annual Report, are being distributed and made available on or about April 29, 2022. As used in this Proxy Statement, references to “we,” “us,” “our,” “WM Technology” and the “Company” refer to WM Technology, Inc. and its subsidiaries.</w:t>
      </w:r>
    </w:p>
    <w:p>
      <w:pPr>
        <w:spacing w:after="0" w:line="53"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Information contained on, or that can be accessed through, our website is not incorporated by reference into this proxy statement and references to our website address in this proxy statement are inactive textual references only.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is soliciting your proxy to vote at the Annual Meeting,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8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provided some of our stockholders, including stockholders who have previously requested to receive paper copies of the proxy materials, with paper copies of the proxy materials instead of the Notice. If you received paper copies of the proxy materials, we encourage you to help us save money and reduce the environmental impact of delivering paper proxy materials to stockholders by signing up to receive all of your future proxy materials electronically.</w:t>
      </w:r>
    </w:p>
    <w:p>
      <w:pPr>
        <w:spacing w:after="0" w:line="8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We intend to mail the Notice on or about April 29, 2022 to all stockholders of record entitled to vote at the annual meeting.</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I receive any other proxy materials by mail?</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may send you a proxy card, along with a second Notice, on or after May 9, 2022.</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attend the annual meeting?</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In light of public health concerns regarding the COVID-19 pandemic, to protect the health and safety of our stockholders and employees and facilitate stockholder participation in the Annual Meeting, the Annual Meeting will be held through a live webcast at www.virtualshareholdermeeting.com/MAPS2022. You will not be able to attend the annual meeting in person. If you attend the annual meeting online, you will be able to vote and submit questions, at www.virtualshareholdermeeting.com/MAPS2022.</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we attend the Annual Meeting?</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You are entitled to attend the Annual Meeting if you were a stockholder as of the close of business on April 28, 2022. To be admitted to the Annual Meeting, you will need to visit www.virtualshareholdermeeting.com/MAPS2022 and enter the 16-digit Control Number found next to the label “Control Number” on your Notice of Internet Availability, proxy card or in the email sending you the Proxy Statement. If you are a beneficial owner, you should contact the bank, broker or other institution where you hold your account well in advance of the meeting if you have questions about obtaining your Control Number.</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Whether or not you participate in the annual meeting, it is important that you vote your shares.</w:t>
      </w:r>
    </w:p>
    <w:p>
      <w:pPr>
        <w:spacing w:after="0" w:line="11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We encourage you to access the meeting prior to the start time. Online check-in will begin at 9:45 a.m. Pacific Time, and you should allow reasonable time for the check-in procedures. Participation in the meeting is limited due to the capacity of the host platform and access to the meeting will be accepted on a first come, first served basis.</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cannot find my Control Number?</w:t>
      </w:r>
    </w:p>
    <w:p>
      <w:pPr>
        <w:spacing w:after="0" w:line="12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Please note that if you do not have your Control Number and you are a registered stockholder, you will be able to login as a guest. To view the meeting webcast visit www.virtualshareholdermeeting.com/MAPS2022 and register as a guest. If you login as a guest, you will not be able to vote your shares or ask questions during the meeting.</w:t>
      </w:r>
    </w:p>
    <w:p>
      <w:pPr>
        <w:spacing w:after="0" w:line="4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a list of record stockholders as of the record date be available?</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 list of our record stockholders as of the close of business on the record date will be made available to stockholders during the meeting at www.virtualshareholdermeeting.com/MAPS2022. In addition, for the ten days prior to the Annual Meeting, the list will be available for examination by any stockholder of record for a legally valid purpose at our corporate headquarters during regular business hours.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we get technical assistance?</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If you encounter any difficulties accessing the Annual Meeting during the check-in or meeting time, please call the technical support number that will be posted on the Annual Meeting log-in page.</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 the Annual Meeting, how do we ask questions of management and the Board?</w:t>
      </w:r>
    </w:p>
    <w:p>
      <w:pPr>
        <w:spacing w:after="0" w:line="12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We plan to have a Q&amp;A session at the annual meeting. Questions may be submitted prior to the annual meeting www.virtualshareholdermeeting.com/MAPS2022. During the live Q&amp;A session of the Annual Meeting, we may answer questions as they come in to the extent relevant to the business of the Annual Meeting and as time permits.</w:t>
      </w:r>
    </w:p>
    <w:p>
      <w:pPr>
        <w:spacing w:after="0" w:line="4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We plan to have a Q&amp;A session at the Annual Meeting and will include as many stockholder questions as the allotted time permits. Stockholders may submit questions relevant to the business of the Annual Meeting in advance of the Annual Meeting. If you are a stockholder, you may submit a question in advance of the Annual Meeting at www.proxyvote.com after logging in with your Control Number. Questions may be submitted prior to the Annual Meeting through www.virtualshareholdermeeting.com/MAPS2022.</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Only stockholders of record at the close of business on April 28, 2022 will be entitled to vote at the Annual Meeting. On this record date, there were 86,103,114 shares of Class A Common Stock of the Company (the “Class A Common Stock”) and 58,294,288 shares of Class V Common Stock (the “Class V Common Stock”, and together with the Class A Common Stock, the “Common Stock”) outstanding and entitled to vote.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If on April 28, 2022, your shares were registered directly in your name with the Company’s transfer agent, Continental Stock Transfer &amp; Trust Company, then you are a stockholder of record. If you are a stockholder of record, you may vote your shares at the Annual Meeting by following the instructions provided on the Notice to log in to www.proxyvote.com. You will be asked to provide the Control Number from your Notice. Whether or not you plan to attend the Annual Meeting, we urge you to vote by proxy to ensure your vote is counted. You may still attend and vote at the Annual Meeting even if you have already voted by proxy.</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If on April 28, 2022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record for purposes of voting at the Annual Meeting. As a beneficial owner, you have the right to direct your broker, bank or other agent regarding how to vote the shares in your account. You are also invited to attend the Annual Meeting. However, since a beneficial owner is not the stockholder of record, you may not vote your shares live at the Annual Meeting unless you follow your broker, bank or other nominee’s procedures for obtaining a legal proxy.</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matters am I voting 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are four matters scheduled for a vote:</w:t>
      </w:r>
    </w:p>
    <w:p>
      <w:pPr>
        <w:spacing w:after="0" w:line="117" w:lineRule="exact"/>
        <w:rPr>
          <w:sz w:val="20"/>
          <w:szCs w:val="20"/>
          <w:color w:val="auto"/>
        </w:rPr>
      </w:pPr>
    </w:p>
    <w:p>
      <w:pPr>
        <w:jc w:val="both"/>
        <w:ind w:left="1000" w:right="29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three nominees for Class I directors named in the accompanying Proxy Statement to serve until the 2025 annual meeting of stockholders and until their successors are duly elected and qualified (“Proposal 1”);</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for the year ended 2021 (“Proposal 2”);</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indicate, on a non-binding advisory basis, the preferred frequency of stockholder advisory votes on the compensation of our Named Executive Officers (“Proposal 3”); and</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selection by the Audit Committee of the Board of Directors of Baker Tilly US, LLP as our independent registered public accounting firm for the year ending December 31, 2022 (“Proposal 4”).</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You may either vote “For” all the nominees to the Board of Directors or you may “Withhold” your vote for any nominee you specify. With regard to your advisory vote on how frequently we should solicit stockholder advisory approval of executive compensation, you may vote for any one of the following: one year, two years or three years, or you may abstain from voting on that matter. For each of the other matters to be voted on, you may vote “For” or “Against” or abstain from voting.</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procedures for voting are fairly simple: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If you are a stockholder of record, you may vote online at the Annual Meeting, vote by proxy over the telephone, vote by proxy through the Internet or vote by proxy using a proxy card that you may request or that we may elect to deliver at a later time:</w:t>
      </w:r>
    </w:p>
    <w:p>
      <w:pPr>
        <w:spacing w:after="0" w:line="76" w:lineRule="exact"/>
        <w:rPr>
          <w:sz w:val="20"/>
          <w:szCs w:val="20"/>
          <w:color w:val="auto"/>
        </w:rPr>
      </w:pPr>
    </w:p>
    <w:p>
      <w:pPr>
        <w:jc w:val="both"/>
        <w:ind w:left="1000" w:right="299" w:hanging="348"/>
        <w:spacing w:after="0" w:line="25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during the Annual Meeting, if you are a stockholder of record as of the record date, follow the instructions at www.virtualshareholdermeeting.com/MAPS2022</w:t>
      </w:r>
      <w:r>
        <w:rPr>
          <w:rFonts w:ascii="Arial" w:cs="Arial" w:eastAsia="Arial" w:hAnsi="Arial"/>
          <w:sz w:val="18"/>
          <w:szCs w:val="18"/>
          <w:i w:val="1"/>
          <w:iCs w:val="1"/>
          <w:color w:val="auto"/>
        </w:rPr>
        <w:t>.</w:t>
      </w:r>
      <w:r>
        <w:rPr>
          <w:rFonts w:ascii="Arial" w:cs="Arial" w:eastAsia="Arial" w:hAnsi="Arial"/>
          <w:sz w:val="18"/>
          <w:szCs w:val="18"/>
          <w:color w:val="auto"/>
        </w:rPr>
        <w:t xml:space="preserve"> You will need to enter the 16-digit Control Number found on your Notice of Internet Availability, or notice you receive or in the email sending you the Proxy Statement.</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prior to the Annual Meeting (until 11:59 p.m. Eastern Time on June 20, 2022), you may vote via the Internet at www.proxyvote.com; by telephone; or by completing and returning their proxy card or voting instruction form, as described below.</w:t>
      </w:r>
    </w:p>
    <w:p>
      <w:pPr>
        <w:spacing w:after="0" w:line="75" w:lineRule="exact"/>
        <w:rPr>
          <w:rFonts w:ascii="Arial" w:cs="Arial" w:eastAsia="Arial" w:hAnsi="Arial"/>
          <w:sz w:val="18"/>
          <w:szCs w:val="18"/>
          <w:color w:val="auto"/>
        </w:rPr>
      </w:pPr>
    </w:p>
    <w:p>
      <w:pPr>
        <w:jc w:val="both"/>
        <w:ind w:left="1360" w:right="319" w:hanging="348"/>
        <w:spacing w:after="0" w:line="238" w:lineRule="auto"/>
        <w:tabs>
          <w:tab w:leader="none" w:pos="1360" w:val="left"/>
        </w:tabs>
        <w:numPr>
          <w:ilvl w:val="1"/>
          <w:numId w:val="6"/>
        </w:numPr>
        <w:rPr>
          <w:rFonts w:ascii="Arial" w:cs="Arial" w:eastAsia="Arial" w:hAnsi="Arial"/>
          <w:sz w:val="22"/>
          <w:szCs w:val="22"/>
          <w:color w:val="auto"/>
          <w:vertAlign w:val="superscript"/>
        </w:rPr>
      </w:pPr>
      <w:r>
        <w:rPr>
          <w:rFonts w:ascii="Arial" w:cs="Arial" w:eastAsia="Arial" w:hAnsi="Arial"/>
          <w:sz w:val="18"/>
          <w:szCs w:val="18"/>
          <w:color w:val="auto"/>
        </w:rPr>
        <w:t>To vote using the proxy card that may have been delivered to you, simply complete, sign and date the proxy card and return it promptly in the envelope provided. If you return your signed proxy card to us before the Annual Meeting, we will vote your shares as you direct.</w:t>
      </w:r>
    </w:p>
    <w:p>
      <w:pPr>
        <w:spacing w:after="0" w:line="94" w:lineRule="exact"/>
        <w:rPr>
          <w:rFonts w:ascii="Arial" w:cs="Arial" w:eastAsia="Arial" w:hAnsi="Arial"/>
          <w:sz w:val="22"/>
          <w:szCs w:val="22"/>
          <w:color w:val="auto"/>
          <w:vertAlign w:val="superscript"/>
        </w:rPr>
      </w:pPr>
    </w:p>
    <w:p>
      <w:pPr>
        <w:jc w:val="both"/>
        <w:ind w:left="1360" w:right="319" w:hanging="348"/>
        <w:spacing w:after="0" w:line="256" w:lineRule="auto"/>
        <w:tabs>
          <w:tab w:leader="none" w:pos="1360" w:val="left"/>
        </w:tabs>
        <w:numPr>
          <w:ilvl w:val="1"/>
          <w:numId w:val="6"/>
        </w:numPr>
        <w:rPr>
          <w:rFonts w:ascii="Arial" w:cs="Arial" w:eastAsia="Arial" w:hAnsi="Arial"/>
          <w:sz w:val="21"/>
          <w:szCs w:val="21"/>
          <w:color w:val="auto"/>
          <w:vertAlign w:val="superscript"/>
        </w:rPr>
      </w:pPr>
      <w:r>
        <w:rPr>
          <w:rFonts w:ascii="Arial" w:cs="Arial" w:eastAsia="Arial" w:hAnsi="Arial"/>
          <w:sz w:val="17"/>
          <w:szCs w:val="17"/>
          <w:color w:val="auto"/>
        </w:rPr>
        <w:t>To vote over the telephone, dial toll-free 1-800-690-6903 using a touch-tone phone and follow the recorded instructions. You will be asked to provide the Control Number from the Notice. Your vote must be received by 11:59 p.m. Eastern Time on June 20, 2022 to be counted.</w:t>
      </w:r>
    </w:p>
    <w:p>
      <w:pPr>
        <w:spacing w:after="0" w:line="81" w:lineRule="exact"/>
        <w:rPr>
          <w:rFonts w:ascii="Arial" w:cs="Arial" w:eastAsia="Arial" w:hAnsi="Arial"/>
          <w:sz w:val="21"/>
          <w:szCs w:val="21"/>
          <w:color w:val="auto"/>
          <w:vertAlign w:val="superscript"/>
        </w:rPr>
      </w:pPr>
    </w:p>
    <w:p>
      <w:pPr>
        <w:jc w:val="both"/>
        <w:ind w:left="1360" w:right="319" w:hanging="348"/>
        <w:spacing w:after="0" w:line="241" w:lineRule="auto"/>
        <w:tabs>
          <w:tab w:leader="none" w:pos="1360" w:val="left"/>
        </w:tabs>
        <w:numPr>
          <w:ilvl w:val="1"/>
          <w:numId w:val="6"/>
        </w:numPr>
        <w:rPr>
          <w:rFonts w:ascii="Arial" w:cs="Arial" w:eastAsia="Arial" w:hAnsi="Arial"/>
          <w:sz w:val="22"/>
          <w:szCs w:val="22"/>
          <w:color w:val="auto"/>
          <w:vertAlign w:val="superscript"/>
        </w:rPr>
      </w:pPr>
      <w:r>
        <w:rPr>
          <w:rFonts w:ascii="Arial" w:cs="Arial" w:eastAsia="Arial" w:hAnsi="Arial"/>
          <w:sz w:val="18"/>
          <w:szCs w:val="18"/>
          <w:color w:val="auto"/>
        </w:rPr>
        <w:t>To vote through the internet, go to www.proxyvote.com and follow the instructions to submit your vote on an electronic proxy card. You will be asked to provide the company number and Control Number from your Notice. Your vote must be received by 11:59 p.m. Eastern Time on June 20, 2022 to be counted.</w:t>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If you are a beneficial owner of shares registered in the name of your broker, bank or other agent, you should have received a Notice containing voting instructions from that organization rather than from the Company. You must follow the voting instructions provided by your broker, bank or other nominee in order to direct your broker, bank or other nominee on how to vote your shares. Beneficial owner of shares held in street name should generally be able to vote by returning a voting instruction form, or by telephone or on the Internet. However, the availability of telephone and Internet voting will depend on the voting process of your broker, bank or other nominee. As discussed above, if you are a beneficial owner of shares held in street name, you may not vote your shares live at the Annual Meeting unless you obtain a legal proxy from your broker, bank or other nominee.</w:t>
      </w:r>
    </w:p>
    <w:p>
      <w:pPr>
        <w:spacing w:after="0" w:line="66"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On each matter to be voted upon, you have one vote for each share of Class A Common Stock and each share of Class V Common Stock you own as of April 28, 2022. Holders of Class A Common Stock and Class V Common Stock will vote together as one class on all proposals.</w:t>
      </w:r>
    </w:p>
    <w:p>
      <w:pPr>
        <w:spacing w:after="0" w:line="180" w:lineRule="exact"/>
        <w:rPr>
          <w:sz w:val="20"/>
          <w:szCs w:val="20"/>
          <w:color w:val="auto"/>
        </w:rPr>
      </w:pPr>
    </w:p>
    <w:p>
      <w:pPr>
        <w:ind w:left="300" w:right="419"/>
        <w:spacing w:after="0" w:line="282"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5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at the Annual Meeting, your shares will not be voted.</w:t>
      </w:r>
    </w:p>
    <w:p>
      <w:pPr>
        <w:spacing w:after="0" w:line="62"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If you return a signed and dated proxy card or otherwise vote without marking voting selections, your shares will be voted, as applicable, “For” the election of all three nominees for director, “For” the advisory approval of executive compensation, for “One Year” as the preferred frequency of advisory votes to approve executive compensation and “For” the ratification of the selection by the Audit Committee of the Board of Baker Tilly US, LLP as our independent registered public accounting firm for the year ending December 31, 2022. If any other matter is properly presented at the meeting, your proxyholder (one of the individuals named on your proxy card) will vote your shares using his or her best judgment.</w:t>
      </w:r>
    </w:p>
    <w:p>
      <w:pPr>
        <w:spacing w:after="0" w:line="191" w:lineRule="exact"/>
        <w:rPr>
          <w:sz w:val="20"/>
          <w:szCs w:val="20"/>
          <w:color w:val="auto"/>
        </w:rPr>
      </w:pPr>
    </w:p>
    <w:p>
      <w:pPr>
        <w:ind w:left="300" w:right="499"/>
        <w:spacing w:after="0" w:line="282" w:lineRule="auto"/>
        <w:rPr>
          <w:sz w:val="20"/>
          <w:szCs w:val="20"/>
          <w:color w:val="auto"/>
        </w:rPr>
      </w:pPr>
      <w:r>
        <w:rPr>
          <w:rFonts w:ascii="Arial" w:cs="Arial" w:eastAsia="Arial" w:hAnsi="Arial"/>
          <w:sz w:val="18"/>
          <w:szCs w:val="18"/>
          <w:b w:val="1"/>
          <w:bCs w:val="1"/>
          <w:color w:val="auto"/>
        </w:rPr>
        <w:t>If I am a beneficial owner of shares held in street name and I do not provide my broker or bank with voting instructions, what happens?</w:t>
      </w:r>
    </w:p>
    <w:p>
      <w:pPr>
        <w:spacing w:after="0" w:line="58"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If you are a beneficial owner of shares held in street name and you do not instruct your broker, bank or other agent how to vote your shares, your broker, bank or other agent may still be able to vote your shares in its discretion. In this regard, brokers, banks and other securities intermediaries may use their discretion to vote your “uninstructed” shares with respect to matters considered to be “routine”, but not with respect to “non-routine” matters. In this regard, Proposals 1, 2 and 3 are considered to be “non-routine” meaning that your broker may not vote your shares on those proposals in the absence of your voting instructions. However, Proposal 4 is considered to be a “routine” matters meaning that if you do not return voting instructions to your broker by its deadline, your shares may be voted by your broker in its discretion on Proposal 4.</w:t>
      </w:r>
    </w:p>
    <w:p>
      <w:pPr>
        <w:spacing w:after="0" w:line="7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 xml:space="preserve">If you a beneficial owner of shares held in street name, in order to ensure your shares are voted in the way you would prefer,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We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does it mean if I receive more than one Notice?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If you receive more than one Notice, your shares may be registered in more than one name or in different accounts.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Please follow the voting instructions on the Notices to ensure that all of your shares are voted.</w:t>
      </w:r>
    </w:p>
    <w:p>
      <w:pPr>
        <w:sectPr>
          <w:pgSz w:w="11900" w:h="16838" w:orient="portrait"/>
          <w:cols w:equalWidth="0" w:num="1">
            <w:col w:w="9019"/>
          </w:cols>
          <w:pgMar w:left="1440" w:top="265" w:right="1440"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Yes. You can revoke your proxy at any time before the final vote at the meeting. If you are the record holder of your shares, you may revoke your proxy in any one of the following ways:</w:t>
      </w:r>
    </w:p>
    <w:p>
      <w:pPr>
        <w:spacing w:after="0" w:line="62"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grant a subsequent proxy by telephone or through the internet.</w:t>
      </w:r>
    </w:p>
    <w:p>
      <w:pPr>
        <w:spacing w:after="0" w:line="117"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WM Technology, Inc., Attn: Brian Camire at 41 Discovery, Irvine, California 92618. Such notice will be considered timely if it is received at the indicated address by the close of business on the business day one week preceding the date of the Annual Meeting.</w:t>
      </w:r>
    </w:p>
    <w:p>
      <w:pPr>
        <w:spacing w:after="0" w:line="78"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attend the Annual Meeting and vote online. Simply attending the meeting will not, by itself, revoke your proxy.</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If your shares are held by your broker, bank as a nominee or other agent, you should follow the instructions provided by your broker, bank or other agent.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by December 30, 2022, to WM Technology, Inc., Attn: Corporate Secretary, 41 Discovery, Irvine, California 92618. If you wish to submit a proposal (including a director nomination) at the meeting that is not to be included in next year’s proxy materials, you must do so by submitting your proposal in writing which must be received by the Corporate Secretary not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and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anniversary of the preceding year’s annual meeting of stockholders. Therefore, we must receive notice of such a proposal or nomination for the 2023 Annual Meeting no earlier than the close of business on February 21, 2023 and no later than the close of business on March 23, 2023. The notice must contain the information required by our Bylaws. In the event that the date of the 2023 Annual Meeting is not within 30 days before or delayed by more than 60 days from the first anniversary of the preceding year’s annual meeting of stockholders, or no annual meeting was held during the preceding year, then the Corporate Secretary must receive such written notice not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2023 Annual Meeting and not later than the close of business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2023 Annual Meeting or the closing of business on the tenth day following the day on which public announcement of the date of such meeting is first made.</w:t>
      </w:r>
    </w:p>
    <w:p>
      <w:pPr>
        <w:spacing w:after="0" w:line="77" w:lineRule="exact"/>
        <w:rPr>
          <w:sz w:val="20"/>
          <w:szCs w:val="20"/>
          <w:color w:val="auto"/>
        </w:rPr>
      </w:pPr>
    </w:p>
    <w:p>
      <w:pPr>
        <w:jc w:val="both"/>
        <w:ind w:left="300" w:right="299"/>
        <w:spacing w:after="0" w:line="303" w:lineRule="auto"/>
        <w:rPr>
          <w:sz w:val="20"/>
          <w:szCs w:val="20"/>
          <w:color w:val="auto"/>
        </w:rPr>
      </w:pPr>
      <w:r>
        <w:rPr>
          <w:rFonts w:ascii="Arial" w:cs="Arial" w:eastAsia="Arial" w:hAnsi="Arial"/>
          <w:sz w:val="16"/>
          <w:szCs w:val="16"/>
          <w:b w:val="1"/>
          <w:bCs w:val="1"/>
          <w:color w:val="auto"/>
        </w:rPr>
        <w:t>In addition to satisfying the foregoing requirements under our bylaws, to comply with the universal proxy rules (once effective), stockholders who intend to solicit proxies in support of director nominees other than our Board’s nominees must provide notice that sets forth any additional information required by Rule 14a-19 promulgated under the Securities Exchange Act of 1934, as amended, no later than April 22, 2023.</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Votes will be counted by the inspector of election appointed for the Annual Meeting, who will separately count, for the proposal to elect directors, votes “For,” “Withhold” and broker non-votes; with respect to the proposal regarding frequency of stockholder advisory votes to approve executive compensation, votes for frequencies of one year, two years or three years, abstentions and broker non-votes; and, with respect to the other proposals, votes “For” and “Against,” abstentions and, if applicable, broker non-votes. Abstentions will be counted towards the vote total for each of Proposals 2 and 4, and will have the same effect as “Against” votes. For Proposal 3, abstentions will be counted towards the vote total, and will have the same effect as votes against each of the proposed voting frequencies. Broker non-votes on Proposal 1, 2 and 3 will have no effect and will not be counted towards the vote total for any of those proposals. Proposal 4 is considered a “routine” matter, accordingly, if you hold your shares in street name and do not provide voting instructions to your broker, bank, or other agent that holds your shares, your broker, bank, or other agent has discretionary authority to vote your shares on Proposal 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the broker, bank or other such agent cannot vote the shares. These un-voted shares are counted as “broker non-votes.” Proposals 1, 2 and 3 are considered to be “non-routine”, and are proposals for which brokers do not have discretionary voting authority. We therefore expect broker non-votes to exist in connection with those proposals. Proposal 4 is a “routine” matter and therefore broker non-votes are not expected to exist in connection with this proposal.</w:t>
      </w:r>
    </w:p>
    <w:p>
      <w:pPr>
        <w:spacing w:after="0" w:line="8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b w:val="1"/>
          <w:bCs w:val="1"/>
          <w:i w:val="1"/>
          <w:iCs w:val="1"/>
          <w:color w:val="auto"/>
        </w:rPr>
        <w:t xml:space="preserve">As a reminder, if you are a beneficial owner of shares held in street name, in order to ensure your shares are voted in the way you would prefer, you </w:t>
      </w:r>
      <w:r>
        <w:rPr>
          <w:rFonts w:ascii="Arial" w:cs="Arial" w:eastAsia="Arial" w:hAnsi="Arial"/>
          <w:sz w:val="16"/>
          <w:szCs w:val="16"/>
          <w:b w:val="1"/>
          <w:bCs w:val="1"/>
          <w:i w:val="1"/>
          <w:iCs w:val="1"/>
          <w:u w:val="single" w:color="auto"/>
          <w:color w:val="auto"/>
        </w:rPr>
        <w:t>must</w:t>
      </w:r>
      <w:r>
        <w:rPr>
          <w:rFonts w:ascii="Arial" w:cs="Arial" w:eastAsia="Arial" w:hAnsi="Arial"/>
          <w:sz w:val="16"/>
          <w:szCs w:val="16"/>
          <w:b w:val="1"/>
          <w:bCs w:val="1"/>
          <w:i w:val="1"/>
          <w:iCs w:val="1"/>
          <w:color w:val="auto"/>
        </w:rPr>
        <w:t xml:space="preserve"> provide voting instructions to your broker, bank or other agent by the deadline provided in the materials you receive from your broker, bank or other agent.</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Proposal 1: For the election of directors, the three Class I nominees receiving the most “For” votes from the holders of shares present or represented by proxy and entitled to vote on the election of directors will be elected. Only votes “For” will affect the outcome. “Withhold” votes, “Abstain” votes and broker non-votes will have no effect.</w:t>
      </w:r>
    </w:p>
    <w:p>
      <w:pPr>
        <w:spacing w:after="0" w:line="4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Proposal 2: The advisory vote, on a non-binding basis, on the compensation of our Named Executive Officers for the year ended 2021 will be considered to be approved if it receives “For” votes from the holders of a majority in voting power of shares of Common Stock present or represented by proxy and entitled to vote on the matter. “Abstain” votes and broker non-votes will have no effect.</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Proposal 3: For the advisory vote, on a non-binding basis, on the frequency of stockholder advisory votes on the compensation of our Named Executive Officers, the frequency receiving the highest number of affirmative votes from the holders of shares present or represented by proxy and entitled to vote at the Annual Meeting. “Abstain” votes and broker non-votes will have no effect.</w:t>
      </w:r>
    </w:p>
    <w:p>
      <w:pPr>
        <w:spacing w:after="0" w:line="79"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Proposal 4: To ratify the selection of Baker Tilly US, LLP as our independent registered public accounting firm for the year ending December 31, 2022, the proposal must receive “For” votes from the holders of a majority in voting power of the shares of Common Stock present by remote communication at the meeting or represented by proxy and entitled to vote on the matter. If you “Abstain” from voting, it will have the same effect as an “Against” vote. 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 xml:space="preserve">A quorum of stockholders is necessary to hold a valid meeting. A quorum will be present if stockholders holding a majority in voting power of the shares of Common Stock entitled to vote are present by remote communication at the meeting or represented by proxy. On the record date, there were 144,397,402 shares of Common Stock outstanding and entitled to vote. </w:t>
      </w:r>
      <w:r>
        <w:rPr>
          <w:rFonts w:ascii="Arial" w:cs="Arial" w:eastAsia="Arial" w:hAnsi="Arial"/>
          <w:sz w:val="16"/>
          <w:szCs w:val="16"/>
          <w:b w:val="1"/>
          <w:bCs w:val="1"/>
          <w:color w:val="auto"/>
        </w:rPr>
        <w:t>Thus, the holders of 72,198,702 shares of Common Stock must be present 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remote communication at the meeting or represented by proxy at the Annual Meeting to have a quorum. </w:t>
      </w:r>
      <w:r>
        <w:rPr>
          <w:rFonts w:ascii="Arial" w:cs="Arial" w:eastAsia="Arial" w:hAnsi="Arial"/>
          <w:sz w:val="16"/>
          <w:szCs w:val="16"/>
          <w:color w:val="auto"/>
        </w:rPr>
        <w:t>Broker non-votes and abstentions are counted for purposes of determining whether a quorum is present.</w:t>
      </w:r>
    </w:p>
    <w:p>
      <w:pPr>
        <w:spacing w:after="0" w:line="56"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by telephone, online or at the meeting. Abstentions and broker non-votes will be counted towards the quorum requirement. If there is no quorum, the holders of a majority in voting power of the shares of Common Stock present by remote communication at the meeting or represented by proxy may adjourn the meeting to another date.</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Board is divided into three classes, designated as Class I, Class II and Class III, each of which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or until such director’s earlier death, disqualification, resignation or removal.</w:t>
      </w:r>
    </w:p>
    <w:p>
      <w:pPr>
        <w:spacing w:after="0" w:line="53"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The Board presently has nine members. There are three directors in the class whose term of office expires in 2021. Other than Mr. Bay, each of the nominees listed below is currently a director who was previously elected by the stockholders. If elected at the Annual Meeting, each of these nominees would serve until the 2025 annual meeting and until his or her successor has been duly elected and qualified, or, if sooner, until the director’s death, resignation or removal. Our policy is to strongly encourage directors and nominees for director to attend the Annual Meeting. We did not hold an annual meeting of stockholders in 2021.</w:t>
      </w:r>
    </w:p>
    <w:p>
      <w:pPr>
        <w:spacing w:after="0" w:line="70"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Directors are elected by a plurality of the votes of the shares present online at meeting or represented by proxy and entitled to vote on the election of directors. Accordingly, the three nominees receiving the highest number of affirmative votes will be elected. Shares represented by executed proxies will be voted, if authority to do so is not withheld, for the election of the three nominees named below. If any nominee becomes unavailable for election as a result of an unexpected occurrence, shares that would have been voted for that nominee will instead be voted for the election of a substitute nominee proposed by us, if any. Each person nominated for election has agreed to serve if elected. Our management has no reason to believe that any nominee will be unable to serve.</w:t>
      </w:r>
    </w:p>
    <w:p>
      <w:pPr>
        <w:spacing w:after="0" w:line="5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following is a brief biography of each nominee and each director whose term will continue after the Annual Meeting.</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I Nominees for Election for a Three-Year Term Expiring at the 2025 Annual Meeting</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i w:val="1"/>
          <w:iCs w:val="1"/>
          <w:color w:val="auto"/>
        </w:rPr>
        <w:t>Christopher Beals</w:t>
      </w:r>
      <w:r>
        <w:rPr>
          <w:rFonts w:ascii="Arial" w:cs="Arial" w:eastAsia="Arial" w:hAnsi="Arial"/>
          <w:sz w:val="17"/>
          <w:szCs w:val="17"/>
          <w:color w:val="auto"/>
        </w:rPr>
        <w:t>. Mr. Beals, age 42, has served as our Chief Executive Officer and as a member of the Board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June 2021. Mr. Beals served as WM Holding Company, LLC’s (“WMH LLC” and when referred to in its pre-Business Combination capacity, “Legacy WMH”) Chief Executive Officer from March 2019 to June 2021 and as a member of its board of managers since October 2015. Mr. Beals previously served as Legacy WMH’s General Counsel from September 2015, and Legacy WMH’s President from February 2016 to March 2019. Mr. Beals previously served as Senior Vice President of Colbeck Capital Management from December 2014 to August 2015 and Senior Corporate Counsel &amp; Data Privacy Officer at T-Systems International GmbH from February 2013 to December 2014. He also previously worked as an associate at Davis Polk &amp; Wardwell LLP and Covington &amp; Burling LLP. Mr. Beals holds a B.S. in Systems Engineering and a B.A. in Economics from the University of Pennsylvania and a J.D. from the University of Pennsylvania Law School.</w:t>
      </w:r>
    </w:p>
    <w:p>
      <w:pPr>
        <w:spacing w:after="0" w:line="7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Mr. Beals was selected to serve on the Board based on his substantial business, leadership and management experience as WMH’s Chief Executive Officer.</w:t>
      </w:r>
    </w:p>
    <w:p>
      <w:pPr>
        <w:spacing w:after="0" w:line="62"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i w:val="1"/>
          <w:iCs w:val="1"/>
          <w:color w:val="auto"/>
        </w:rPr>
        <w:t>Fiona Tan</w:t>
      </w:r>
      <w:r>
        <w:rPr>
          <w:rFonts w:ascii="Arial" w:cs="Arial" w:eastAsia="Arial" w:hAnsi="Arial"/>
          <w:sz w:val="16"/>
          <w:szCs w:val="16"/>
          <w:color w:val="auto"/>
        </w:rPr>
        <w:t>. Ms. Tan, age 51, has served as a member of the Board since June 2021. Since March 2022, Ms. Tan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Chief Technology Officer for Wayfair LLC and as Global Head of Customer and Supplier Technology for Wayfair LLC from September 2020 to March 2022. Prior to that Ms. Tan held various leadership positions at Walmart Inc., including Head of Technology, Walmart US from March 2019 to September 2020, Senior Vice President, Engineering, Customer Technology, WalmartLabs from January 2017 to March 2019 and Vice President, Engineering, International Markets, WalmartLabs Strategy, and Operations from April 2014 to January 2017. Prior to that Ms. Tan was Vice President, Engineering for Ariba, Inc. Ms. Tan also previously worked for 16 years at TIBCO Software, Inc., as well as for Oracle Corporation. Ms. Tan holds an M.S. in Computer Science from Stanford University and a B.S. in Computer Science and Engineering from the Massachusetts Institute of Technology.</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Ms. Tan was selected to serve on the Board based on her business experience and technology industry expertise.</w:t>
      </w:r>
    </w:p>
    <w:p>
      <w:pPr>
        <w:spacing w:after="0" w:line="140"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i w:val="1"/>
          <w:iCs w:val="1"/>
          <w:color w:val="auto"/>
        </w:rPr>
        <w:t>Anthony Bay</w:t>
      </w:r>
      <w:r>
        <w:rPr>
          <w:rFonts w:ascii="Arial" w:cs="Arial" w:eastAsia="Arial" w:hAnsi="Arial"/>
          <w:sz w:val="16"/>
          <w:szCs w:val="16"/>
          <w:color w:val="auto"/>
        </w:rPr>
        <w:t>. Mr. Bay, age 66, has served as a member and the Chairperson of our board of directors since March</w:t>
      </w:r>
      <w:r>
        <w:rPr>
          <w:rFonts w:ascii="Arial" w:cs="Arial" w:eastAsia="Arial" w:hAnsi="Arial"/>
          <w:sz w:val="16"/>
          <w:szCs w:val="16"/>
          <w:i w:val="1"/>
          <w:iCs w:val="1"/>
          <w:color w:val="auto"/>
        </w:rPr>
        <w:t xml:space="preserve"> </w:t>
      </w:r>
      <w:r>
        <w:rPr>
          <w:rFonts w:ascii="Arial" w:cs="Arial" w:eastAsia="Arial" w:hAnsi="Arial"/>
          <w:sz w:val="16"/>
          <w:szCs w:val="16"/>
          <w:color w:val="auto"/>
        </w:rPr>
        <w:t>2022. Prior to WM Technology, Mr. Bay has served 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subscription streaming service with over 70 million registered users and 14 million active.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Earlier,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At Apple from 1986 to 1994, Mr. Bay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7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Mr. Bay was selected to serve on the Board based on his business experience as a founder, chief executive officer and various leadership positions of technology companies, and as a director of private and publicly-listed companies.</w:t>
      </w:r>
    </w:p>
    <w:p>
      <w:pPr>
        <w:spacing w:after="0" w:line="23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THE BOARD RECOMMENDS A VOTE IN FAVOR OF EACH NAMED NOMINEE.</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II Directors Continuing in Office Until the 2023 Annual Meeting</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i w:val="1"/>
          <w:iCs w:val="1"/>
          <w:color w:val="auto"/>
        </w:rPr>
        <w:t>Tony Aquila</w:t>
      </w:r>
      <w:r>
        <w:rPr>
          <w:rFonts w:ascii="Arial" w:cs="Arial" w:eastAsia="Arial" w:hAnsi="Arial"/>
          <w:sz w:val="17"/>
          <w:szCs w:val="17"/>
          <w:color w:val="auto"/>
        </w:rPr>
        <w:t>. Mr. Aquila, age 57, has served as a member of the Board since June 2021. In June 2019, Mr. Aquila</w:t>
      </w:r>
      <w:r>
        <w:rPr>
          <w:rFonts w:ascii="Arial" w:cs="Arial" w:eastAsia="Arial" w:hAnsi="Arial"/>
          <w:sz w:val="17"/>
          <w:szCs w:val="17"/>
          <w:i w:val="1"/>
          <w:iCs w:val="1"/>
          <w:color w:val="auto"/>
        </w:rPr>
        <w:t xml:space="preserve"> </w:t>
      </w:r>
      <w:r>
        <w:rPr>
          <w:rFonts w:ascii="Arial" w:cs="Arial" w:eastAsia="Arial" w:hAnsi="Arial"/>
          <w:sz w:val="17"/>
          <w:szCs w:val="17"/>
          <w:color w:val="auto"/>
        </w:rPr>
        <w:t>founded AFV Partners, an affirmative low-leverage capital vehicle that invests in long-term mission critical software, data and technology businesses and serves as its Chairperson and Chief Executive Officer since its founding. In 2005, Mr. Aquila founded Solera Holdings Inc., and led it as Chairperson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currently serves as the Chief Executive Officer of Canoo, Inc., a mobility technology company, since April 2021, and as the Executive Chairman of the Board of Canoo since December 2020. Mr. Aquila also serves as a member of the Arkansas Council on Future Mobility since February 2022. Mr. Aquila also serves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 since January 2020, RocketRoute Limited, global aviation services company, since March 2020, APG Avionics LLC, an aviation data and software company for the general aviation market, since September 2020. From November 2018 to July 2020, Mr. Aquila served as the Global Chairperson of Sportradar Group, a sports data and content company.</w:t>
      </w:r>
    </w:p>
    <w:p>
      <w:pPr>
        <w:spacing w:after="0" w:line="7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Mr. Aquila was selected to serve on the Board based on his business experience as a founder, inventor, chief executive officer and director of publicly-listed companies and his investing experience.</w:t>
      </w:r>
    </w:p>
    <w:p>
      <w:pPr>
        <w:spacing w:after="0" w:line="62"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i w:val="1"/>
          <w:iCs w:val="1"/>
          <w:color w:val="auto"/>
        </w:rPr>
        <w:t>Brenda Freeman</w:t>
      </w:r>
      <w:r>
        <w:rPr>
          <w:rFonts w:ascii="Arial" w:cs="Arial" w:eastAsia="Arial" w:hAnsi="Arial"/>
          <w:sz w:val="17"/>
          <w:szCs w:val="17"/>
          <w:color w:val="auto"/>
        </w:rPr>
        <w:t>. Ms. Freeman, age 57, has served as a member of the Board since June 2021. Since March, 2022,</w:t>
      </w:r>
      <w:r>
        <w:rPr>
          <w:rFonts w:ascii="Arial" w:cs="Arial" w:eastAsia="Arial" w:hAnsi="Arial"/>
          <w:sz w:val="17"/>
          <w:szCs w:val="17"/>
          <w:i w:val="1"/>
          <w:iCs w:val="1"/>
          <w:color w:val="auto"/>
        </w:rPr>
        <w:t xml:space="preserve"> </w:t>
      </w:r>
      <w:r>
        <w:rPr>
          <w:rFonts w:ascii="Arial" w:cs="Arial" w:eastAsia="Arial" w:hAnsi="Arial"/>
          <w:sz w:val="17"/>
          <w:szCs w:val="17"/>
          <w:color w:val="auto"/>
        </w:rPr>
        <w:t>Mrs. Freeman has served as Chief Brand Officer of Wunderkind Corporation and since April 2021, she has served as a partner of Debut Capital. Ms. Freeman founded and has served as President of Joyeux Advisory Group LLC, a firm providing advisory services to early-stage startups and Fortune 500 companies, since January 2018.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Ms. Freeman has been a member of the boards of directors of Blue Apron Holdings, Inc. since October 2020, of Caleres, Inc. since April 2017 and of Avnet, Inc. since November 2018. Ms. Freeman previously served on the board of directors of Herman Miller, Inc. from January 2016 to June 2019 and on the board of directors of RTW Retailwinds, Inc. from April 2019 to April 2020. Previously, Ms. Freeman served as Chief Marketing Officer at Turner Broadcasting Systems, Inc. and was Vice President, television marketing at DreamWorks Animation SKG Inc. Ms. Freeman holds a B.S. degree in chemical engineering and an M.B.A degree from the University of Maryland.</w:t>
      </w:r>
    </w:p>
    <w:p>
      <w:pPr>
        <w:spacing w:after="0" w:line="9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Ms. Freeman was selected to serve on the Board based on her business experience and technology industry expertise.</w:t>
      </w:r>
    </w:p>
    <w:p>
      <w:pPr>
        <w:spacing w:after="0" w:line="62"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i w:val="1"/>
          <w:iCs w:val="1"/>
          <w:color w:val="auto"/>
        </w:rPr>
        <w:t>Olga Gonzalez</w:t>
      </w:r>
      <w:r>
        <w:rPr>
          <w:rFonts w:ascii="Arial" w:cs="Arial" w:eastAsia="Arial" w:hAnsi="Arial"/>
          <w:sz w:val="16"/>
          <w:szCs w:val="16"/>
          <w:color w:val="auto"/>
        </w:rPr>
        <w:t>. Ms. Gonzalez, age 55, has served as a member of the Board since June 2021. Since January 2021,</w:t>
      </w:r>
      <w:r>
        <w:rPr>
          <w:rFonts w:ascii="Arial" w:cs="Arial" w:eastAsia="Arial" w:hAnsi="Arial"/>
          <w:sz w:val="16"/>
          <w:szCs w:val="16"/>
          <w:i w:val="1"/>
          <w:iCs w:val="1"/>
          <w:color w:val="auto"/>
        </w:rPr>
        <w:t xml:space="preserve"> </w:t>
      </w:r>
      <w:r>
        <w:rPr>
          <w:rFonts w:ascii="Arial" w:cs="Arial" w:eastAsia="Arial" w:hAnsi="Arial"/>
          <w:sz w:val="16"/>
          <w:szCs w:val="16"/>
          <w:color w:val="auto"/>
        </w:rPr>
        <w:t>Ms. Gonzalez has served as Global Business Leader for Wild Fork Foods, an online specialty food service. Prior to</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Prior to that,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Ms. Gonzalez was selected to serve on the Board based on her business experience and financial expertise.</w:t>
      </w:r>
    </w:p>
    <w:p>
      <w:pPr>
        <w:spacing w:after="0" w:line="3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III Directors Continuing in Office Until the 2024 Annual Meeting</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i w:val="1"/>
          <w:iCs w:val="1"/>
          <w:color w:val="auto"/>
        </w:rPr>
        <w:t>Douglas Francis</w:t>
      </w:r>
      <w:r>
        <w:rPr>
          <w:rFonts w:ascii="Arial" w:cs="Arial" w:eastAsia="Arial" w:hAnsi="Arial"/>
          <w:sz w:val="16"/>
          <w:szCs w:val="16"/>
          <w:color w:val="auto"/>
        </w:rPr>
        <w:t>. Mr. Francis, age 44, has served as a member of the Board since June 2021. Mr. Francis is a co-founder of Legacy WMH, and served as Chairperson of Legacy WMH’s board of managers since March 2019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5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Mr. Francis was selected to serve on the Board based on his perspective, experience and institutional knowledge as WMH’s co-founder and his long tenure as WMH’s President and Chief Executive Officer.</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i w:val="1"/>
          <w:iCs w:val="1"/>
          <w:color w:val="auto"/>
        </w:rPr>
        <w:t xml:space="preserve">Scott Gordon. </w:t>
      </w:r>
      <w:r>
        <w:rPr>
          <w:rFonts w:ascii="Arial" w:cs="Arial" w:eastAsia="Arial" w:hAnsi="Arial"/>
          <w:sz w:val="16"/>
          <w:szCs w:val="16"/>
          <w:color w:val="auto"/>
        </w:rPr>
        <w:t>Mr. Gordon, age 60, has served as a member of the Board since June 2021. Mr. Gordon has been the</w:t>
      </w:r>
      <w:r>
        <w:rPr>
          <w:rFonts w:ascii="Arial" w:cs="Arial" w:eastAsia="Arial" w:hAnsi="Arial"/>
          <w:sz w:val="16"/>
          <w:szCs w:val="16"/>
          <w:i w:val="1"/>
          <w:iCs w:val="1"/>
          <w:color w:val="auto"/>
        </w:rPr>
        <w:t xml:space="preserve"> </w:t>
      </w:r>
      <w:r>
        <w:rPr>
          <w:rFonts w:ascii="Arial" w:cs="Arial" w:eastAsia="Arial" w:hAnsi="Arial"/>
          <w:sz w:val="16"/>
          <w:szCs w:val="16"/>
          <w:color w:val="auto"/>
        </w:rPr>
        <w:t>Chairperson of Silver Spike’s board of directors and has served as its Chief Executive Officer since its inception. Since 2016, Mr. Gordon has been the co-founder and Chairperson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6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Mr. Gordon was selected to serve on the Board based on his experience in emerging markets and in the cannabis sector.</w:t>
      </w:r>
    </w:p>
    <w:p>
      <w:pPr>
        <w:spacing w:after="0" w:line="62"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i w:val="1"/>
          <w:iCs w:val="1"/>
          <w:color w:val="auto"/>
        </w:rPr>
        <w:t>Justin Hartfield</w:t>
      </w:r>
      <w:r>
        <w:rPr>
          <w:rFonts w:ascii="Arial" w:cs="Arial" w:eastAsia="Arial" w:hAnsi="Arial"/>
          <w:sz w:val="17"/>
          <w:szCs w:val="17"/>
          <w:color w:val="auto"/>
        </w:rPr>
        <w:t>. Mr. Hartfield, age 38, has served as a member of the Board since June 2021. Mr. Hartfield is a co-founder of Legacy WMH, and served as a member of Legacy WMH’s board of managers since inception and served as Legacy WMH’s Chairperson of the board from February 2016 to March 2019. Previously, Mr. Hartfield served as Legacy WMH’s Chief Executive Officer until February 2016. Mr. Hartfield holds a B.S. in Computer and Information Sciences and Supportive Services from the University of California, Irvine.</w:t>
      </w:r>
    </w:p>
    <w:p>
      <w:pPr>
        <w:spacing w:after="0" w:line="6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Mr. Hartfield was selected to serve on the Board based on his perspective, experience and institutional knowledge as WMH’s co-founder and his long tenure as WMH’s President and Chief Executive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1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Board Diversity</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Board Diversity Matrix below provides the diversity statistics for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66040</wp:posOffset>
            </wp:positionV>
            <wp:extent cx="5349240" cy="3223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3223260"/>
                    </a:xfrm>
                    <a:prstGeom prst="rect">
                      <a:avLst/>
                    </a:prstGeom>
                    <a:noFill/>
                  </pic:spPr>
                </pic:pic>
              </a:graphicData>
            </a:graphic>
          </wp:anchor>
        </w:drawing>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Board Diversity Matrix (as of April 28, 2022)</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00" w:type="dxa"/>
            <w:vAlign w:val="bottom"/>
          </w:tcPr>
          <w:p>
            <w:pPr>
              <w:spacing w:after="0"/>
              <w:rPr>
                <w:sz w:val="20"/>
                <w:szCs w:val="20"/>
                <w:color w:val="auto"/>
              </w:rPr>
            </w:pPr>
          </w:p>
        </w:tc>
        <w:tc>
          <w:tcPr>
            <w:tcW w:w="37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Total Number of Directors</w:t>
            </w:r>
          </w:p>
        </w:tc>
        <w:tc>
          <w:tcPr>
            <w:tcW w:w="880" w:type="dxa"/>
            <w:vAlign w:val="bottom"/>
            <w:tcBorders>
              <w:top w:val="single" w:sz="8" w:color="auto"/>
              <w:right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460"/>
              <w:spacing w:after="0"/>
              <w:rPr>
                <w:sz w:val="20"/>
                <w:szCs w:val="20"/>
                <w:color w:val="auto"/>
              </w:rPr>
            </w:pPr>
            <w:r>
              <w:rPr>
                <w:rFonts w:ascii="Arial" w:cs="Arial" w:eastAsia="Arial" w:hAnsi="Arial"/>
                <w:sz w:val="14"/>
                <w:szCs w:val="14"/>
                <w:b w:val="1"/>
                <w:bCs w:val="1"/>
                <w:color w:val="auto"/>
              </w:rPr>
              <w:t>9</w:t>
            </w:r>
          </w:p>
        </w:tc>
        <w:tc>
          <w:tcPr>
            <w:tcW w:w="1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Female</w:t>
            </w:r>
          </w:p>
        </w:tc>
        <w:tc>
          <w:tcPr>
            <w:tcW w:w="6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Male</w:t>
            </w:r>
          </w:p>
        </w:tc>
        <w:tc>
          <w:tcPr>
            <w:tcW w:w="10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Non-Binary</w:t>
            </w:r>
          </w:p>
        </w:tc>
        <w:tc>
          <w:tcPr>
            <w:tcW w:w="258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1"/>
              </w:rPr>
              <w:t>Did Not Disclose</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3"/>
              </w:rPr>
              <w:t>Gender</w:t>
            </w: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Part I: Gender Identity</w:t>
            </w:r>
          </w:p>
        </w:tc>
        <w:tc>
          <w:tcPr>
            <w:tcW w:w="880" w:type="dxa"/>
            <w:vAlign w:val="bottom"/>
            <w:tcBorders>
              <w:bottom w:val="single" w:sz="8" w:color="CCEEFF"/>
              <w:right w:val="single" w:sz="8" w:color="auto"/>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spacing w:after="0"/>
              <w:rPr>
                <w:sz w:val="24"/>
                <w:szCs w:val="24"/>
                <w:color w:val="auto"/>
              </w:rPr>
            </w:pPr>
          </w:p>
        </w:tc>
        <w:tc>
          <w:tcPr>
            <w:tcW w:w="680" w:type="dxa"/>
            <w:vAlign w:val="bottom"/>
            <w:tcBorders>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Directors</w:t>
            </w:r>
          </w:p>
        </w:tc>
        <w:tc>
          <w:tcPr>
            <w:tcW w:w="880" w:type="dxa"/>
            <w:vAlign w:val="bottom"/>
            <w:tcBorders>
              <w:top w:val="single" w:sz="8" w:color="auto"/>
              <w:right w:val="single" w:sz="8" w:color="auto"/>
            </w:tcBorders>
          </w:tcPr>
          <w:p>
            <w:pPr>
              <w:spacing w:after="0"/>
              <w:rPr>
                <w:sz w:val="22"/>
                <w:szCs w:val="22"/>
                <w:color w:val="auto"/>
              </w:rPr>
            </w:pPr>
          </w:p>
        </w:tc>
        <w:tc>
          <w:tcPr>
            <w:tcW w:w="800" w:type="dxa"/>
            <w:vAlign w:val="bottom"/>
            <w:tcBorders>
              <w:top w:val="single" w:sz="8" w:color="auto"/>
              <w:right w:val="single" w:sz="8" w:color="auto"/>
            </w:tcBorders>
          </w:tcPr>
          <w:p>
            <w:pPr>
              <w:jc w:val="right"/>
              <w:ind w:right="253"/>
              <w:spacing w:after="0"/>
              <w:rPr>
                <w:sz w:val="20"/>
                <w:szCs w:val="20"/>
                <w:color w:val="auto"/>
              </w:rPr>
            </w:pPr>
            <w:r>
              <w:rPr>
                <w:rFonts w:ascii="Arial" w:cs="Arial" w:eastAsia="Arial" w:hAnsi="Arial"/>
                <w:sz w:val="18"/>
                <w:szCs w:val="18"/>
                <w:color w:val="auto"/>
              </w:rPr>
              <w:t>3</w:t>
            </w:r>
          </w:p>
        </w:tc>
        <w:tc>
          <w:tcPr>
            <w:tcW w:w="680" w:type="dxa"/>
            <w:vAlign w:val="bottom"/>
            <w:tcBorders>
              <w:top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6</w:t>
            </w:r>
          </w:p>
        </w:tc>
        <w:tc>
          <w:tcPr>
            <w:tcW w:w="10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Part II: Demographic Background</w:t>
            </w:r>
          </w:p>
        </w:tc>
        <w:tc>
          <w:tcPr>
            <w:tcW w:w="880" w:type="dxa"/>
            <w:vAlign w:val="bottom"/>
            <w:tcBorders>
              <w:bottom w:val="single" w:sz="8" w:color="CCEEFF"/>
              <w:right w:val="single" w:sz="8" w:color="auto"/>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spacing w:after="0"/>
              <w:rPr>
                <w:sz w:val="24"/>
                <w:szCs w:val="24"/>
                <w:color w:val="auto"/>
              </w:rPr>
            </w:pPr>
          </w:p>
        </w:tc>
        <w:tc>
          <w:tcPr>
            <w:tcW w:w="680" w:type="dxa"/>
            <w:vAlign w:val="bottom"/>
            <w:tcBorders>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African American or Black</w:t>
            </w:r>
          </w:p>
        </w:tc>
        <w:tc>
          <w:tcPr>
            <w:tcW w:w="880" w:type="dxa"/>
            <w:vAlign w:val="bottom"/>
            <w:tcBorders>
              <w:top w:val="single" w:sz="8" w:color="auto"/>
              <w:right w:val="single" w:sz="8" w:color="auto"/>
            </w:tcBorders>
          </w:tcPr>
          <w:p>
            <w:pPr>
              <w:spacing w:after="0"/>
              <w:rPr>
                <w:sz w:val="22"/>
                <w:szCs w:val="22"/>
                <w:color w:val="auto"/>
              </w:rPr>
            </w:pPr>
          </w:p>
        </w:tc>
        <w:tc>
          <w:tcPr>
            <w:tcW w:w="800" w:type="dxa"/>
            <w:vAlign w:val="bottom"/>
            <w:tcBorders>
              <w:top w:val="single" w:sz="8" w:color="auto"/>
              <w:right w:val="single" w:sz="8" w:color="auto"/>
            </w:tcBorders>
          </w:tcPr>
          <w:p>
            <w:pPr>
              <w:jc w:val="right"/>
              <w:ind w:right="253"/>
              <w:spacing w:after="0"/>
              <w:rPr>
                <w:sz w:val="20"/>
                <w:szCs w:val="20"/>
                <w:color w:val="auto"/>
              </w:rPr>
            </w:pPr>
            <w:r>
              <w:rPr>
                <w:rFonts w:ascii="Arial" w:cs="Arial" w:eastAsia="Arial" w:hAnsi="Arial"/>
                <w:sz w:val="18"/>
                <w:szCs w:val="18"/>
                <w:color w:val="auto"/>
              </w:rPr>
              <w:t>1</w:t>
            </w:r>
          </w:p>
        </w:tc>
        <w:tc>
          <w:tcPr>
            <w:tcW w:w="680" w:type="dxa"/>
            <w:vAlign w:val="bottom"/>
            <w:tcBorders>
              <w:top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Alaskan Native or Native American</w:t>
            </w:r>
          </w:p>
        </w:tc>
        <w:tc>
          <w:tcPr>
            <w:tcW w:w="880" w:type="dxa"/>
            <w:vAlign w:val="bottom"/>
            <w:tcBorders>
              <w:bottom w:val="single" w:sz="8" w:color="CCEEFF"/>
              <w:right w:val="single" w:sz="8" w:color="auto"/>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right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right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Asian</w:t>
            </w:r>
          </w:p>
        </w:tc>
        <w:tc>
          <w:tcPr>
            <w:tcW w:w="880" w:type="dxa"/>
            <w:vAlign w:val="bottom"/>
            <w:tcBorders>
              <w:top w:val="single" w:sz="8" w:color="auto"/>
              <w:right w:val="single" w:sz="8" w:color="auto"/>
            </w:tcBorders>
          </w:tcPr>
          <w:p>
            <w:pPr>
              <w:spacing w:after="0"/>
              <w:rPr>
                <w:sz w:val="22"/>
                <w:szCs w:val="22"/>
                <w:color w:val="auto"/>
              </w:rPr>
            </w:pPr>
          </w:p>
        </w:tc>
        <w:tc>
          <w:tcPr>
            <w:tcW w:w="800" w:type="dxa"/>
            <w:vAlign w:val="bottom"/>
            <w:tcBorders>
              <w:top w:val="single" w:sz="8" w:color="auto"/>
              <w:right w:val="single" w:sz="8" w:color="auto"/>
            </w:tcBorders>
          </w:tcPr>
          <w:p>
            <w:pPr>
              <w:jc w:val="right"/>
              <w:ind w:right="253"/>
              <w:spacing w:after="0"/>
              <w:rPr>
                <w:sz w:val="20"/>
                <w:szCs w:val="20"/>
                <w:color w:val="auto"/>
              </w:rPr>
            </w:pPr>
            <w:r>
              <w:rPr>
                <w:rFonts w:ascii="Arial" w:cs="Arial" w:eastAsia="Arial" w:hAnsi="Arial"/>
                <w:sz w:val="18"/>
                <w:szCs w:val="18"/>
                <w:color w:val="auto"/>
              </w:rPr>
              <w:t>1</w:t>
            </w:r>
          </w:p>
        </w:tc>
        <w:tc>
          <w:tcPr>
            <w:tcW w:w="680" w:type="dxa"/>
            <w:vAlign w:val="bottom"/>
            <w:tcBorders>
              <w:top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Hispanic or Latinx</w:t>
            </w:r>
          </w:p>
        </w:tc>
        <w:tc>
          <w:tcPr>
            <w:tcW w:w="880" w:type="dxa"/>
            <w:vAlign w:val="bottom"/>
            <w:tcBorders>
              <w:bottom w:val="single" w:sz="8" w:color="CCEEFF"/>
              <w:right w:val="single" w:sz="8" w:color="auto"/>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spacing w:after="0"/>
              <w:rPr>
                <w:sz w:val="24"/>
                <w:szCs w:val="24"/>
                <w:color w:val="auto"/>
              </w:rPr>
            </w:pPr>
          </w:p>
        </w:tc>
        <w:tc>
          <w:tcPr>
            <w:tcW w:w="680" w:type="dxa"/>
            <w:vAlign w:val="bottom"/>
            <w:tcBorders>
              <w:bottom w:val="single" w:sz="8" w:color="CCEEFF"/>
              <w:right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right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3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Native Hawaiian or Pacific Islander</w:t>
            </w:r>
          </w:p>
        </w:tc>
        <w:tc>
          <w:tcPr>
            <w:tcW w:w="880" w:type="dxa"/>
            <w:vAlign w:val="bottom"/>
            <w:tcBorders>
              <w:top w:val="single" w:sz="8" w:color="auto"/>
              <w:right w:val="single" w:sz="8" w:color="auto"/>
            </w:tcBorders>
          </w:tcPr>
          <w:p>
            <w:pPr>
              <w:spacing w:after="0"/>
              <w:rPr>
                <w:sz w:val="22"/>
                <w:szCs w:val="22"/>
                <w:color w:val="auto"/>
              </w:rPr>
            </w:pPr>
          </w:p>
        </w:tc>
        <w:tc>
          <w:tcPr>
            <w:tcW w:w="800" w:type="dxa"/>
            <w:vAlign w:val="bottom"/>
            <w:tcBorders>
              <w:top w:val="single" w:sz="8" w:color="auto"/>
              <w:right w:val="single" w:sz="8" w:color="auto"/>
            </w:tcBorders>
          </w:tcPr>
          <w:p>
            <w:pPr>
              <w:jc w:val="right"/>
              <w:ind w:right="253"/>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White</w:t>
            </w:r>
          </w:p>
        </w:tc>
        <w:tc>
          <w:tcPr>
            <w:tcW w:w="880" w:type="dxa"/>
            <w:vAlign w:val="bottom"/>
            <w:tcBorders>
              <w:bottom w:val="single" w:sz="8" w:color="CCEEFF"/>
              <w:right w:val="single" w:sz="8" w:color="auto"/>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spacing w:after="0"/>
              <w:rPr>
                <w:sz w:val="24"/>
                <w:szCs w:val="24"/>
                <w:color w:val="auto"/>
              </w:rPr>
            </w:pPr>
          </w:p>
        </w:tc>
        <w:tc>
          <w:tcPr>
            <w:tcW w:w="680" w:type="dxa"/>
            <w:vAlign w:val="bottom"/>
            <w:tcBorders>
              <w:bottom w:val="single" w:sz="8" w:color="CCEEFF"/>
              <w:right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5</w:t>
            </w:r>
          </w:p>
        </w:tc>
        <w:tc>
          <w:tcPr>
            <w:tcW w:w="1080" w:type="dxa"/>
            <w:vAlign w:val="bottom"/>
            <w:tcBorders>
              <w:bottom w:val="single" w:sz="8" w:color="CCEEFF"/>
              <w:right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3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Two or More Races or Ethnicities</w:t>
            </w:r>
          </w:p>
        </w:tc>
        <w:tc>
          <w:tcPr>
            <w:tcW w:w="880" w:type="dxa"/>
            <w:vAlign w:val="bottom"/>
            <w:tcBorders>
              <w:top w:val="single" w:sz="8" w:color="auto"/>
              <w:right w:val="single" w:sz="8" w:color="auto"/>
            </w:tcBorders>
          </w:tcPr>
          <w:p>
            <w:pPr>
              <w:spacing w:after="0"/>
              <w:rPr>
                <w:sz w:val="22"/>
                <w:szCs w:val="22"/>
                <w:color w:val="auto"/>
              </w:rPr>
            </w:pPr>
          </w:p>
        </w:tc>
        <w:tc>
          <w:tcPr>
            <w:tcW w:w="800" w:type="dxa"/>
            <w:vAlign w:val="bottom"/>
            <w:tcBorders>
              <w:top w:val="single" w:sz="8" w:color="auto"/>
              <w:right w:val="single" w:sz="8" w:color="auto"/>
            </w:tcBorders>
          </w:tcPr>
          <w:p>
            <w:pPr>
              <w:jc w:val="right"/>
              <w:ind w:right="253"/>
              <w:spacing w:after="0"/>
              <w:rPr>
                <w:sz w:val="20"/>
                <w:szCs w:val="20"/>
                <w:color w:val="auto"/>
              </w:rPr>
            </w:pPr>
            <w:r>
              <w:rPr>
                <w:rFonts w:ascii="Arial" w:cs="Arial" w:eastAsia="Arial" w:hAnsi="Arial"/>
                <w:sz w:val="18"/>
                <w:szCs w:val="18"/>
                <w:color w:val="auto"/>
              </w:rPr>
              <w:t>1</w:t>
            </w:r>
          </w:p>
        </w:tc>
        <w:tc>
          <w:tcPr>
            <w:tcW w:w="680" w:type="dxa"/>
            <w:vAlign w:val="bottom"/>
            <w:tcBorders>
              <w:top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LGBTQ+</w:t>
            </w:r>
          </w:p>
        </w:tc>
        <w:tc>
          <w:tcPr>
            <w:tcW w:w="880" w:type="dxa"/>
            <w:vAlign w:val="bottom"/>
            <w:tcBorders>
              <w:bottom w:val="single" w:sz="8" w:color="CCEEFF"/>
              <w:right w:val="single" w:sz="8" w:color="auto"/>
            </w:tcBorders>
            <w:shd w:val="clear" w:color="auto" w:fill="CCEEFF"/>
          </w:tcPr>
          <w:p>
            <w:pPr>
              <w:spacing w:after="0"/>
              <w:rPr>
                <w:sz w:val="24"/>
                <w:szCs w:val="24"/>
                <w:color w:val="auto"/>
              </w:rPr>
            </w:pPr>
          </w:p>
        </w:tc>
        <w:tc>
          <w:tcPr>
            <w:tcW w:w="800" w:type="dxa"/>
            <w:vAlign w:val="bottom"/>
            <w:tcBorders>
              <w:bottom w:val="single" w:sz="8" w:color="CCEEFF"/>
              <w:right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spacing w:after="0"/>
              <w:rPr>
                <w:sz w:val="24"/>
                <w:szCs w:val="24"/>
                <w:color w:val="auto"/>
              </w:rPr>
            </w:pPr>
          </w:p>
        </w:tc>
        <w:tc>
          <w:tcPr>
            <w:tcW w:w="1080" w:type="dxa"/>
            <w:vAlign w:val="bottom"/>
            <w:tcBorders>
              <w:bottom w:val="single" w:sz="8" w:color="CCEEFF"/>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3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Did Not Disclose Demographic Background</w:t>
            </w:r>
          </w:p>
        </w:tc>
        <w:tc>
          <w:tcPr>
            <w:tcW w:w="880" w:type="dxa"/>
            <w:vAlign w:val="bottom"/>
            <w:tcBorders>
              <w:top w:val="single" w:sz="8" w:color="auto"/>
              <w:right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1</w:t>
            </w:r>
          </w:p>
        </w:tc>
        <w:tc>
          <w:tcPr>
            <w:tcW w:w="12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1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68"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Messrs. Aquila, Bay and Gordon and Mses. Freeman, Gonzalez and Tan. Ms. Freeman served as the lead independent director from the completion of our business combination with Silver Spike Acquisition Corp (the “Business Combination”) until the appointment of our independent Chairperson, Mr. Bay.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“Related Person Transactions.”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Board has an independent Chairperson, Mr. Bay, who has authority, among other things, to call and preside over Board meetings, including meetings of the independent directors, to set meeting agendas and to determine materials to be distributed to the Board. Accordingly, the Chairperson has substantial ability to shape the work of the Board. The Company believes that separation of the positions of the Chairperson and Chief Executive Officer reinforces the independence of the Board in its oversight of the business and affairs of the Company. In addition, the Company believes that having an independent Chairperson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Chairperson can enhance the effectiveness of the Board as a whole.</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committees that address risks inherent in their respective areas of oversight. In particular, the Board is responsible for monitoring and assessing strategic risk exposure, including a determination of the nature and level of risk appropriate for the Company. The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is also responsible for monitoring compliance with legal and regulatory requirements, in addition to oversight of the performance of our internal audit function. The Audit Committee’s responsibilities also include oversight of cybersecurity risk management.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While the Board and its committees oversee risk management strategy, management is responsible for implementing and supervising day-to-day risk management processes and reporting to the Board and its committees on such matters.</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Meetings of the Board of Directors</w:t>
      </w:r>
    </w:p>
    <w:p>
      <w:pPr>
        <w:spacing w:after="0" w:line="12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The Board of Directors of Silver Spike Acquisition Corp (“Silver Spike”) met one time during the last fiscal year. Each member of the Board of Directors of Silver Spike attended 75% or more of the aggregate number of meetings of the Board and of the committees on which they served, held during the portion of the last fiscal year for which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they were a director or committee member. Following the completion of our Business Combination in June 2021, the Board met two times during 2021. Each Board member attended 75% or more of the aggregate number of meetings of the Board and of the committees on which they served, held during the portion of the last fiscal year for which they were a director or committee member.</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Regarding Committees of the Board of Directors</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Board established the Audit Committee, the Compensation Committee and the Nominating And Corporate Governance Committee. The Board adopted a charter for each of these committees, which complies with the applicable requirements of current Nasdaq rules and can be found at our website at ir.weedmaps.com.We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2021 for each of the standing Board committees:</w:t>
      </w:r>
    </w:p>
    <w:p>
      <w:pPr>
        <w:spacing w:after="0" w:line="10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Audit</w:t>
            </w: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Compensation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86"/>
        </w:trPr>
        <w:tc>
          <w:tcPr>
            <w:tcW w:w="4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Corporate Governance</w:t>
            </w:r>
          </w:p>
        </w:tc>
        <w:tc>
          <w:tcPr>
            <w:tcW w:w="0" w:type="dxa"/>
            <w:vAlign w:val="bottom"/>
          </w:tcPr>
          <w:p>
            <w:pPr>
              <w:spacing w:after="0"/>
              <w:rPr>
                <w:sz w:val="1"/>
                <w:szCs w:val="1"/>
                <w:color w:val="auto"/>
              </w:rPr>
            </w:pPr>
          </w:p>
        </w:tc>
      </w:tr>
      <w:tr>
        <w:trPr>
          <w:trHeight w:val="53"/>
        </w:trPr>
        <w:tc>
          <w:tcPr>
            <w:tcW w:w="428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Tony Aquila</w:t>
            </w:r>
          </w:p>
        </w:tc>
        <w:tc>
          <w:tcPr>
            <w:tcW w:w="4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X**</w:t>
            </w: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Arial" w:cs="Arial" w:eastAsia="Arial" w:hAnsi="Arial"/>
                <w:sz w:val="18"/>
                <w:szCs w:val="18"/>
                <w:color w:val="auto"/>
              </w:rPr>
              <w:t>Christopher Beals*</w:t>
            </w: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Douglas Francis</w:t>
            </w:r>
          </w:p>
        </w:tc>
        <w:tc>
          <w:tcPr>
            <w:tcW w:w="4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Arial" w:cs="Arial" w:eastAsia="Arial" w:hAnsi="Arial"/>
                <w:sz w:val="18"/>
                <w:szCs w:val="18"/>
                <w:color w:val="auto"/>
              </w:rPr>
              <w:t>Brenda Freeman</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tcPr>
          <w:p>
            <w:pPr>
              <w:jc w:val="right"/>
              <w:ind w:right="397"/>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Olga Gonzalez</w:t>
            </w:r>
          </w:p>
        </w:tc>
        <w:tc>
          <w:tcPr>
            <w:tcW w:w="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w:t>
            </w:r>
          </w:p>
        </w:tc>
        <w:tc>
          <w:tcPr>
            <w:tcW w:w="8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X</w:t>
            </w: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Justin Hartfield</w:t>
            </w:r>
          </w:p>
        </w:tc>
        <w:tc>
          <w:tcPr>
            <w:tcW w:w="4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Arial" w:cs="Arial" w:eastAsia="Arial" w:hAnsi="Arial"/>
                <w:sz w:val="18"/>
                <w:szCs w:val="18"/>
                <w:color w:val="auto"/>
              </w:rPr>
              <w:t>Fiona Tan</w:t>
            </w: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meetings in the year ended December 31, 2021</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4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4"/>
        </w:trPr>
        <w:tc>
          <w:tcPr>
            <w:tcW w:w="42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-1868170</wp:posOffset>
            </wp:positionV>
            <wp:extent cx="291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-1868170</wp:posOffset>
            </wp:positionV>
            <wp:extent cx="291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-1868170</wp:posOffset>
            </wp:positionV>
            <wp:extent cx="291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Chairperson</w:t>
      </w:r>
    </w:p>
    <w:p>
      <w:pPr>
        <w:spacing w:after="0" w:line="42" w:lineRule="exact"/>
        <w:rPr>
          <w:sz w:val="20"/>
          <w:szCs w:val="20"/>
          <w:color w:val="auto"/>
        </w:rPr>
      </w:pPr>
    </w:p>
    <w:p>
      <w:pPr>
        <w:ind w:left="640" w:hanging="34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Committee Chair</w:t>
      </w:r>
    </w:p>
    <w:p>
      <w:pPr>
        <w:spacing w:after="0" w:line="10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Audit Committee consists of Mses. Gonzalez and Freeman and Messrs. Bay and Gordon. The Board has determined that each of the members of the Audit Committee satisfy the independence requirements of Nasdaq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84"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We named Ms. Gonzalez as the chair of the Audit Committee. The Board determined that Ms. Gonzalez qualifies as an audit committee financial expert within the meaning of SEC regulations and meets the financial sophistication requirements of Nasdaq listing rules. In making this determination, the Board considered Ms. Gonzalez’s formal education and previous experience in financial roles. Both our independent registered public accounting firm and management periodically will meet privately with our audit committee.</w:t>
      </w:r>
    </w:p>
    <w:p>
      <w:pPr>
        <w:spacing w:after="0" w:line="68"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During 2021 and prior to completion of the Business Combination (the “Closing”), Orrin Devinsky, Richard Goldman and Kenneth Landis served on the audit committee of SSPK, our predecessor, with Kenneth Landis serving as the chair of the audit committee of Silver Spike Acquisition Corp. (“SSPK”). The audit committee of SSPK met two times during 2021. The current Audit Committee, established in June 2021 after the completion of the Business Combination, met three times during 2021.</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 the hiring, discharging and compensation of our independent registered public accounting firm; oversee the work of our independent registered public accounting firm;</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 engagements of the independent registered public accounting firm to render any audit or permissible non-audit services;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the qualifications, independence and performance of the independent registered public accounting firm;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approve related party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registered public accounting firm the results of our annual audit, our quarterly financial statements and our publicly filed reports.</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Report of the Audit Committee of the Board of Directors</w:t>
      </w:r>
      <w:r>
        <w:rPr>
          <w:rFonts w:ascii="Arial" w:cs="Arial" w:eastAsia="Arial" w:hAnsi="Arial"/>
          <w:sz w:val="29"/>
          <w:szCs w:val="29"/>
          <w:b w:val="1"/>
          <w:bCs w:val="1"/>
          <w:color w:val="auto"/>
          <w:vertAlign w:val="superscript"/>
        </w:rPr>
        <w:t>(1)</w:t>
      </w:r>
    </w:p>
    <w:p>
      <w:pPr>
        <w:spacing w:after="0" w:line="20"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The Audit Committee has reviewed and discussed the audited financial statements for the fiscal year ended December 31, 2021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2021.</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Respectfully submitted by the members of the Audit Committee of the Board.</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Olga Gonzalez (chair)</w:t>
      </w:r>
      <w:r>
        <w:rPr>
          <w:rFonts w:ascii="Arial" w:cs="Arial" w:eastAsia="Arial" w:hAnsi="Arial"/>
          <w:sz w:val="29"/>
          <w:szCs w:val="29"/>
          <w:color w:val="auto"/>
          <w:vertAlign w:val="superscript"/>
        </w:rPr>
        <w:t>(2)</w:t>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Brenda Freeman</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Scott Gordon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Anthony 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143510</wp:posOffset>
            </wp:positionV>
            <wp:extent cx="822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5" w:lineRule="exact"/>
        <w:rPr>
          <w:sz w:val="20"/>
          <w:szCs w:val="20"/>
          <w:color w:val="auto"/>
        </w:rPr>
      </w:pPr>
    </w:p>
    <w:p>
      <w:pPr>
        <w:jc w:val="both"/>
        <w:ind w:left="640" w:right="299" w:hanging="348"/>
        <w:spacing w:after="0" w:line="238"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Olga Gonzalez served as the chair of our Audit Committee until March 7, 2022.</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Compensation Committee consists of Messrs. Aquila, Bay and Gordon. We named Mr. Aquila as the chair of the Compensation Committee. The Board has determined that each of the members of the Compensation Committee is a non-employee director, as defined in Rule 16b-3 promulgated under the Exchange Act and satisfies the independence requirements of Nasdaq.</w:t>
      </w:r>
    </w:p>
    <w:p>
      <w:pPr>
        <w:spacing w:after="0" w:line="7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During 2021 and prior to completion of the Business Combination, Orrin Devinsky, Richard Goldman and Kenneth Landis served on the compensation committee of SSPK, our predecessor, with Richard Goldman serving as the chair of the compensation committee of SSPK. The compensation committee of SSPK did not meet during 2021. The current Compensation Committee, established in June 2021 after the completion of the Business Combination, met three times during 2021.</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functions of the Compensation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review and recommend policies relating to compensation and benefits of our officers and employees;</w:t>
      </w:r>
    </w:p>
    <w:p>
      <w:pPr>
        <w:spacing w:after="0" w:line="12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Processes and Procedures</w:t>
      </w:r>
    </w:p>
    <w:p>
      <w:pPr>
        <w:spacing w:after="0" w:line="12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Typically, the Compensation Committee meets quarterly and with greater frequency if necessary. The agenda for each meeting is usually developed by the Chair of the Compensation Committee, in consultation with the Chief Executive Officer and the General Counsel. The Compensation Committee meets regularly in executive session. However, from time to time, the Compensation Committee may invite to its meetings any director, officer or employee of the 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63"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During the past fiscal year, after taking into consideration those factors prescribed by the SEC and Nasdaq, the Compensation Committee engaged Compensia Inc. (“Compensia”) as compensation consultants.</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During the year ended December 31, 2021, Compensia provided the following services:</w:t>
      </w:r>
    </w:p>
    <w:p>
      <w:pPr>
        <w:spacing w:after="0" w:line="117"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assisted the Compensation Committee in refreshing our compensation peer group;</w:t>
      </w:r>
    </w:p>
    <w:p>
      <w:pPr>
        <w:spacing w:after="0" w:line="117" w:lineRule="exact"/>
        <w:rPr>
          <w:rFonts w:ascii="Arial" w:cs="Arial" w:eastAsia="Arial" w:hAnsi="Arial"/>
          <w:sz w:val="18"/>
          <w:szCs w:val="18"/>
          <w:color w:val="auto"/>
        </w:rPr>
      </w:pPr>
    </w:p>
    <w:p>
      <w:pPr>
        <w:jc w:val="both"/>
        <w:ind w:left="1000" w:right="319" w:hanging="348"/>
        <w:spacing w:after="0" w:line="279"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provided competitive market data based on the compensation peer group for our executive officer positions, as well as broader technology company survey data, and evaluated how the compensation we pay our executive officers compares both to our performance and to how the companies in our compensation peer group and broader technology industry compensate their executives; and</w:t>
      </w:r>
    </w:p>
    <w:p>
      <w:pPr>
        <w:spacing w:after="0" w:line="63" w:lineRule="exact"/>
        <w:rPr>
          <w:rFonts w:ascii="Arial" w:cs="Arial" w:eastAsia="Arial" w:hAnsi="Arial"/>
          <w:sz w:val="17"/>
          <w:szCs w:val="17"/>
          <w:color w:val="auto"/>
        </w:rPr>
      </w:pPr>
    </w:p>
    <w:p>
      <w:pPr>
        <w:ind w:left="1000" w:right="299" w:hanging="348"/>
        <w:spacing w:after="0" w:line="34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provided guidance on other compensation topics including, equity design and programs, burn rates and overhang levels, initial public offering equity compensation plans, and ad hoc market data and practices.</w:t>
      </w:r>
    </w:p>
    <w:p>
      <w:pPr>
        <w:spacing w:after="0" w:line="16"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The Compensation Committee typically makes most of the significant adjustments to annual compensation, and determines base salary, bonus and equity awards at one or more meetings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68"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The Compensation Committee has evaluated its relationship with Compensia to ensure that it believes that such firm is independent from management. This review process included a review of the services that such compensation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consultant provided, the quality of those services and the fees associated with the services provided during 2021.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None of the intended members of the Compensation Committee has ever been our executive officer or employee. None of our executive officers currently serve, or has served during the last completed fiscal year, on the compensation committee or board of directors of any other entity that has one or more executive officers that will serve as a member of the Board or Compensation Committee.</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Report</w:t>
      </w:r>
      <w:r>
        <w:rPr>
          <w:rFonts w:ascii="Arial" w:cs="Arial" w:eastAsia="Arial" w:hAnsi="Arial"/>
          <w:sz w:val="29"/>
          <w:szCs w:val="29"/>
          <w:b w:val="1"/>
          <w:bCs w:val="1"/>
          <w:color w:val="auto"/>
          <w:vertAlign w:val="superscript"/>
        </w:rPr>
        <w:t>(1)</w:t>
      </w:r>
    </w:p>
    <w:p>
      <w:pPr>
        <w:spacing w:after="0" w:line="20" w:lineRule="exact"/>
        <w:rPr>
          <w:sz w:val="20"/>
          <w:szCs w:val="20"/>
          <w:color w:val="auto"/>
        </w:rPr>
      </w:pPr>
    </w:p>
    <w:p>
      <w:pPr>
        <w:jc w:val="both"/>
        <w:ind w:left="300" w:right="299"/>
        <w:spacing w:after="0" w:line="294"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(“CD&amp;A”) contained in this proxy statement. Based on this review and discussion, the Compensation Committee has recommended to the Board of Directors that the CD&amp;A be included in this proxy statement and incorporated into the Company’s Annual Report on Form 10-K for the fiscal year ended December 31, 2021.</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Tony Aquila (chair)</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Anthony Bay</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194945</wp:posOffset>
            </wp:positionV>
            <wp:extent cx="8229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36" w:lineRule="exact"/>
        <w:rPr>
          <w:sz w:val="20"/>
          <w:szCs w:val="20"/>
          <w:color w:val="auto"/>
        </w:rPr>
      </w:pPr>
    </w:p>
    <w:p>
      <w:pPr>
        <w:jc w:val="both"/>
        <w:ind w:left="640" w:right="299" w:hanging="348"/>
        <w:spacing w:after="0" w:line="238"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Nominating and Corporate Governance Committee consists of Mses. Tan and Freeman. Ms. Freeman serves as the chair of the Nominating and Corporate Governance Committee. The Board has determined that each of the members of the Nominating and Corporate Governance Committee satisfies the independence requirements of Nasdaq.</w:t>
      </w:r>
    </w:p>
    <w:p>
      <w:pPr>
        <w:spacing w:after="0" w:line="7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During 2021 and prior to completion of the Business Combination, Orrin Devinsky, Richard Goldman and Kenneth Landis served on the nominating committee of SSPK, our predecessor, with Orrin Devinsky serving as the chair of the nominating committee of SSPK. The nominating committee of SSPK did not meet during 2021. The current Nominating and Corporate Governance Committee, established in June 2021 after the completion of the Business Combination, met two times during 2021.</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functions of the Nominating and Corporate Governance Committee include, among other things:</w:t>
      </w:r>
    </w:p>
    <w:p>
      <w:pPr>
        <w:spacing w:after="0" w:line="117" w:lineRule="exact"/>
        <w:rPr>
          <w:sz w:val="20"/>
          <w:szCs w:val="20"/>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the Board and its committees;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assess the performance of members of the Board and make recommendations regarding committee and chair assignments;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 desired qualifications for board of directors membership and conduct searches for potential members of the Board;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117"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84"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Commencing in 2022, the Nominating and Corporate Governance Committee will also take into account the results of the Board’s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2021, the Nominating and Corporate Governance Committee paid fees to Russell Reynolds Associates and True Capital Partners, LLC to assist in the process of identifying or evaluating director candidates.</w:t>
      </w:r>
    </w:p>
    <w:p>
      <w:pPr>
        <w:spacing w:after="0" w:line="6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70"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color w:val="auto"/>
        </w:rPr>
        <w:t>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color w:val="auto"/>
        </w:rPr>
        <w:t>The Board has documented our governance practices by adopting Corporate Governance Guidelines to assure that the Board will have the necessary authority and practices in place to review and evaluate our business operations 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and compensation. Our Corporate Governance Guidelines, as well as the charters for each committee of the Board, may be viewed at investors.weedmaps.com.</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Hedging Policy</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360" w:lineRule="exact"/>
        <w:rPr>
          <w:sz w:val="20"/>
          <w:szCs w:val="20"/>
          <w:color w:val="auto"/>
        </w:rPr>
      </w:pPr>
    </w:p>
    <w:p>
      <w:pPr>
        <w:jc w:val="center"/>
        <w:ind w:left="300" w:right="359"/>
        <w:spacing w:after="0" w:line="282" w:lineRule="auto"/>
        <w:rPr>
          <w:sz w:val="20"/>
          <w:szCs w:val="20"/>
          <w:color w:val="auto"/>
        </w:rPr>
      </w:pPr>
      <w:r>
        <w:rPr>
          <w:rFonts w:ascii="Arial" w:cs="Arial" w:eastAsia="Arial" w:hAnsi="Arial"/>
          <w:sz w:val="18"/>
          <w:szCs w:val="18"/>
          <w:b w:val="1"/>
          <w:bCs w:val="1"/>
          <w:color w:val="auto"/>
        </w:rPr>
        <w:t>ADVISORY VOTE, ON A NON-BINDING BASIS, TO APPROVE THE COMPENSATION OF OUR NAMED EXECUTIVE OFFICERS FOR THE YEAR ENDED 2021</w:t>
      </w:r>
    </w:p>
    <w:p>
      <w:pPr>
        <w:spacing w:after="0" w:line="5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Under the Dodd-Frank Wall Street Reform and Consumer Protection Act (the “Dodd-Frank Act”), and Section 14A of the Exchange Act, the Company’s stockholders are entitled to vote to approve, on a non-binding advisory basis, the compensation of the Company’s Named Executive Officers as disclosed in this Proxy Statement in accordance with SEC rules.</w:t>
      </w:r>
    </w:p>
    <w:p>
      <w:pPr>
        <w:spacing w:after="0" w:line="79"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Discussion and Analysis, the compensation tables, and the related narrative disclosure contained in this Proxy Statement. As discussed in those disclosures, the Company believes that its compensation policies and decisions are reasonable, competitive, and appropriately balance the goals of attracting, motivating, rewarding, and retaining its Named Executive Officers with the goal of aligning their interests with those of the stockholders. Compensation of the Company’s Named Executive Officers is designed to enable the Company to attract and retain talented and experienced executives to lead the Company successfully in a competitive environment.</w:t>
      </w:r>
    </w:p>
    <w:p>
      <w:pPr>
        <w:spacing w:after="0" w:line="5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Accordingly, the Board is asking the Company’s stockholders to indicate their support for the compensation of the Company’s Named Executive Officers as described in this Proxy Statement by casting a non-binding advisory vote “FOR” the following resolution:</w:t>
      </w:r>
    </w:p>
    <w:p>
      <w:pPr>
        <w:spacing w:after="0" w:line="7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76"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Because the vote is advisory, it is not binding on the Board of Directors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63"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Advisory approval of this proposal requires the vote of the holders of a majority in voting power of the shares of Common Stock present or represented by proxy and entitled to vote on the matter at the Annual Meeting. Unless the Board decides to modify its policy regarding the frequency of soliciting advisory votes on the compensation of the Company’s Named Executive Officers, the next scheduled say-on-pay vote will be at the 2023 Annual Meeting of Stockholders.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IN FAVOR OF PROPOSAL NO.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360" w:lineRule="exact"/>
        <w:rPr>
          <w:sz w:val="20"/>
          <w:szCs w:val="20"/>
          <w:color w:val="auto"/>
        </w:rPr>
      </w:pPr>
    </w:p>
    <w:p>
      <w:pPr>
        <w:jc w:val="center"/>
        <w:ind w:left="300" w:right="359"/>
        <w:spacing w:after="0" w:line="282" w:lineRule="auto"/>
        <w:rPr>
          <w:sz w:val="20"/>
          <w:szCs w:val="20"/>
          <w:color w:val="auto"/>
        </w:rPr>
      </w:pPr>
      <w:r>
        <w:rPr>
          <w:rFonts w:ascii="Arial" w:cs="Arial" w:eastAsia="Arial" w:hAnsi="Arial"/>
          <w:sz w:val="18"/>
          <w:szCs w:val="18"/>
          <w:b w:val="1"/>
          <w:bCs w:val="1"/>
          <w:color w:val="auto"/>
        </w:rPr>
        <w:t>ADVISORY VOTE, ON A NON-BINDING BASIS, ON THE FREQUENCY OF SOLICITATION OF ADVISORY STOCKHOLDER APPROVAL OF EXECUTIVE COMPENSATION</w:t>
      </w:r>
    </w:p>
    <w:p>
      <w:pPr>
        <w:spacing w:after="0" w:line="58"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Dodd-Frank Act and Section 14A of the Exchange Act, enable the Company’s stockholders, at least once every six years, to indicate their preference regarding how frequently the Company should solicit a non-binding advisory vote on the compensation of the Company’s Named Executive Officers as disclosed in the Company’s proxy statement. Accordingly, the Company is asking stockholders to indicate whether they would prefer a non-binding advisory vote every year, every other year or every three years. Alternatively, stockholders may abstain from casting a vote. For the reasons described below, the Board recommends that the stockholders select a frequency of one year.</w:t>
      </w:r>
    </w:p>
    <w:p>
      <w:pPr>
        <w:spacing w:after="0" w:line="5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After considering the benefits and consequences of each alternative, the Board recommends that the non-binding advisory vote on the compensation of the Company’s Named Executive Officers be submitted to the stockholders every year.</w:t>
      </w:r>
    </w:p>
    <w:p>
      <w:pPr>
        <w:spacing w:after="0" w:line="76"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The Board believes that a non-binding advisory vote every year on the compensation of the Company’s Named Executive Officers promotes accountability and transparency of our executive compensation program and the continuing evolution of our business. While the Board believes that its recommendation is appropriate at this time, the stockholders are not voting to approve or disapprove that recommendation, but are instead asked to indicate their preferences, on a non-binding advisory basis, as to whether the non-binding advisory vote on the approval of the Company’s executive officer compensation practices should be held every year, every other year or every three years. The option among those choices that receives the votes of the holders of a majority in voting power of the shares of Common Stock present or represented by proxy and entitled to vote at the Annual Meeting will be deemed to be the frequency preferred by the stockholders.</w:t>
      </w:r>
    </w:p>
    <w:p>
      <w:pPr>
        <w:spacing w:after="0" w:line="73"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Board and the Compensation Committee value the opinions of the stockholders in this matter and, to the extent there is any significant vote in favor of one frequency over the other options, even if less than a majority, the Board will consider the stockholders’ concerns and evaluate any appropriate next steps. However, because this vote is advisory and, therefore, not binding on the Board, the Board may decide that it is in the best interests of the stockholders that the Company hold a non-binding advisory vote on executive compensation more or less frequently than the option preferred by the stockholders. The vote will not be construed to create or imply any change or addition to the fiduciary duties of the Company or the Board.</w:t>
      </w:r>
    </w:p>
    <w:p>
      <w:pPr>
        <w:spacing w:after="0" w:line="335"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THE BOARD RECOMMENDS A VOTE, ON A NON-BINDING ADVISORY BASIS, IN FAVOR OF “ONE YEAR” ON PROPOSAL NO. 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SELECTION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03"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Audit Committee has selected Baker Tilly US, LLP (“Baker Tilly”) as our independent registered public accounting firm for the year ending December 31, 2022 and has further directed that management submit the selection of its independent registered public accounting firm for ratification by the stockholders at the annual meeting. Baker Tilly (and its predecessor by acquisition, Squar Milner, which it acquired on November 1, 2020) has audited our financial statements since the year ended December 31, 2013. Representatives of Baker Tilly are expected to be present at the Annual Meeting. They will have an opportunity to make a statement if they so desire and will be available to respond to appropriate questions.</w:t>
      </w:r>
    </w:p>
    <w:p>
      <w:pPr>
        <w:spacing w:after="0" w:line="69"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Neither our Bylaws nor other governing documents or law require stockholder ratification of the selection of Baker Tilly as our independent registered public accounting firm. However, the Audit Committee is submitting the selection of Baker Tilly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for us and our stockholders.</w:t>
      </w:r>
    </w:p>
    <w:p>
      <w:pPr>
        <w:spacing w:after="0" w:line="8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affirmative vote of the holders of a majority in voting power of the shares present by remote communication or represented by proxy and entitled to vote on the matter at the annual meeting will be required to ratify the selection of Baker Tilly.</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 in Independent Registered Accounting Firm</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On June 16, 2021 (the “Closing Date”), the Board approved the engagement of Baker Tilly as our independent registered public accounting firm to audit our consolidated financial statements for the year ending December 31, 2021. Baker Tilly served as the independent registered public accounting firm of WM Holding Company, LLC, (when referred to in its pre-Business Combination capacity, “Legacy WMH”) prior to the Business Combination. Accordingly, Marcum LLP (“Marcum”), the SSPK’s independent registered public accounting firm prior to the Business Combination, was informed on the Closing Date that it would be dismissed and replaced by Baker Tilly as our independent registered public accounting firm.</w:t>
      </w:r>
    </w:p>
    <w:p>
      <w:pPr>
        <w:spacing w:after="0" w:line="6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Marcum’s report on the SSPK’s balance sheets as of December 31, 2020 and 2019, the related statements of operations, stockholders’ equity and cash flows for the year ended December 31, 2020 and for the period from June 7, 2019 (inception) to December 31, 2019, and the related notes to the financial statements (collectively, the “financial statements”) did not contain any adverse opinion or disclaimer of opinion, nor were they qualified or modified as to uncertainty, audit scope or accounting principles, except for the substantial doubt about SSPK’s ability to continue as a going concern.</w:t>
      </w:r>
    </w:p>
    <w:p>
      <w:pPr>
        <w:spacing w:after="0" w:line="84"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During the period from June 7, 2019 (inception) to December 31, 2020 and the subsequent interim period through June 21, 2021, there were no: (i) disagreements with Marcum on any matter of accounting principles or practices, financial statement disclosures or audited scope or procedures, which disagreements if not resolved to Marcum’s satisfaction would have caused Marcum to make reference to the subject matter of the disagreement in connection with its report or (ii) reportable events as defined in Item 304(a)(1)(v) of Regulation S-K under the Exchange Act.</w:t>
      </w:r>
    </w:p>
    <w:p>
      <w:pPr>
        <w:spacing w:after="0" w:line="53"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During the period from June 7, 2019 (inception) to December 31, 2020, and the interim period through March 31, 2021, we did not consult Baker Tilly with respect to either (i) the application of accounting principles to a specified transaction, either completed or proposed; or the type of audit opinion that might be rendered on our financial statements, and no written report or oral advice was provided to us by Baker Tilly that Baker Tilly concluded was an important factor considered by us in reaching a decision as to the accounting, auditing or financial reporting issue; or</w:t>
      </w:r>
    </w:p>
    <w:p>
      <w:pPr>
        <w:spacing w:after="0" w:line="2" w:lineRule="exact"/>
        <w:rPr>
          <w:sz w:val="20"/>
          <w:szCs w:val="20"/>
          <w:color w:val="auto"/>
        </w:rPr>
      </w:pPr>
    </w:p>
    <w:p>
      <w:pPr>
        <w:jc w:val="both"/>
        <w:ind w:left="300" w:right="319" w:hanging="8"/>
        <w:spacing w:after="0" w:line="253" w:lineRule="auto"/>
        <w:tabs>
          <w:tab w:leader="none" w:pos="5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matter that was either the subject of a disagreement, 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spacing w:after="0" w:line="85"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have provided Marcum with a copy of the disclosures made by us and received from Marcum a letter addressed to the SEC stating whether it agrees with the statements made by the Company in response to this Item 4.01 and, if not, stating the respects in which it does not agree. The letter from Marcum was filed as Exhibit 16.1 to our Current Report on Form 8-K filed with the SEC on June 22, 2021.</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2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years ended December 31, 2020 and December 31, 2021, by Baker Tilly, the Company’s principal accountant.</w:t>
      </w:r>
    </w:p>
    <w:p>
      <w:pPr>
        <w:spacing w:after="0" w:line="135"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39370</wp:posOffset>
            </wp:positionV>
            <wp:extent cx="10375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360" w:type="dxa"/>
            <w:vAlign w:val="bottom"/>
            <w:gridSpan w:val="2"/>
          </w:tcPr>
          <w:p>
            <w:pPr>
              <w:jc w:val="center"/>
              <w:ind w:left="2636"/>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4080" w:type="dxa"/>
            <w:vAlign w:val="bottom"/>
            <w:tcBorders>
              <w:bottom w:val="single" w:sz="8" w:color="CCEEFF"/>
            </w:tcBorders>
          </w:tcPr>
          <w:p>
            <w:pPr>
              <w:spacing w:after="0"/>
              <w:rPr>
                <w:sz w:val="4"/>
                <w:szCs w:val="4"/>
                <w:color w:val="auto"/>
              </w:rPr>
            </w:pPr>
          </w:p>
        </w:tc>
        <w:tc>
          <w:tcPr>
            <w:tcW w:w="27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31"/>
        </w:trPr>
        <w:tc>
          <w:tcPr>
            <w:tcW w:w="408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3380" w:type="dxa"/>
            <w:vAlign w:val="bottom"/>
            <w:gridSpan w:val="3"/>
            <w:shd w:val="clear" w:color="auto" w:fill="CCEEFF"/>
          </w:tcPr>
          <w:p>
            <w:pPr>
              <w:jc w:val="center"/>
              <w:ind w:left="2616"/>
              <w:spacing w:after="0"/>
              <w:rPr>
                <w:sz w:val="20"/>
                <w:szCs w:val="20"/>
                <w:color w:val="auto"/>
              </w:rPr>
            </w:pPr>
            <w:r>
              <w:rPr>
                <w:rFonts w:ascii="Arial" w:cs="Arial" w:eastAsia="Arial" w:hAnsi="Arial"/>
                <w:sz w:val="18"/>
                <w:szCs w:val="18"/>
                <w:color w:val="auto"/>
                <w:w w:val="90"/>
              </w:rPr>
              <w:t>$458,050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$162,000</w:t>
            </w:r>
          </w:p>
        </w:tc>
        <w:tc>
          <w:tcPr>
            <w:tcW w:w="20" w:type="dxa"/>
            <w:vAlign w:val="bottom"/>
            <w:shd w:val="clear" w:color="auto" w:fill="CCEEFF"/>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Audit-Related Fees</w:t>
            </w:r>
          </w:p>
        </w:tc>
        <w:tc>
          <w:tcPr>
            <w:tcW w:w="3380" w:type="dxa"/>
            <w:vAlign w:val="bottom"/>
            <w:gridSpan w:val="3"/>
          </w:tcPr>
          <w:p>
            <w:pPr>
              <w:jc w:val="right"/>
              <w:ind w:right="20"/>
              <w:spacing w:after="0"/>
              <w:rPr>
                <w:sz w:val="20"/>
                <w:szCs w:val="20"/>
                <w:color w:val="auto"/>
              </w:rPr>
            </w:pPr>
            <w:r>
              <w:rPr>
                <w:rFonts w:ascii="Arial" w:cs="Arial" w:eastAsia="Arial" w:hAnsi="Arial"/>
                <w:sz w:val="18"/>
                <w:szCs w:val="18"/>
                <w:color w:val="auto"/>
              </w:rPr>
              <w:t>142,312</w:t>
            </w:r>
          </w:p>
        </w:tc>
        <w:tc>
          <w:tcPr>
            <w:tcW w:w="260" w:type="dxa"/>
            <w:vAlign w:val="bottom"/>
          </w:tcPr>
          <w:p>
            <w:pPr>
              <w:spacing w:after="0"/>
              <w:rPr>
                <w:sz w:val="23"/>
                <w:szCs w:val="23"/>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40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27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56"/>
        </w:trPr>
        <w:tc>
          <w:tcPr>
            <w:tcW w:w="4080" w:type="dxa"/>
            <w:vAlign w:val="bottom"/>
          </w:tcPr>
          <w:p>
            <w:pPr>
              <w:spacing w:after="0" w:line="256"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(2)</w:t>
            </w:r>
          </w:p>
        </w:tc>
        <w:tc>
          <w:tcPr>
            <w:tcW w:w="27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123,412</w:t>
            </w:r>
          </w:p>
        </w:tc>
        <w:tc>
          <w:tcPr>
            <w:tcW w:w="20" w:type="dxa"/>
            <w:vAlign w:val="bottom"/>
          </w:tcPr>
          <w:p>
            <w:pPr>
              <w:spacing w:after="0"/>
              <w:rPr>
                <w:sz w:val="22"/>
                <w:szCs w:val="22"/>
                <w:color w:val="auto"/>
              </w:rPr>
            </w:pPr>
          </w:p>
        </w:tc>
      </w:tr>
      <w:tr>
        <w:trPr>
          <w:trHeight w:val="61"/>
        </w:trPr>
        <w:tc>
          <w:tcPr>
            <w:tcW w:w="40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27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600,362</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285,412</w:t>
            </w: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-1062355</wp:posOffset>
            </wp:positionV>
            <wp:extent cx="1714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-1062355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28"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“Audit Fees” consist of fees in connection with the audit of the Company’s annual consolidated financial statements, including audited financial statements presented in its Registration Statement on Form S-4 filed with the SEC in connection with the Business Combination, audited financial statements presented in its Registration Statements on Form S-1 filed with the SEC, audited financial statements presented in the Company’s annual report on Form 10-K, review of its quarterly financial statements presented in our quarterly reports on Form 10-Q and services that are normally provided by the Company’s independent registered public accounting firm in connection with statutory and regulatory filings or engagements for those fiscal years. Included in the 2021 Audit Fees are fees billed in connection with the Business Combination.</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“All Other Fees” consist of fees in connection with permitted advisory services related to key performance indicators.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All 2021 fees described above were approved by the Audit Committee.</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Our Audit Committee has adopted a policy and procedures for the pre-approval of audit and non-audit services rendered by our independent registered public accounting firm, Baker Tilly. The policy generally pre-approves specified services in the defined categories of audit services, audit-related services and tax services up to specified amounts. Pre-approval may also be given on a collective basis pursuant to such policy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6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Our Audit Committee has determined that the rendering of services other than audit services by Baker Tilly is compatible with maintaining the principal accountant’s independence.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IN FAVOR OF PROPOSAL NO. 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following table sets forth certain information with respect to our current executive officers as of April 28, 2022.</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8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311"/>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4"/>
                <w:szCs w:val="24"/>
                <w:color w:val="auto"/>
              </w:rPr>
            </w:pP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Christopher Beals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Arden Lee</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Juanjo Feijoo</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Justin Dean</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Technology Officer and Chief Information Officer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Brian Camire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-1216660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-1216660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sets forth biographical information with respect to our executive officers who are not directors.</w:t>
      </w:r>
    </w:p>
    <w:p>
      <w:pPr>
        <w:spacing w:after="0" w:line="129"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i w:val="1"/>
          <w:iCs w:val="1"/>
          <w:color w:val="auto"/>
        </w:rPr>
        <w:t xml:space="preserve">Arden Lee. </w:t>
      </w:r>
      <w:r>
        <w:rPr>
          <w:rFonts w:ascii="Arial" w:cs="Arial" w:eastAsia="Arial" w:hAnsi="Arial"/>
          <w:sz w:val="18"/>
          <w:szCs w:val="18"/>
          <w:color w:val="auto"/>
        </w:rPr>
        <w:t>Mr. Lee served as our Chief Financial Officer since June 2021. Mr. Lee served as Legacy WMH’s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from February 2019 to June 2021. Prior to joining Legacy WMH, Mr. Lee was the Vice President of Global Business Planning at Nike, Inc. from December 2016 to July 2018 and previously worked at Goldman Sachs &amp; Co. from April 2007 to November 2016, most recently holding the position of Managing Director of Investment Banking. Mr. Lee also previously served as Vice President, Investment Banking at Citigroup, Inc. and Vice President, Mergers and Acquisitions at Deutsche Bank Securities. He holds an A.B. in Economics from Princeton University.</w:t>
      </w:r>
    </w:p>
    <w:p>
      <w:pPr>
        <w:spacing w:after="0" w:line="8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i w:val="1"/>
          <w:iCs w:val="1"/>
          <w:color w:val="auto"/>
        </w:rPr>
        <w:t xml:space="preserve">Juanjo Feijoo. </w:t>
      </w:r>
      <w:r>
        <w:rPr>
          <w:rFonts w:ascii="Arial" w:cs="Arial" w:eastAsia="Arial" w:hAnsi="Arial"/>
          <w:sz w:val="17"/>
          <w:szCs w:val="17"/>
          <w:color w:val="auto"/>
        </w:rPr>
        <w:t>Mr. Feijoo has served as our Chief Operating Officer since July 2021 and as our Chief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from June 2021 to July 2021. Mr. Feijoo served as Legacy WMH’s Chief Marketing Officer from May 2019 to June 2021. Previously, Mr. Feijoo served as Senior Director of Customer Engagement for Creative Cloud at Adobe, a publicly-held global technology company, from 2017 to 2019. Prior to that, from 2015 to 2017, Mr. Feijoo served 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70"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i w:val="1"/>
          <w:iCs w:val="1"/>
          <w:color w:val="auto"/>
        </w:rPr>
        <w:t xml:space="preserve">Justin Dean. </w:t>
      </w:r>
      <w:r>
        <w:rPr>
          <w:rFonts w:ascii="Arial" w:cs="Arial" w:eastAsia="Arial" w:hAnsi="Arial"/>
          <w:sz w:val="17"/>
          <w:szCs w:val="17"/>
          <w:color w:val="auto"/>
        </w:rPr>
        <w:t>Mr. Dean has served as our Chief Technology Officer and Chief Information Officer since June 2021.</w:t>
      </w:r>
      <w:r>
        <w:rPr>
          <w:rFonts w:ascii="Arial" w:cs="Arial" w:eastAsia="Arial" w:hAnsi="Arial"/>
          <w:sz w:val="17"/>
          <w:szCs w:val="17"/>
          <w:i w:val="1"/>
          <w:iCs w:val="1"/>
          <w:color w:val="auto"/>
        </w:rPr>
        <w:t xml:space="preserve"> </w:t>
      </w:r>
      <w:r>
        <w:rPr>
          <w:rFonts w:ascii="Arial" w:cs="Arial" w:eastAsia="Arial" w:hAnsi="Arial"/>
          <w:sz w:val="17"/>
          <w:szCs w:val="17"/>
          <w:color w:val="auto"/>
        </w:rPr>
        <w:t>Mr. Dean served as Legacy WMH’s Chief Technology Officer from December 2019 to June 2021 and Chief Information Officer since November 2018. He previously served as the Senior Vice President of Technology and Head of Infrastructure and Platform at Ticketmaster from February 2015 to November 2018, Vice President of Global Infrastructure and Head of Technical Operations at Shopzilla (formerly Bizrate) from January 2007 to February 2015 and Vice President of Information Technology at B3 Corp from 2002 to 2007. Mr. Dean started his career in technology while serving as a Network Systems Engineer in the U.S. Marine Corps from October 1995 to October 1999 and then went on to serve in senior technical architecture roles at National Realty Trust and Compuware (assigned to Sempra Energy).</w:t>
      </w:r>
    </w:p>
    <w:p>
      <w:pPr>
        <w:spacing w:after="0" w:line="7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i w:val="1"/>
          <w:iCs w:val="1"/>
          <w:color w:val="auto"/>
        </w:rPr>
        <w:t xml:space="preserve">Brian Camire. </w:t>
      </w:r>
      <w:r>
        <w:rPr>
          <w:rFonts w:ascii="Arial" w:cs="Arial" w:eastAsia="Arial" w:hAnsi="Arial"/>
          <w:sz w:val="18"/>
          <w:szCs w:val="18"/>
          <w:color w:val="auto"/>
        </w:rPr>
        <w:t>Mr. Camire has served as our General Counsel and Secretary since June 2021. Mr. Camire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April 19, 2022, by:</w:t>
      </w:r>
    </w:p>
    <w:p>
      <w:pPr>
        <w:spacing w:after="0" w:line="62" w:lineRule="exact"/>
        <w:rPr>
          <w:sz w:val="20"/>
          <w:szCs w:val="20"/>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person who is known by us to be the beneficial owner of more than 5% of the outstanding shares of our Class A Common Stock and Class V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our current Named Executive Officers and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57"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The beneficial ownership percentages set forth in the table below are based on 144,397,402 shares of our Class A Common Stock and Class V Common Stock issued and outstanding as of April 19, 2022 and do not take into account the issuance of any shares of Class A Common Stock upon (i) the exercise of 19,499,973 Warrants to purchase an aggregate of 19,499,973 shares of Class A Common Stock or (ii) the exchange of 16,249,030 Class P Units for up to 16,249,030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5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Shares of</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Shares of</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Class A</w:t>
            </w: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Class V</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Common</w:t>
            </w:r>
          </w:p>
        </w:tc>
        <w:tc>
          <w:tcPr>
            <w:tcW w:w="800" w:type="dxa"/>
            <w:vAlign w:val="bottom"/>
            <w:gridSpan w:val="2"/>
            <w:vMerge w:val="continue"/>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 of Class V</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Class A</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5"/>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3"/>
                <w:szCs w:val="23"/>
                <w:b w:val="1"/>
                <w:bCs w:val="1"/>
                <w:color w:val="auto"/>
                <w:vertAlign w:val="superscript"/>
              </w:rPr>
              <w:t>(1)</w:t>
            </w:r>
          </w:p>
        </w:tc>
        <w:tc>
          <w:tcPr>
            <w:tcW w:w="240" w:type="dxa"/>
            <w:vAlign w:val="bottom"/>
          </w:tcPr>
          <w:p>
            <w:pPr>
              <w:spacing w:after="0"/>
              <w:rPr>
                <w:sz w:val="12"/>
                <w:szCs w:val="12"/>
                <w:color w:val="auto"/>
              </w:rPr>
            </w:pPr>
          </w:p>
        </w:tc>
        <w:tc>
          <w:tcPr>
            <w:tcW w:w="9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80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0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Common</w:t>
            </w:r>
          </w:p>
        </w:tc>
        <w:tc>
          <w:tcPr>
            <w:tcW w:w="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229"/>
        </w:trPr>
        <w:tc>
          <w:tcPr>
            <w:tcW w:w="36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220"/>
              <w:spacing w:after="0" w:line="229"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(2)</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660" w:type="dxa"/>
            <w:vAlign w:val="bottom"/>
          </w:tcPr>
          <w:p>
            <w:pPr>
              <w:jc w:val="center"/>
              <w:spacing w:after="0" w:line="229" w:lineRule="exact"/>
              <w:rPr>
                <w:sz w:val="20"/>
                <w:szCs w:val="20"/>
                <w:color w:val="auto"/>
              </w:rPr>
            </w:pPr>
            <w:r>
              <w:rPr>
                <w:rFonts w:ascii="Arial" w:cs="Arial" w:eastAsia="Arial" w:hAnsi="Arial"/>
                <w:sz w:val="14"/>
                <w:szCs w:val="14"/>
                <w:b w:val="1"/>
                <w:bCs w:val="1"/>
                <w:color w:val="auto"/>
                <w:w w:val="88"/>
              </w:rPr>
              <w:t>Power</w:t>
            </w:r>
            <w:r>
              <w:rPr>
                <w:rFonts w:ascii="Arial" w:cs="Arial" w:eastAsia="Arial" w:hAnsi="Arial"/>
                <w:sz w:val="23"/>
                <w:szCs w:val="23"/>
                <w:b w:val="1"/>
                <w:bCs w:val="1"/>
                <w:color w:val="auto"/>
                <w:w w:val="88"/>
                <w:vertAlign w:val="superscript"/>
              </w:rPr>
              <w:t>(3)</w:t>
            </w:r>
          </w:p>
        </w:tc>
        <w:tc>
          <w:tcPr>
            <w:tcW w:w="0" w:type="dxa"/>
            <w:vAlign w:val="bottom"/>
          </w:tcPr>
          <w:p>
            <w:pPr>
              <w:spacing w:after="0"/>
              <w:rPr>
                <w:sz w:val="1"/>
                <w:szCs w:val="1"/>
                <w:color w:val="auto"/>
              </w:rPr>
            </w:pPr>
          </w:p>
        </w:tc>
      </w:tr>
      <w:tr>
        <w:trPr>
          <w:trHeight w:val="270"/>
        </w:trPr>
        <w:tc>
          <w:tcPr>
            <w:tcW w:w="36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74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84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66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Christopher Beals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205,405</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6,166,819</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10.58%</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Tony Aquila</w:t>
            </w:r>
            <w:r>
              <w:rPr>
                <w:rFonts w:ascii="Arial" w:cs="Arial" w:eastAsia="Arial" w:hAnsi="Arial"/>
                <w:sz w:val="29"/>
                <w:szCs w:val="29"/>
                <w:color w:val="auto"/>
                <w:vertAlign w:val="superscript"/>
              </w:rPr>
              <w:t>(4)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5,010,093</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3680" w:type="dxa"/>
            <w:vAlign w:val="bottom"/>
          </w:tcPr>
          <w:p>
            <w:pPr>
              <w:spacing w:after="0" w:line="270" w:lineRule="exact"/>
              <w:rPr>
                <w:sz w:val="20"/>
                <w:szCs w:val="20"/>
                <w:color w:val="auto"/>
              </w:rPr>
            </w:pPr>
            <w:r>
              <w:rPr>
                <w:rFonts w:ascii="Arial" w:cs="Arial" w:eastAsia="Arial" w:hAnsi="Arial"/>
                <w:sz w:val="18"/>
                <w:szCs w:val="18"/>
                <w:color w:val="auto"/>
              </w:rPr>
              <w:t>Douglas Francis</w:t>
            </w:r>
            <w:r>
              <w:rPr>
                <w:rFonts w:ascii="Arial" w:cs="Arial" w:eastAsia="Arial" w:hAnsi="Arial"/>
                <w:sz w:val="29"/>
                <w:szCs w:val="29"/>
                <w:color w:val="auto"/>
                <w:vertAlign w:val="superscript"/>
              </w:rPr>
              <w:t>(5)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2,952,858</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24,788,364</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Justin Hartfield</w:t>
            </w:r>
            <w:r>
              <w:rPr>
                <w:rFonts w:ascii="Arial" w:cs="Arial" w:eastAsia="Arial" w:hAnsi="Arial"/>
                <w:sz w:val="29"/>
                <w:szCs w:val="29"/>
                <w:color w:val="auto"/>
                <w:vertAlign w:val="superscript"/>
              </w:rPr>
              <w:t>(6)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29,328,310</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Scott Gordon</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10,093</w:t>
            </w:r>
          </w:p>
        </w:tc>
        <w:tc>
          <w:tcPr>
            <w:tcW w:w="220" w:type="dxa"/>
            <w:vAlign w:val="bottom"/>
          </w:tcPr>
          <w:p>
            <w:pPr>
              <w:spacing w:after="0"/>
              <w:rPr>
                <w:sz w:val="21"/>
                <w:szCs w:val="21"/>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Fiona Tan</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Olga Gonzalez</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10,093</w:t>
            </w:r>
          </w:p>
        </w:tc>
        <w:tc>
          <w:tcPr>
            <w:tcW w:w="220" w:type="dxa"/>
            <w:vAlign w:val="bottom"/>
          </w:tcPr>
          <w:p>
            <w:pPr>
              <w:spacing w:after="0"/>
              <w:rPr>
                <w:sz w:val="21"/>
                <w:szCs w:val="21"/>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Brenda Freeman</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Anthony Bay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Arden Lee</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156,249</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Brian Camire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58,593</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Justin Dean</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82,029</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Juanjo Feijoo</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156,248</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of the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680" w:type="dxa"/>
            <w:vAlign w:val="bottom"/>
            <w:shd w:val="clear" w:color="auto" w:fill="CCEEFF"/>
          </w:tcPr>
          <w:p>
            <w:pPr>
              <w:ind w:left="180"/>
              <w:spacing w:after="0" w:line="271" w:lineRule="exact"/>
              <w:rPr>
                <w:sz w:val="20"/>
                <w:szCs w:val="20"/>
                <w:color w:val="auto"/>
              </w:rPr>
            </w:pPr>
            <w:r>
              <w:rPr>
                <w:rFonts w:ascii="Arial" w:cs="Arial" w:eastAsia="Arial" w:hAnsi="Arial"/>
                <w:sz w:val="18"/>
                <w:szCs w:val="18"/>
                <w:b w:val="1"/>
                <w:bCs w:val="1"/>
                <w:color w:val="auto"/>
              </w:rPr>
              <w:t>Company as a Group (13 Individuals)</w:t>
            </w:r>
            <w:r>
              <w:rPr>
                <w:rFonts w:ascii="Arial" w:cs="Arial" w:eastAsia="Arial" w:hAnsi="Arial"/>
                <w:sz w:val="29"/>
                <w:szCs w:val="29"/>
                <w:b w:val="1"/>
                <w:bCs w:val="1"/>
                <w:color w:val="auto"/>
                <w:vertAlign w:val="superscript"/>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8,671,940</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51,814,302</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Ghost Media Group, LLC</w:t>
            </w:r>
            <w:r>
              <w:rPr>
                <w:rFonts w:ascii="Arial" w:cs="Arial" w:eastAsia="Arial" w:hAnsi="Arial"/>
                <w:sz w:val="29"/>
                <w:szCs w:val="29"/>
                <w:color w:val="auto"/>
                <w:vertAlign w:val="superscript"/>
              </w:rPr>
              <w:t>(5)(6)</w:t>
            </w:r>
          </w:p>
        </w:tc>
        <w:tc>
          <w:tcPr>
            <w:tcW w:w="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8,469,191</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3680" w:type="dxa"/>
            <w:vAlign w:val="bottom"/>
          </w:tcPr>
          <w:p>
            <w:pPr>
              <w:spacing w:after="0" w:line="270" w:lineRule="exact"/>
              <w:rPr>
                <w:sz w:val="20"/>
                <w:szCs w:val="20"/>
                <w:color w:val="auto"/>
              </w:rPr>
            </w:pPr>
            <w:r>
              <w:rPr>
                <w:rFonts w:ascii="Arial" w:cs="Arial" w:eastAsia="Arial" w:hAnsi="Arial"/>
                <w:sz w:val="18"/>
                <w:szCs w:val="18"/>
                <w:color w:val="auto"/>
              </w:rPr>
              <w:t>Luxor Capital Group, LP</w:t>
            </w:r>
            <w:r>
              <w:rPr>
                <w:rFonts w:ascii="Arial" w:cs="Arial" w:eastAsia="Arial" w:hAnsi="Arial"/>
                <w:sz w:val="29"/>
                <w:szCs w:val="29"/>
                <w:color w:val="auto"/>
                <w:vertAlign w:val="superscript"/>
              </w:rPr>
              <w:t>(8)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7,356,117</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Senvest Management, LLC</w:t>
            </w:r>
            <w:r>
              <w:rPr>
                <w:rFonts w:ascii="Arial" w:cs="Arial" w:eastAsia="Arial" w:hAnsi="Arial"/>
                <w:sz w:val="29"/>
                <w:szCs w:val="29"/>
                <w:color w:val="auto"/>
                <w:vertAlign w:val="superscript"/>
              </w:rPr>
              <w:t>(9)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6,648,046</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93"/>
        </w:trPr>
        <w:tc>
          <w:tcPr>
            <w:tcW w:w="3680" w:type="dxa"/>
            <w:vAlign w:val="bottom"/>
          </w:tcPr>
          <w:p>
            <w:pPr>
              <w:spacing w:after="0"/>
              <w:rPr>
                <w:sz w:val="20"/>
                <w:szCs w:val="20"/>
                <w:color w:val="auto"/>
              </w:rPr>
            </w:pPr>
            <w:r>
              <w:rPr>
                <w:rFonts w:ascii="Arial" w:cs="Arial" w:eastAsia="Arial" w:hAnsi="Arial"/>
                <w:sz w:val="18"/>
                <w:szCs w:val="18"/>
                <w:color w:val="auto"/>
              </w:rPr>
              <w:t>Silver Spike Holdings, LP</w:t>
            </w:r>
            <w:r>
              <w:rPr>
                <w:rFonts w:ascii="Arial" w:cs="Arial" w:eastAsia="Arial" w:hAnsi="Arial"/>
                <w:sz w:val="29"/>
                <w:szCs w:val="29"/>
                <w:color w:val="auto"/>
                <w:vertAlign w:val="superscript"/>
              </w:rPr>
              <w:t>(10)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6,250,000</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-3669030</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-3669030</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-3669030</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-3669030</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-3669030</wp:posOffset>
            </wp:positionV>
            <wp:extent cx="1543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2" w:lineRule="exact"/>
        <w:rPr>
          <w:sz w:val="20"/>
          <w:szCs w:val="20"/>
          <w:color w:val="auto"/>
        </w:rPr>
      </w:pPr>
    </w:p>
    <w:p>
      <w:pPr>
        <w:ind w:left="640" w:hanging="348"/>
        <w:spacing w:after="0"/>
        <w:tabs>
          <w:tab w:leader="none" w:pos="6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of the following entities or individuals is 41 Discovery, Irvine, California 92618.</w:t>
      </w:r>
    </w:p>
    <w:p>
      <w:pPr>
        <w:spacing w:after="0" w:line="53" w:lineRule="exact"/>
        <w:rPr>
          <w:rFonts w:ascii="Arial" w:cs="Arial" w:eastAsia="Arial" w:hAnsi="Arial"/>
          <w:sz w:val="13"/>
          <w:szCs w:val="13"/>
          <w:color w:val="auto"/>
        </w:rPr>
      </w:pPr>
    </w:p>
    <w:p>
      <w:pPr>
        <w:jc w:val="both"/>
        <w:ind w:left="640" w:right="299" w:hanging="348"/>
        <w:spacing w:after="0" w:line="231"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at and after December 13, 2021, unless we determine to pay cash consideration for such Paired Interests.</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299" w:hanging="348"/>
        <w:spacing w:after="0" w:line="25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percentage of voting power of the holders of Class A Common Stock and Class V Common Stock voting together as a single class.</w:t>
      </w:r>
    </w:p>
    <w:p>
      <w:pPr>
        <w:spacing w:after="0" w:line="11" w:lineRule="exact"/>
        <w:rPr>
          <w:rFonts w:ascii="Arial" w:cs="Arial" w:eastAsia="Arial" w:hAnsi="Arial"/>
          <w:sz w:val="14"/>
          <w:szCs w:val="14"/>
          <w:color w:val="auto"/>
        </w:rPr>
      </w:pPr>
    </w:p>
    <w:p>
      <w:pPr>
        <w:jc w:val="both"/>
        <w:ind w:left="640" w:right="299" w:hanging="348"/>
        <w:spacing w:after="0" w:line="227"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3,750,000 shares in the aggregate of shares of Class A Common Stock held by AFV Partners SPV-5 (WM) LLC (“AFV 5”), AFV Partners SPV-6 (WM) LLC (“AFV 6”) and three family trusts (the “Trusts”) upon the completion of the business combination pursuant to the PIPE subscription financing. Mr. Aquila is a managing member of AFV Management Advisors LLC, which exercises ultimate voting and investment power with respect to the shares held by AFV 5 and AFV 6 and a co-trustee of each of the Trusts and as such may be deemed to hold voting and dispositive power with respect to the shares held in the aggregate by such Trusts. It also includes 1,260,093 shares of Class A Common Stock that Mr. Aquila personally holds, which include 10,093 shares of Class A Common Stock underlying restricted stock units that vest on June 16, 2022. The business address of the reporting person is 2126 Hamilton Road Suite 260, Argyle, TX 76226.</w:t>
      </w:r>
    </w:p>
    <w:p>
      <w:pPr>
        <w:spacing w:after="0" w:line="23" w:lineRule="exact"/>
        <w:rPr>
          <w:rFonts w:ascii="Arial" w:cs="Arial" w:eastAsia="Arial" w:hAnsi="Arial"/>
          <w:sz w:val="14"/>
          <w:szCs w:val="14"/>
          <w:color w:val="auto"/>
        </w:rPr>
      </w:pPr>
    </w:p>
    <w:p>
      <w:pPr>
        <w:jc w:val="both"/>
        <w:ind w:left="640" w:right="299" w:hanging="348"/>
        <w:spacing w:after="0" w:line="229"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2,912,765 shares of Class A Common Stock and 14,250,000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23" w:lineRule="exact"/>
        <w:rPr>
          <w:rFonts w:ascii="Arial" w:cs="Arial" w:eastAsia="Arial" w:hAnsi="Arial"/>
          <w:sz w:val="14"/>
          <w:szCs w:val="14"/>
          <w:color w:val="auto"/>
        </w:rPr>
      </w:pPr>
    </w:p>
    <w:p>
      <w:pPr>
        <w:jc w:val="both"/>
        <w:ind w:left="640" w:right="299" w:hanging="348"/>
        <w:spacing w:after="0" w:line="255"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19,288,160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2" w:lineRule="exact"/>
        <w:rPr>
          <w:rFonts w:ascii="Arial" w:cs="Arial" w:eastAsia="Arial" w:hAnsi="Arial"/>
          <w:sz w:val="13"/>
          <w:szCs w:val="13"/>
          <w:color w:val="auto"/>
        </w:rPr>
      </w:pPr>
    </w:p>
    <w:p>
      <w:pPr>
        <w:ind w:left="640" w:right="299" w:hanging="348"/>
        <w:spacing w:after="0" w:line="25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3088,591,196 shares of Class A Common Stock and 78851,814,302 shares of Class V Common Stock beneficially owned by our directors and named executive officers.</w:t>
      </w:r>
    </w:p>
    <w:p>
      <w:pPr>
        <w:spacing w:after="0" w:line="11" w:lineRule="exact"/>
        <w:rPr>
          <w:rFonts w:ascii="Arial" w:cs="Arial" w:eastAsia="Arial" w:hAnsi="Arial"/>
          <w:sz w:val="14"/>
          <w:szCs w:val="14"/>
          <w:color w:val="auto"/>
        </w:rPr>
      </w:pPr>
    </w:p>
    <w:p>
      <w:pPr>
        <w:jc w:val="both"/>
        <w:ind w:left="640" w:right="299" w:hanging="348"/>
        <w:spacing w:after="0" w:line="244"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solely on information obtained from Schedule 13Gs filed with the SEC on February 7, 2022 and January 25, 2022 on behalf of Luxor Capital Group, L.P., includes 7,244,585 shares of Class A Common Stock held by Lugard Road Capital Master Fund, LP (“Lugard”) beneficially owned by Luxor Capital Group, LP, the investment manager of Lugard, 36,888 shares of Class A Common Stock held by Luxor Capital Partners Offshore Master Fund, LP (“Luxor Offshore”) beneficially owned by Luxor Capital Group, LP, the investment manager of Luxor Offshore, 60,148 shares of Class A Common Stock held by Luxor Capital Partners, LP (“Luxor Capital”) beneficially owned by Luxor Capital Group, LP, the investment manager of Luxor Capital and 14,496 shares of Class A Common Stock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9" w:lineRule="exact"/>
        <w:rPr>
          <w:rFonts w:ascii="Arial" w:cs="Arial" w:eastAsia="Arial" w:hAnsi="Arial"/>
          <w:sz w:val="13"/>
          <w:szCs w:val="13"/>
          <w:color w:val="auto"/>
        </w:rPr>
      </w:pPr>
    </w:p>
    <w:p>
      <w:pPr>
        <w:jc w:val="both"/>
        <w:ind w:left="640" w:right="299" w:hanging="348"/>
        <w:spacing w:after="0" w:line="233"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solely on information obtained from a Schedule 13G filed by Senvest Management, LLC and Richard Mashaal on February 9, 2022, includes 6,648,046 shares of Class A Common Stock (including 869,649 shares of Class A Common Stock issuable upon exercise of warrants) held by Senvest Master Fund, LP, Senvest Technology Partners Master Fund, LP and Senvest Global (KY), LP (the “Investment Vehicles”). Senvest Management, LLC may be deemed to beneficially own the securities in the case of the shares of Class A Common Stock underlying the warrants, held by the Investment Vehicles by virtue of Senvest Management, LLC’s position as investment manager of the Investment Vehicles. Mr. Mashaal may be deemed to beneficially own the securities in the case of the shares of Class A Common Stock underlying the warrants, held by the Investment Vehicles by virtue of Mr. Mashaal’s status as the managing member of Senvest Management, LLC. The business address of the reporting person is 540 Madison Avenue, 32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Floor, New York, New York 10022.</w:t>
      </w:r>
    </w:p>
    <w:p>
      <w:pPr>
        <w:spacing w:after="0" w:line="3" w:lineRule="exact"/>
        <w:rPr>
          <w:rFonts w:ascii="Arial" w:cs="Arial" w:eastAsia="Arial" w:hAnsi="Arial"/>
          <w:sz w:val="13"/>
          <w:szCs w:val="13"/>
          <w:color w:val="auto"/>
        </w:rPr>
      </w:pPr>
    </w:p>
    <w:p>
      <w:pPr>
        <w:jc w:val="both"/>
        <w:ind w:left="640" w:right="299" w:hanging="348"/>
        <w:spacing w:after="0" w:line="245"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solely on information obtained from a Schedule 13G filed by Silver Spike Holdings, LP on April 11, 2022, includes 6,250,000 shares of Class A Common Stock held by Silver Spike Sponsor, LLC. Silver Spike Holdings, LP directly controls Silver Spike Sponsor, LLC and may be deemed to beneficially own 6,250,000 shares of Class A common stock held by Silver Spike Sponsor, LLC, and ultimately exercises sole voting and dispositive power over such shares. Silver Spike Holdings, LP disclaims beneficial ownership of the shares of Class A common stock held by Silver Spike Sponsor, LLC except to the extent of its pecuniary interest therein. The business address of the reporting person is 660 Madison Avenue, Floor 17, New York, New York 10016.</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Delinquent Section 16(a) Reports</w:t>
      </w:r>
    </w:p>
    <w:p>
      <w:pPr>
        <w:spacing w:after="0" w:line="117"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our Common Stock and other equity securities. Officers, directors and greater than ten percent stockholders are required by SEC regulation to furnish us with copies of all Section 16(a) forms they file.</w:t>
      </w:r>
    </w:p>
    <w:p>
      <w:pPr>
        <w:spacing w:after="0" w:line="4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To our knowledge, based solely on a review of the copies of such reports furnished to us and written representations that no other reports were required, during the year ended December 31, 2021, all Section 16(a) filing requirements applicable to our officers, directors and greater than ten percent stockholders were complied with, except for late Form 4s filed on November 3, 2021 to report the initial RSU grants made to each of Tony Aquila, Francis Douglas, Brenda Freeman, Olga Gonzalez, Scott Gordon, Justin Hartfield and Fiona Tan in connection with the Business Combination.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discussion and analysis provides information regarding the 2021 compensation program for our</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Named Executive Officers. For 2021, our Named Executive Officers were:</w:t>
      </w:r>
    </w:p>
    <w:p>
      <w:pPr>
        <w:spacing w:after="0" w:line="103" w:lineRule="exact"/>
        <w:rPr>
          <w:sz w:val="20"/>
          <w:szCs w:val="20"/>
          <w:color w:val="auto"/>
        </w:rPr>
      </w:pPr>
    </w:p>
    <w:p>
      <w:pPr>
        <w:ind w:left="1000" w:hanging="348"/>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Christopher Beals, our Chief Executive Officer and Director;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Arden Lee, our Chief Financial Officer;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Justin Dean, our Chief Technology Officer and Chief Information Officer;</w:t>
      </w:r>
    </w:p>
    <w:p>
      <w:pPr>
        <w:spacing w:after="0" w:line="107" w:lineRule="exact"/>
        <w:rPr>
          <w:rFonts w:ascii="Arial" w:cs="Arial" w:eastAsia="Arial" w:hAnsi="Arial"/>
          <w:sz w:val="18"/>
          <w:szCs w:val="18"/>
          <w:color w:val="auto"/>
        </w:rPr>
      </w:pPr>
    </w:p>
    <w:p>
      <w:pPr>
        <w:ind w:left="1000" w:hanging="348"/>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Juan Jose Feijoo</w:t>
      </w:r>
      <w:r>
        <w:rPr>
          <w:rFonts w:ascii="Arial" w:cs="Arial" w:eastAsia="Arial" w:hAnsi="Arial"/>
          <w:sz w:val="29"/>
          <w:szCs w:val="29"/>
          <w:color w:val="auto"/>
          <w:vertAlign w:val="superscript"/>
        </w:rPr>
        <w:t>*</w:t>
      </w:r>
      <w:r>
        <w:rPr>
          <w:rFonts w:ascii="Arial" w:cs="Arial" w:eastAsia="Arial" w:hAnsi="Arial"/>
          <w:sz w:val="18"/>
          <w:szCs w:val="18"/>
          <w:color w:val="auto"/>
        </w:rPr>
        <w:t>, our Chief Operating Officer; and</w:t>
      </w:r>
    </w:p>
    <w:p>
      <w:pPr>
        <w:spacing w:after="0" w:line="16" w:lineRule="exact"/>
        <w:rPr>
          <w:rFonts w:ascii="Arial" w:cs="Arial" w:eastAsia="Arial" w:hAnsi="Arial"/>
          <w:sz w:val="18"/>
          <w:szCs w:val="18"/>
          <w:color w:val="auto"/>
        </w:rPr>
      </w:pPr>
    </w:p>
    <w:p>
      <w:pPr>
        <w:ind w:left="1000" w:hanging="348"/>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Brian Camire, our General Counsel and Secretary.</w:t>
      </w:r>
    </w:p>
    <w:p>
      <w:pPr>
        <w:spacing w:after="0" w:line="326"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4"/>
          <w:szCs w:val="14"/>
          <w:color w:val="auto"/>
        </w:rPr>
        <w:t>*</w:t>
      </w:r>
      <w:r>
        <w:rPr>
          <w:rFonts w:ascii="Arial" w:cs="Arial" w:eastAsia="Arial" w:hAnsi="Arial"/>
          <w:sz w:val="13"/>
          <w:szCs w:val="13"/>
          <w:color w:val="auto"/>
        </w:rPr>
        <w:t>Mr. Feijoo, formerly our Chief Marketing Officer, was appointed our Chief Operating Officer, effective July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-132715</wp:posOffset>
            </wp:positionV>
            <wp:extent cx="8229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8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following discussion and analysis describes the material elements of our executive compensation program during 2021. It also provides an overview of our executive compensation philosophy, including our principal compensation policies and practices. Finally, it analyzes how and why we arrived at the specific compensation decisions for our Named Executive Officers in 2021 and discusses the key factors that were considered in determining their compensation.</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Who We Are</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Founded in 2008, we operate a leading online cannabis marketplace with a comprehensive set of eCommerce and compliance software solutions sold to retailers and brands in the U.S. state-legal and Canadian cannabis markets. Our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SaaS tools designed to help our retailer and brand clients get the best out of their Weedmaps experience, while creating labor efficiency and managing their compliance needs.</w:t>
      </w:r>
    </w:p>
    <w:p>
      <w:pPr>
        <w:spacing w:after="0" w:line="7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We hold a strong belief in the power of cannabis and the importance of enabling safe, legal access to consumers worldwide. Since inception, we have worked tirelessly, not only to become the most comprehensive platform for consumers, but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2021 Business Highlights</w:t>
      </w:r>
    </w:p>
    <w:p>
      <w:pPr>
        <w:spacing w:after="0" w:line="117" w:lineRule="exact"/>
        <w:rPr>
          <w:sz w:val="20"/>
          <w:szCs w:val="20"/>
          <w:color w:val="auto"/>
        </w:rPr>
      </w:pPr>
    </w:p>
    <w:p>
      <w:pPr>
        <w:jc w:val="both"/>
        <w:ind w:left="300" w:right="299"/>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2021 was a successful year for us. In addition to beginning trading as a public company on the Nasdaq Global Select Market on June 16, 2021, we achieved several significant business results. Certain key financial results, and strategic and operational achievements are highlighted below, while full financial results, including reconciliations of the non-GAAP financial measures to the most comparable GAAP financial measures, are reflected in Appendix A, beginning on page </w:t>
      </w:r>
      <w:hyperlink w:anchor="page63">
        <w:r>
          <w:rPr>
            <w:rFonts w:ascii="Arial" w:cs="Arial" w:eastAsia="Arial" w:hAnsi="Arial"/>
            <w:sz w:val="16"/>
            <w:szCs w:val="16"/>
            <w:u w:val="single" w:color="auto"/>
            <w:color w:val="0000EE"/>
          </w:rPr>
          <w:t>58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of this proxy statement and in our Annual Report on Form 10-K for the year ended December 31, 2021, which can be found at our website at </w:t>
      </w:r>
      <w:r>
        <w:rPr>
          <w:rFonts w:ascii="Arial" w:cs="Arial" w:eastAsia="Arial" w:hAnsi="Arial"/>
          <w:sz w:val="16"/>
          <w:szCs w:val="16"/>
          <w:i w:val="1"/>
          <w:iCs w:val="1"/>
          <w:color w:val="auto"/>
        </w:rPr>
        <w:t>ir.weedmaps.com</w:t>
      </w:r>
      <w:r>
        <w:rPr>
          <w:rFonts w:ascii="Arial" w:cs="Arial" w:eastAsia="Arial" w:hAnsi="Arial"/>
          <w:sz w:val="16"/>
          <w:szCs w:val="16"/>
          <w:color w:val="auto"/>
        </w:rPr>
        <w:t xml:space="preserve"> and on the SEC’s website.</w:t>
      </w:r>
    </w:p>
    <w:p>
      <w:pPr>
        <w:spacing w:after="0" w:line="56" w:lineRule="exact"/>
        <w:rPr>
          <w:sz w:val="20"/>
          <w:szCs w:val="20"/>
          <w:color w:val="auto"/>
        </w:rPr>
      </w:pPr>
    </w:p>
    <w:p>
      <w:pPr>
        <w:jc w:val="both"/>
        <w:ind w:left="1000" w:right="319" w:hanging="348"/>
        <w:spacing w:after="0" w:line="311"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total revenue increased to $193.1 million, up 19% from 2020 or 48% in the United States (when adjusting the prior year to exclude revenue associated with Canada-based retail operators who failed to provide valid license information and were subsequently removed from the Weedmaps marketplace).</w:t>
      </w:r>
    </w:p>
    <w:p>
      <w:pPr>
        <w:spacing w:after="0" w:line="30" w:lineRule="exact"/>
        <w:rPr>
          <w:rFonts w:ascii="Arial" w:cs="Arial" w:eastAsia="Arial" w:hAnsi="Arial"/>
          <w:sz w:val="16"/>
          <w:szCs w:val="16"/>
          <w:color w:val="auto"/>
        </w:rPr>
      </w:pPr>
    </w:p>
    <w:p>
      <w:pPr>
        <w:jc w:val="both"/>
        <w:ind w:left="1000" w:right="319" w:hanging="348"/>
        <w:spacing w:after="0" w:line="215"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monthly revenue per paying client</w:t>
      </w:r>
      <w:r>
        <w:rPr>
          <w:rFonts w:ascii="Arial" w:cs="Arial" w:eastAsia="Arial" w:hAnsi="Arial"/>
          <w:sz w:val="29"/>
          <w:szCs w:val="29"/>
          <w:color w:val="auto"/>
          <w:vertAlign w:val="superscript"/>
        </w:rPr>
        <w:t>(1)(2)</w:t>
      </w:r>
      <w:r>
        <w:rPr>
          <w:rFonts w:ascii="Arial" w:cs="Arial" w:eastAsia="Arial" w:hAnsi="Arial"/>
          <w:sz w:val="18"/>
          <w:szCs w:val="18"/>
          <w:color w:val="auto"/>
        </w:rPr>
        <w:t xml:space="preserve"> increased to $3,711, or 14%, compared to 2020 (or increased 19% when excluding revenue from Canada-based retail operators who failed to provide valid license information from the prior year).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1" w:lineRule="exact"/>
        <w:rPr>
          <w:sz w:val="20"/>
          <w:szCs w:val="20"/>
          <w:color w:val="auto"/>
        </w:rPr>
      </w:pPr>
    </w:p>
    <w:p>
      <w:pPr>
        <w:jc w:val="both"/>
        <w:ind w:left="1000" w:right="319" w:hanging="348"/>
        <w:spacing w:after="0" w:line="215"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Average monthly paying clients</w:t>
      </w:r>
      <w:r>
        <w:rPr>
          <w:rFonts w:ascii="Arial" w:cs="Arial" w:eastAsia="Arial" w:hAnsi="Arial"/>
          <w:sz w:val="29"/>
          <w:szCs w:val="29"/>
          <w:color w:val="auto"/>
          <w:vertAlign w:val="superscript"/>
        </w:rPr>
        <w:t>(1)(3)</w:t>
      </w:r>
      <w:r>
        <w:rPr>
          <w:rFonts w:ascii="Arial" w:cs="Arial" w:eastAsia="Arial" w:hAnsi="Arial"/>
          <w:sz w:val="18"/>
          <w:szCs w:val="18"/>
          <w:color w:val="auto"/>
        </w:rPr>
        <w:t xml:space="preserve"> increased by 5% to 4,337 compared to 2020 (or increased 25% when excluding Canada-based retail operators who failed to provide valid license information from the prior year).</w:t>
      </w:r>
    </w:p>
    <w:p>
      <w:pPr>
        <w:spacing w:after="0" w:line="9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Gross profit was $185.2 million, implying a 96% margin rate, which reflects a 61 bps margin expansion from 2020.</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Net income was $152.2 million as compared to $38.8 million for 2020.</w:t>
      </w:r>
    </w:p>
    <w:p>
      <w:pPr>
        <w:spacing w:after="0" w:line="107" w:lineRule="exact"/>
        <w:rPr>
          <w:rFonts w:ascii="Arial" w:cs="Arial" w:eastAsia="Arial" w:hAnsi="Arial"/>
          <w:sz w:val="18"/>
          <w:szCs w:val="18"/>
          <w:color w:val="auto"/>
        </w:rPr>
      </w:pPr>
    </w:p>
    <w:p>
      <w:pPr>
        <w:ind w:left="1000" w:hanging="348"/>
        <w:spacing w:after="0"/>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was $31.7 million as compared to $42.8 million for 2020.</w:t>
      </w:r>
    </w:p>
    <w:p>
      <w:pPr>
        <w:spacing w:after="0" w:line="16"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Basic and diluted net income (loss) per share was $0.93 and $(0.18), respectively, based on 65.0 million and 66.8 million basic and diluted Class A Common Stock weighted-average shares outstanding, respectively.</w:t>
      </w:r>
    </w:p>
    <w:p>
      <w:pPr>
        <w:spacing w:after="0" w:line="307" w:lineRule="exact"/>
        <w:rPr>
          <w:rFonts w:ascii="Arial" w:cs="Arial" w:eastAsia="Arial" w:hAnsi="Arial"/>
          <w:sz w:val="18"/>
          <w:szCs w:val="18"/>
          <w:color w:val="auto"/>
        </w:rPr>
      </w:pPr>
    </w:p>
    <w:p>
      <w:pPr>
        <w:jc w:val="both"/>
        <w:ind w:left="640" w:right="319" w:hanging="348"/>
        <w:spacing w:after="0" w:line="231"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have modified the definition and calculation of three of our Key Operating and Financial Metrics: (a) average monthly revenue per paying client, (b) average monthly paying clients, and (c) MAUs. We made these modifications in order to better reflect our performance during a reporting period and to make these key metrics more easily comparable on a period-to-period basis. For comparison of these metrics to previous calculations, see “Selected Current and Previous Operating Key Metrics” in our Current Report on Form 8-K filed with the SEC on February 23, 2022.</w:t>
      </w:r>
    </w:p>
    <w:p>
      <w:pPr>
        <w:spacing w:after="0" w:line="21" w:lineRule="exact"/>
        <w:rPr>
          <w:rFonts w:ascii="Arial" w:cs="Arial" w:eastAsia="Arial" w:hAnsi="Arial"/>
          <w:sz w:val="14"/>
          <w:szCs w:val="14"/>
          <w:color w:val="auto"/>
        </w:rPr>
      </w:pPr>
    </w:p>
    <w:p>
      <w:pPr>
        <w:jc w:val="both"/>
        <w:ind w:left="640" w:right="299" w:hanging="348"/>
        <w:spacing w:after="0" w:line="247"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calculation of monthly revenue includes revenue from any clients that cease to be paying clients during the applicable month. See “Selected Current and Previous Operating Metrics” in our Current Report on Form 8-K filed with the SEC on February 23, 2022, for a description of how we used to calculate average monthly revenue per paying client and what our average monthly revenue per paying client would have been using our prior definition for the applicable periods.</w:t>
      </w:r>
    </w:p>
    <w:p>
      <w:pPr>
        <w:spacing w:after="0" w:line="16" w:lineRule="exact"/>
        <w:rPr>
          <w:rFonts w:ascii="Arial" w:cs="Arial" w:eastAsia="Arial" w:hAnsi="Arial"/>
          <w:sz w:val="13"/>
          <w:szCs w:val="13"/>
          <w:color w:val="auto"/>
        </w:rPr>
      </w:pPr>
    </w:p>
    <w:p>
      <w:pPr>
        <w:jc w:val="both"/>
        <w:ind w:left="640" w:right="299" w:hanging="348"/>
        <w:spacing w:after="0" w:line="23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monthly paying clients” is defined as the average of the number of paying clients billed in a month across a particular period (and for which services were provided). See “Selected Current and Previous Operating Metrics” in our Current Report on Form 8-K filed with the SEC on February 23, 2022 for a description of how we used to calculate average monthly paying clients and what our average monthly paying clients would have been using our prior definition for the applicable periods.</w:t>
      </w:r>
    </w:p>
    <w:p>
      <w:pPr>
        <w:spacing w:after="0" w:line="22"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“MAUs” is defined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w:t>
      </w:r>
    </w:p>
    <w:p>
      <w:pPr>
        <w:spacing w:after="0" w:line="20"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and Adjusted EBITDA as well as limitations of their use and a reconciliation of EBITDA and Adjusted EBITDA to net income, see “Reconciliation of Net Income to EBITDA and Adjusted EBITDA” in Appendix A at the end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-2263140</wp:posOffset>
            </wp:positionV>
            <wp:extent cx="822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2021 Executive Compensation Highlights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2021, the compensation of our Named Executive Officers was as follows:</w:t>
      </w:r>
    </w:p>
    <w:p>
      <w:pPr>
        <w:spacing w:after="0" w:line="117" w:lineRule="exact"/>
        <w:rPr>
          <w:sz w:val="20"/>
          <w:szCs w:val="20"/>
          <w:color w:val="auto"/>
        </w:rPr>
      </w:pPr>
    </w:p>
    <w:p>
      <w:pPr>
        <w:ind w:left="1000" w:right="31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Base Salaries </w:t>
      </w:r>
      <w:r>
        <w:rPr>
          <w:rFonts w:ascii="Arial" w:cs="Arial" w:eastAsia="Arial" w:hAnsi="Arial"/>
          <w:sz w:val="18"/>
          <w:szCs w:val="18"/>
          <w:color w:val="auto"/>
        </w:rPr>
        <w:t>– The annual base salary of our Chief Executive Officer was $600,000, while the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salaries of our other Named Executive Officers ranged from $410,000 to $500,000.</w:t>
      </w:r>
    </w:p>
    <w:p>
      <w:pPr>
        <w:spacing w:after="0" w:line="62" w:lineRule="exact"/>
        <w:rPr>
          <w:rFonts w:ascii="Arial" w:cs="Arial" w:eastAsia="Arial" w:hAnsi="Arial"/>
          <w:sz w:val="18"/>
          <w:szCs w:val="18"/>
          <w:color w:val="auto"/>
        </w:rPr>
      </w:pPr>
    </w:p>
    <w:p>
      <w:pPr>
        <w:jc w:val="both"/>
        <w:ind w:left="1000" w:right="319" w:hanging="348"/>
        <w:spacing w:after="0" w:line="272"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Cash Bonus Payments </w:t>
      </w:r>
      <w:r>
        <w:rPr>
          <w:rFonts w:ascii="Arial" w:cs="Arial" w:eastAsia="Arial" w:hAnsi="Arial"/>
          <w:sz w:val="17"/>
          <w:szCs w:val="17"/>
          <w:color w:val="auto"/>
        </w:rPr>
        <w:t>– In 2021, our Named Executive Officers (other than our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were eligible for annual discretionary cash bonuses based on the attainment of performance goals set by the Chief Executive Officer, and in the case of the transaction-related bonus payments described below, the Board and the Compensation Committee. For 2021, these cash bonus payments ranged, in the aggregate, from $110,583 to $667,081 for our other Named Executive Officers, which includes the transaction-related bonus payments described below. As noted previously, our Chief Executive Officer did not receive a cash bonus payment in 2021.</w:t>
      </w:r>
    </w:p>
    <w:p>
      <w:pPr>
        <w:spacing w:after="0" w:line="69" w:lineRule="exact"/>
        <w:rPr>
          <w:rFonts w:ascii="Arial" w:cs="Arial" w:eastAsia="Arial" w:hAnsi="Arial"/>
          <w:sz w:val="17"/>
          <w:szCs w:val="17"/>
          <w:color w:val="auto"/>
        </w:rPr>
      </w:pPr>
    </w:p>
    <w:p>
      <w:pPr>
        <w:jc w:val="both"/>
        <w:ind w:left="1000" w:right="299" w:hanging="348"/>
        <w:spacing w:after="0" w:line="273"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Transaction-Related Bonus Payments </w:t>
      </w:r>
      <w:r>
        <w:rPr>
          <w:rFonts w:ascii="Arial" w:cs="Arial" w:eastAsia="Arial" w:hAnsi="Arial"/>
          <w:sz w:val="17"/>
          <w:szCs w:val="17"/>
          <w:color w:val="auto"/>
        </w:rPr>
        <w:t>– In December 2021, Messrs. Lee and Camire received contingent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transaction-related cash bonuses in the amounts of $450,000 and $200,000, respectively, for their timely completing and filing all regular Quarterly Reports on Form 10-Q to be filed with the SEC in 2021 and, in the case of Mr. Lee, also successfully arranging for coverage of the Company by at least six stock analysts prior to year-end. Such contingent transaction-related cash bonus payments were made on the Company’s first regular pay date after December 31, 2021.</w:t>
      </w:r>
    </w:p>
    <w:p>
      <w:pPr>
        <w:spacing w:after="0" w:line="69" w:lineRule="exact"/>
        <w:rPr>
          <w:rFonts w:ascii="Arial" w:cs="Arial" w:eastAsia="Arial" w:hAnsi="Arial"/>
          <w:sz w:val="17"/>
          <w:szCs w:val="17"/>
          <w:color w:val="auto"/>
        </w:rPr>
      </w:pPr>
    </w:p>
    <w:p>
      <w:pPr>
        <w:jc w:val="both"/>
        <w:ind w:left="1000" w:right="319" w:hanging="348"/>
        <w:spacing w:after="0" w:line="301"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Long-Term Incentive Compensation </w:t>
      </w:r>
      <w:r>
        <w:rPr>
          <w:rFonts w:ascii="Arial" w:cs="Arial" w:eastAsia="Arial" w:hAnsi="Arial"/>
          <w:sz w:val="16"/>
          <w:szCs w:val="16"/>
          <w:color w:val="auto"/>
        </w:rPr>
        <w:t>– Our Named Executive Officers were granted long-term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opportunities in the form of performance-based restricted stock unit (“PRSU”) awards that may be earned over a two-year performance period beginning January 1, 2022 and ending on December 31, 2023 and settled for shares of our Class A Common Stock with grant date fair values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72" w:lineRule="auto"/>
        <w:rPr>
          <w:sz w:val="20"/>
          <w:szCs w:val="20"/>
          <w:color w:val="auto"/>
        </w:rPr>
      </w:pPr>
      <w:r>
        <w:rPr>
          <w:rFonts w:ascii="Arial" w:cs="Arial" w:eastAsia="Arial" w:hAnsi="Arial"/>
          <w:sz w:val="17"/>
          <w:szCs w:val="17"/>
          <w:color w:val="auto"/>
        </w:rPr>
        <w:t>approximately $5,000,000 for our Chief Executive Officer and ranging from approximately $1,500,000 to approximately $4,000,000 for our other Named Executive Officers and time-based restricted stock unit (“RSU”) awards that may be settled for shares of our Class A Common Stock with grant date fair values of approximately $5,000,000 for our Chief Executive Officer and ranging in the aggregate from approximately $1,500,000 to approximately $4,000,000 for our other Named Executive Officers. The PRSUs granted to our Named Executive Officers vest only if we achieve specified performance goals during the performance period beginning on January 1, 2022 and ending on December 31, 2023.</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Relationship Between Pay and Performance</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8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We emphasize variable compensation that appropriately rewards our Named Executive Officers through two separate compensation elements:</w:t>
      </w:r>
    </w:p>
    <w:p>
      <w:pPr>
        <w:spacing w:after="0" w:line="62" w:lineRule="exact"/>
        <w:rPr>
          <w:sz w:val="20"/>
          <w:szCs w:val="20"/>
          <w:color w:val="auto"/>
        </w:rPr>
      </w:pPr>
    </w:p>
    <w:p>
      <w:pPr>
        <w:jc w:val="both"/>
        <w:ind w:left="1000" w:right="299" w:hanging="348"/>
        <w:spacing w:after="0" w:line="254"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First, we provide the opportunity for them to receive quarterly cash bonus payments as determined in the discretion of our Chief Executive Officer based on corporate and individual performance. Going forward, the Compensation Committee of the Board (the “Compensation Committee”) intends to adopt a formal cash bonus plan that will provide our Named Executive Officers with the opportunity to earn cash bonus payments if we produce short-term financial, operational, and strategic results that meet or exceed pre-established corporate performance goals and includes the evaluation of certain individual contributions in achieving those goals.</w:t>
      </w:r>
    </w:p>
    <w:p>
      <w:pPr>
        <w:spacing w:after="0" w:line="86"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addition, we grant both PRSU awards and time-based 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68"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5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In 2021, approximately 60% of our Chief Executive Officer’s target total direct compensation and approximately 40%, on average, of our other Named Executive Officers target total direct compensation consisted of variable, “at-risk” compensation.</w:t>
      </w:r>
    </w:p>
    <w:p>
      <w:pPr>
        <w:spacing w:after="0" w:line="76"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Compensation Policies and Practices</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2021:</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What We Do:</w:t>
      </w:r>
    </w:p>
    <w:p>
      <w:pPr>
        <w:spacing w:after="0" w:line="117" w:lineRule="exact"/>
        <w:rPr>
          <w:sz w:val="20"/>
          <w:szCs w:val="20"/>
          <w:color w:val="auto"/>
        </w:rPr>
      </w:pPr>
    </w:p>
    <w:p>
      <w:pPr>
        <w:jc w:val="both"/>
        <w:ind w:left="1000" w:right="319" w:hanging="348"/>
        <w:spacing w:after="0" w:line="279"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Independent Compensation Committee. </w:t>
      </w:r>
      <w:r>
        <w:rPr>
          <w:rFonts w:ascii="Arial" w:cs="Arial" w:eastAsia="Arial" w:hAnsi="Arial"/>
          <w:sz w:val="17"/>
          <w:szCs w:val="17"/>
          <w:color w:val="auto"/>
        </w:rPr>
        <w:t>The Compensation Committee is comprised solely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directors who determine our compensation policies and practices and who have established effective means for communicating with our stockholders regarding their executive compensation views and concerns, as described in this Proxy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5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Retain an Independent Compensation Consultant. </w:t>
      </w:r>
      <w:r>
        <w:rPr>
          <w:rFonts w:ascii="Arial" w:cs="Arial" w:eastAsia="Arial" w:hAnsi="Arial"/>
          <w:sz w:val="18"/>
          <w:szCs w:val="18"/>
          <w:color w:val="auto"/>
        </w:rPr>
        <w:t>In 2021, the Compensation Committee engaged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compensation consultant to provide information, analysis, and other advice on compensation matters independent of management. This compensation consultant performed no other services for us during 2021.</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Executive Compensation Review. </w:t>
      </w:r>
      <w:r>
        <w:rPr>
          <w:rFonts w:ascii="Arial" w:cs="Arial" w:eastAsia="Arial" w:hAnsi="Arial"/>
          <w:sz w:val="18"/>
          <w:szCs w:val="18"/>
          <w:color w:val="auto"/>
        </w:rPr>
        <w:t>The Compensation Committee reviews and approves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strategy and policies at least annually, including a review of our executive compensation programs as compared to companies in our industry.</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“At-Risk.” </w:t>
      </w:r>
      <w:r>
        <w:rPr>
          <w:rFonts w:ascii="Arial" w:cs="Arial" w:eastAsia="Arial" w:hAnsi="Arial"/>
          <w:sz w:val="18"/>
          <w:szCs w:val="18"/>
          <w:color w:val="auto"/>
        </w:rPr>
        <w:t>Our executive compensation program is designed so that a significant portion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Named Executive Officers’ target annual total direct compensation is “at-risk” based on corporate performance, as well as equity-based, to align the interests of our Named Executive Officers and stockholders.</w:t>
      </w:r>
    </w:p>
    <w:p>
      <w:pPr>
        <w:spacing w:after="0" w:line="78"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Use of “Pay-for-Performance” Philosophy. </w:t>
      </w:r>
      <w:r>
        <w:rPr>
          <w:rFonts w:ascii="Arial" w:cs="Arial" w:eastAsia="Arial" w:hAnsi="Arial"/>
          <w:sz w:val="16"/>
          <w:szCs w:val="16"/>
          <w:color w:val="auto"/>
        </w:rPr>
        <w:t>The majority of our Named Executive Officers’ target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direct compensation is directly linked to our financial results and our stock price performance.</w:t>
      </w:r>
    </w:p>
    <w:p>
      <w:pPr>
        <w:spacing w:after="0" w:line="15"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Multi-Year Vesting Requirements. </w:t>
      </w:r>
      <w:r>
        <w:rPr>
          <w:rFonts w:ascii="Arial" w:cs="Arial" w:eastAsia="Arial" w:hAnsi="Arial"/>
          <w:sz w:val="18"/>
          <w:szCs w:val="18"/>
          <w:color w:val="auto"/>
        </w:rPr>
        <w:t>The annual equity awards granted to our Named Executive Officers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and/or vest over multi-year periods, consistent with current market practice and our retention objectives.</w:t>
      </w:r>
    </w:p>
    <w:p>
      <w:pPr>
        <w:spacing w:after="0" w:line="75" w:lineRule="exact"/>
        <w:rPr>
          <w:rFonts w:ascii="Arial" w:cs="Arial" w:eastAsia="Arial" w:hAnsi="Arial"/>
          <w:sz w:val="18"/>
          <w:szCs w:val="18"/>
          <w:color w:val="auto"/>
        </w:rPr>
      </w:pPr>
    </w:p>
    <w:p>
      <w:pPr>
        <w:jc w:val="both"/>
        <w:ind w:left="1000" w:right="319" w:hanging="348"/>
        <w:spacing w:after="0" w:line="272"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“Double-Trigger” Change-in-Control Arrangements. </w:t>
      </w:r>
      <w:r>
        <w:rPr>
          <w:rFonts w:ascii="Arial" w:cs="Arial" w:eastAsia="Arial" w:hAnsi="Arial"/>
          <w:sz w:val="17"/>
          <w:szCs w:val="17"/>
          <w:color w:val="auto"/>
        </w:rPr>
        <w:t>Our Named Executive Officers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69"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 and Welfare Benefits. </w:t>
      </w:r>
      <w:r>
        <w:rPr>
          <w:rFonts w:ascii="Arial" w:cs="Arial" w:eastAsia="Arial" w:hAnsi="Arial"/>
          <w:sz w:val="17"/>
          <w:szCs w:val="17"/>
          <w:color w:val="auto"/>
        </w:rPr>
        <w:t>Our Named Executive Officers participate in broad-based Company-sponsored health and welfare benefit programs on the same basis as our other employees.</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Succession Planning. </w:t>
      </w:r>
      <w:r>
        <w:rPr>
          <w:rFonts w:ascii="Arial" w:cs="Arial" w:eastAsia="Arial" w:hAnsi="Arial"/>
          <w:sz w:val="18"/>
          <w:szCs w:val="18"/>
          <w:color w:val="auto"/>
        </w:rPr>
        <w:t>We review the risks associated with our key executive officer positions to ensure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adequate succession plans are in place.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What We Don’t Do:</w:t>
      </w:r>
    </w:p>
    <w:p>
      <w:pPr>
        <w:spacing w:after="0" w:line="117" w:lineRule="exact"/>
        <w:rPr>
          <w:sz w:val="20"/>
          <w:szCs w:val="20"/>
          <w:color w:val="auto"/>
        </w:rPr>
      </w:pPr>
    </w:p>
    <w:p>
      <w:pPr>
        <w:jc w:val="both"/>
        <w:ind w:left="1000" w:right="299" w:hanging="348"/>
        <w:spacing w:after="0" w:line="25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Executive Officer Retirement Plans. </w:t>
      </w:r>
      <w:r>
        <w:rPr>
          <w:rFonts w:ascii="Arial" w:cs="Arial" w:eastAsia="Arial" w:hAnsi="Arial"/>
          <w:sz w:val="18"/>
          <w:szCs w:val="18"/>
          <w:color w:val="auto"/>
        </w:rPr>
        <w:t>We do not currently offer, nor do we have plans to offer,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79"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Executive Officer Perquisites. </w:t>
      </w:r>
      <w:r>
        <w:rPr>
          <w:rFonts w:ascii="Arial" w:cs="Arial" w:eastAsia="Arial" w:hAnsi="Arial"/>
          <w:sz w:val="18"/>
          <w:szCs w:val="18"/>
          <w:color w:val="auto"/>
        </w:rPr>
        <w:t>We generally provide benefits to our Named Executive Officers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basis as provided to all of our employees, including health, dental and vision insurance; accidental death and dismemberment insurance; disability insurance; and a tax-qualified Section 401(k) plan.</w:t>
      </w:r>
    </w:p>
    <w:p>
      <w:pPr>
        <w:spacing w:after="0" w:line="78"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Tax Payments on Change-in-Control Arrangements. </w:t>
      </w:r>
      <w:r>
        <w:rPr>
          <w:rFonts w:ascii="Arial" w:cs="Arial" w:eastAsia="Arial" w:hAnsi="Arial"/>
          <w:sz w:val="18"/>
          <w:szCs w:val="18"/>
          <w:color w:val="auto"/>
        </w:rPr>
        <w:t>We do not provide any excise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payments (including “gross-ups”) on payments or benefits that are contingent upon a change-in-control of the Company.</w:t>
      </w:r>
    </w:p>
    <w:p>
      <w:pPr>
        <w:spacing w:after="0" w:line="75"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Hedging or Pledging of our Securities. </w:t>
      </w:r>
      <w:r>
        <w:rPr>
          <w:rFonts w:ascii="Arial" w:cs="Arial" w:eastAsia="Arial" w:hAnsi="Arial"/>
          <w:sz w:val="18"/>
          <w:szCs w:val="18"/>
          <w:color w:val="auto"/>
        </w:rPr>
        <w:t>As part of our insider trading policy, all our directors,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Advisory Votes on Named Executive Officer Compensation</w:t>
      </w:r>
    </w:p>
    <w:p>
      <w:pPr>
        <w:spacing w:after="0" w:line="117"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At the annual meeting to which this Proxy Statement relates, we will be conducting the following stockholder advisory votes for the first time:</w:t>
      </w:r>
    </w:p>
    <w:p>
      <w:pPr>
        <w:spacing w:after="0" w:line="62" w:lineRule="exact"/>
        <w:rPr>
          <w:sz w:val="20"/>
          <w:szCs w:val="20"/>
          <w:color w:val="auto"/>
        </w:rPr>
      </w:pPr>
    </w:p>
    <w:p>
      <w:pPr>
        <w:ind w:left="1000" w:right="31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non-binding vote on the compensation of our Named Executive Officers (commonly known as a “Say-on-Pay” vote);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non-binding vote on the frequency of future Say-on-Pay votes (commonly known as a “Say-on-Frequency” vote).</w:t>
      </w:r>
    </w:p>
    <w:p>
      <w:pPr>
        <w:spacing w:after="0" w:line="62"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See “Proposal 2: Advisory Vote, on a Non-binding Basis, to Approve the Compensation of Our Named Executive Officers for the Year Ended 2021” and “Proposal 3: Advisory Vote, on a Non-binding Basis, on the Frequency of Solicitation of Advisory Stockholder Approval of Executive Compensation” respectively, in this Proxy Statement.</w:t>
      </w:r>
    </w:p>
    <w:p>
      <w:pPr>
        <w:spacing w:after="0" w:line="4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Although these are non-binding, advisory votes, we value the opinions of our stockholders. The Board and the Compensation Committee will consider the outcome of the Say-on-Pay vote and the related Say-on-Frequency vote, in addition to other relevant stockholder feedback that may be received throughout the year, when making compensation decisions for our Named Executive Officers.</w:t>
      </w:r>
    </w:p>
    <w:p>
      <w:pPr>
        <w:spacing w:after="0" w:line="79"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The Board is recommending that we hold future Say-on-Pay votes on the compensation of our Named Executive Officers on an annual, rather than a biennial or triennial, basis. For additional information about the Say-on-Frequency vote, see “Proposal 3 above.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57" w:lineRule="exact"/>
        <w:rPr>
          <w:sz w:val="20"/>
          <w:szCs w:val="20"/>
          <w:color w:val="auto"/>
        </w:rPr>
      </w:pPr>
    </w:p>
    <w:p>
      <w:pPr>
        <w:ind w:left="1000" w:right="319" w:hanging="348"/>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 Top Talent – </w:t>
      </w:r>
      <w:r>
        <w:rPr>
          <w:rFonts w:ascii="Arial" w:cs="Arial" w:eastAsia="Arial" w:hAnsi="Arial"/>
          <w:sz w:val="16"/>
          <w:szCs w:val="16"/>
          <w:color w:val="auto"/>
        </w:rPr>
        <w:t>Given the nature of our business and our long-term financial and strategic objectives,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must compete with other top technology companies for talent to build and grow our Company;</w:t>
      </w:r>
    </w:p>
    <w:p>
      <w:pPr>
        <w:spacing w:after="0" w:line="15" w:lineRule="exact"/>
        <w:rPr>
          <w:rFonts w:ascii="Arial" w:cs="Arial" w:eastAsia="Arial" w:hAnsi="Arial"/>
          <w:sz w:val="16"/>
          <w:szCs w:val="16"/>
          <w:color w:val="auto"/>
        </w:rPr>
      </w:pPr>
    </w:p>
    <w:p>
      <w:pPr>
        <w:jc w:val="both"/>
        <w:ind w:left="1000" w:right="319" w:hanging="348"/>
        <w:spacing w:after="0" w:line="259"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and Maintain a Performance-Based Culture – </w:t>
      </w:r>
      <w:r>
        <w:rPr>
          <w:rFonts w:ascii="Arial" w:cs="Arial" w:eastAsia="Arial" w:hAnsi="Arial"/>
          <w:sz w:val="18"/>
          <w:szCs w:val="18"/>
          <w:color w:val="auto"/>
        </w:rPr>
        <w:t>To be successful in a highly competitive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talent, we must create consistency through a compensation program that motivates exceptional performance by expanding the reach of our employees’ incentives so that they may share in the success of our business with our stockholders; and</w:t>
      </w:r>
    </w:p>
    <w:p>
      <w:pPr>
        <w:spacing w:after="0" w:line="78"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Retain Exceptional Employees – </w:t>
      </w:r>
      <w:r>
        <w:rPr>
          <w:rFonts w:ascii="Arial" w:cs="Arial" w:eastAsia="Arial" w:hAnsi="Arial"/>
          <w:sz w:val="18"/>
          <w:szCs w:val="18"/>
          <w:color w:val="auto"/>
        </w:rPr>
        <w:t>To ensure that we can meet our objectives, we must foster a culture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instills a sense of commitment to the organization and each other while, at the same time, recognizing and rewarding individual contributions and impact.</w:t>
      </w:r>
    </w:p>
    <w:p>
      <w:pPr>
        <w:spacing w:after="0" w:line="7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79"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Compensation Design</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design of our executive compensation program is influenced by a variety of factors, with the primary goals being to align the interests of our Named Executive Officers and stockholders and link pay with performance. Prior to June 16, 2021 (the “Closing Date”), when making executive compensation decisions, we considered the competitive market for corresponding positions within comparable geographic areas and companies of similar size and stage of development operating in our industry. This informal consideration was based on the general knowledge of our Chief Executive Officer regarding the compensation of some executive officers of other companies in our industry, through informal discussions with recruiting firms, research, and informal benchmarking against his personal knowledge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competitive market. Our Chief Executive Officer approved compensation decisions for each executive officer on an individual basis after a thorough discussion of various factors, including any informal knowledge or data in his possession.</w:t>
      </w:r>
    </w:p>
    <w:p>
      <w:pPr>
        <w:spacing w:after="0" w:line="76"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As we gain experience as a public company, the specific direction, emphasis, and components of our executive compensation program will continue to evolve as determined by the Compensation Committee. We have begun to transition to a more empirically-based approach that involves positioning our executive compensation against the competitive market based on an analysis of peer group data and broad-based executive compensation surveys.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Compensation-Setting Process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Role of Compensation Committee</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Following the Closing Date, the Compensation Committee has been responsible for discharging the responsibilities of the Board relating to the compensation of our Named Executive Officers and the non-employee members of the Board. The Compensation Committee has overall responsibility for overseeing our compensation and benefits policies generally, and overseeing, evaluating and approving the compensation plans, policies, and practices applicable to our Named Executive Officers.</w:t>
      </w:r>
    </w:p>
    <w:p>
      <w:pPr>
        <w:spacing w:after="0" w:line="80"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We expect that the compensation of our Named Executive Officers will be reviewed at least annually by the Compensation Committee and will be informed by the recommendations of our Chief Executive Officer. The Compensation Committee will then evaluate and determine any recommended compensation adjustments or awards to our Named Executive Officers or make recommendations to the Board for final determination. We expect that as part of this review process, the Compensation Committee will apply the objectives described above within the context of our overall compensation philosophy while simultaneously considering the compensation levels to ensure our executive compensation program remains competitive based on input and market data from its compensation consultant. The Compensation Committee will also evaluate whether we are meeting our retention objectives and the potential cost of replacing any of our Named Executive Officers.</w:t>
      </w:r>
    </w:p>
    <w:p>
      <w:pPr>
        <w:spacing w:after="0" w:line="73"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In carrying out its responsibilities,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Named Executive Officers when making decisions with respect to their compensation.</w:t>
      </w:r>
    </w:p>
    <w:p>
      <w:pPr>
        <w:spacing w:after="0" w:line="8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 xml:space="preserve">The Compensation Committee’s authority, duties, and responsibilities are further described in its charter, which is reviewed annually and revised and updated as warranted. Our Compensation Committee charter is located at our website at </w:t>
      </w:r>
      <w:r>
        <w:rPr>
          <w:rFonts w:ascii="Arial" w:cs="Arial" w:eastAsia="Arial" w:hAnsi="Arial"/>
          <w:sz w:val="18"/>
          <w:szCs w:val="18"/>
          <w:i w:val="1"/>
          <w:iCs w:val="1"/>
          <w:color w:val="auto"/>
        </w:rPr>
        <w:t>ir.weedmaps.com</w:t>
      </w:r>
      <w:r>
        <w:rPr>
          <w:rFonts w:ascii="Arial" w:cs="Arial" w:eastAsia="Arial" w:hAnsi="Arial"/>
          <w:sz w:val="18"/>
          <w:szCs w:val="18"/>
          <w:color w:val="auto"/>
        </w:rPr>
        <w:t>.</w:t>
      </w:r>
    </w:p>
    <w:p>
      <w:pPr>
        <w:spacing w:after="0" w:line="76"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The Compensation Committee has retained a compensation consultant (as described below) to provide support in its review and assessment of our executive compensation program; however, the Compensation Committee exercises its own judgment in making final decisions with respect to the compensation of our Named Executive Officers.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Setting Target Total Direct Compensation</w:t>
      </w:r>
    </w:p>
    <w:p>
      <w:pPr>
        <w:spacing w:after="0" w:line="117"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Going forward, during the first quarter of each year, the Compensation Committee, will conduct a review of the compensation arrangements of our Named Executive Officers. As part of this review, the Compensation Committee will evaluate the base salary levels, cash bonus opportunities, and long-term incentive compensation opportunities of our Named Executive Officers and all related performance criteria.</w:t>
      </w:r>
    </w:p>
    <w:p>
      <w:pPr>
        <w:spacing w:after="0" w:line="63"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The Compensation Committee does not intend to establish a specific target for formulating the target annual total direct compensation opportunities of our Named Executive Officers. In making decisions about the compensation of our Named Executive Officers, the members of the Compensation Committee rely primarily on their general experience and subjective considerations of various factors, including the following:</w:t>
      </w:r>
    </w:p>
    <w:p>
      <w:pPr>
        <w:spacing w:after="0" w:line="63" w:lineRule="exact"/>
        <w:rPr>
          <w:sz w:val="20"/>
          <w:szCs w:val="20"/>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executive compensation program objectives;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performance against the financial, operational, and strategic objectives established by the Compensation Committee and the Board;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individual Named Executive Officer’s knowledge, skills, experience, qualifications, and tenure relative to other similarly situated executives at companies in the competitive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29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each Named Executive Officer’s role and responsibilities compared to other similarly situated executives at the companies in the competitive market;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prior performance of each Named Executive Officer, based on a subjective assessment of the Named Executive Officer’s contributions to our overall performance, ability to lead the applicable business unit or function and work as part of a team;</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of each Named Executive Officer to contribute to our long-term financial, operational and strategic objectives;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Chief Executive Officer’s compensation relative to that of our other Named Executive Officers, and compensation parity among our Named Executive Officers;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financial performance relative to our peers;</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compensation practices of our compensation peer group and the companies in selected broad-based compensation surveys and the positioning of each Named Executive Officer’s compensation in a ranking of peer company compensation levels based on an analysis of competitive market data and selected broad-based compensation surveys; and</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recommendations of our Chief Executive Officer with respect to the compensation of our Named Executive Officers (except with respect to his own compensation).</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These factors provide the framework for compensation decision-making and final decisions regarding the compensation opportunity for our Named Executive Officers. No single factor is determinative in setting compensation levels, nor is the impact of any individual factor on the determination of pay levels quantifiable.</w:t>
      </w:r>
    </w:p>
    <w:p>
      <w:pPr>
        <w:spacing w:after="0" w:line="57"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The Compensation Committee does not intend to weigh these factors in any predetermined manner, nor will it apply any formulas in developing its compensation decisions. The members of the Compensation Committee will consider this information in light of their individual experience, knowledge of the Company, knowledge of the competitive market, knowledge of each Named Executive Officer, and business judgment in making their decisions.</w:t>
      </w:r>
    </w:p>
    <w:p>
      <w:pPr>
        <w:spacing w:after="0" w:line="49"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Compensation Committee does not intend to engage in formal benchmarking against other companies’ compensation programs or practices, to set compensation levels or make specific compensation decisions with respect to our Named Executive Officers. Instead, in making its determinations, the Compensation Committee will review information summarizing the compensation paid at a representative group of peer companies, to the extent that the executive positions at these companies are considered comparable to our positions and informative of the competitive environment, and more broad-based compensation surveys to gain a general understanding of market compensation levels.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17"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In discharging its responsibilities, the Compensation Committee intends to work with members of our management, including our Chief Executive Officer. Our management will assist the Compensation Committee by providing information on corporate and individual performance, market compensation data, and management’s perspective on compensation matters (other than their own compensation). The Compensation Committee will solicit and review our Chief Executive Officer’s proposals with respect to program structures, as well as his recommendations for adjustments to annual cash compensation, long-term incentive compensation opportunities, and other compensation-related matters for our Named Executive Officers (except with respect to his own compensation).</w:t>
      </w:r>
    </w:p>
    <w:p>
      <w:pPr>
        <w:spacing w:after="0" w:line="58"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At least once each year, our Chief Executive Officer will review the performance of our other Named Executive Officers, based on such individual’s level of success in accomplishing the business objectives established in the prior year and overall individual performance during that year, and then will make recommendations to, the Compensation Committee. The Compensation Committee will review and discuss our Chief Executive Officer’s proposals and recommendations with him and consider them as one factor in determining and approving the compensation of our other Named Executive Officers. Our Chief Executive Officer generally attends meetings of the Board and the Compensation Committee at which executive compensation matters are addressed, except during discussions about his own compensation.</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The Compensation Committee has the sole authority to retain an external compensation consultant to assist it by providing information, analysis, and other advice relating to the compensation of our Named Executive Officers,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including the authority to approve the consultant’s reasonable fees and other retention terms. The compensation consultant reports directly to the Compensation Committee and its chair, and serves at the discretion of the Compensation Committee, which reviews the engagement annually.</w:t>
      </w:r>
    </w:p>
    <w:p>
      <w:pPr>
        <w:spacing w:after="0" w:line="76"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In 2021, the Compensation Committee engaged Compensia, Inc. (“Compensia”), a national compensation consulting firm, to serve as its compensation consultant to advise on executive compensation matters, including competitive market pay practices for our Named Executive Officers and with data analysis and selection of the compensation peer group.</w:t>
      </w:r>
    </w:p>
    <w:p>
      <w:pPr>
        <w:spacing w:after="0" w:line="79"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During 2021, Compensia attended the meetings of the Compensation Committee as requested (both with and without management present) and provided various services including the analysis and selection of our compensation peer group, the review and analysis for certain long-term incentive compensation opportunities for our Named Executive Officers, the development of tools for the efficient administration of the Compensation Committee, and a review of non-employee Board compensation. The terms of Compensia’s engagement includes reporting directly to the Compensation Committee chair. Compensia also coordinated with our management for data collection and informal market comparisons for our Named Executive Officers. In 2021, Compensia did not provide any other services to us.</w:t>
      </w:r>
    </w:p>
    <w:p>
      <w:pPr>
        <w:spacing w:after="0" w:line="84"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2021. Based on this review, as well as consideration of the factors affecting independence set forth in Exchange Act Rule 10C-1(b)(4), Rule 5605(d)(3)(D) of the Nasdaq listing rules, and such other factors as were deemed relevant under the circumstances, the Compensation Committee has determined that no conflict of interest was raised as a result of the work performed by Compensia.</w:t>
      </w:r>
    </w:p>
    <w:p>
      <w:pPr>
        <w:spacing w:after="0" w:line="3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Competitive Positioning</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believe that peer group comparisons are useful guides to evaluate the competitiveness of our executive compensation program and related policies and practices. For purposes of assessing our executive compensation against the competitive market going forward, the Compensation Committee intends to review and consider the compensation levels and practices of a select group of peer companies. This compensation peer group will consist of technology, Internet-related, interactive media, and retail consumer-related companies that are similar to us in terms of certain financial characteristics (primarily revenue and market capitalization) and other important criteria that are similar to us in terms of certain financial characteristics (primarily revenue and market capitalization) and other important criteria. The compensation data drawn from this compensation peer group is one of several factors that the Compensation Committee will consider in making its decisions with respect to the compensation of our Named Executive Officers.</w:t>
      </w:r>
    </w:p>
    <w:p>
      <w:pPr>
        <w:spacing w:after="0" w:line="7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2021, our Chief Executive Officer made adjustments to the compensation arrangements of our Named Executive Officers as he determined in his discretion using his assessment of each Named Executive Officer’s individual skills, experience, performance, expected future contributions, his knowledge of the Company and the competitive market for executive talent, and his business judgment.</w:t>
      </w:r>
    </w:p>
    <w:p>
      <w:pPr>
        <w:spacing w:after="0" w:line="79"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color w:val="auto"/>
        </w:rPr>
        <w:t>In April 2021, management approved an updated compensation peer group with the assistance of Compensia to analyze the compensation of our Named Executive Officers. In identifying and selecting the companies to comprise the compensation peer group, Compensia considered the following primary criteria:</w:t>
      </w:r>
    </w:p>
    <w:p>
      <w:pPr>
        <w:spacing w:after="0" w:line="57" w:lineRule="exact"/>
        <w:rPr>
          <w:sz w:val="20"/>
          <w:szCs w:val="20"/>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publicly-traded companies headquartered in the United States;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companies with an emphasis on application software, internet services and infrastructure, interactive media and services, healthcare technology, internal and direct marketing retail, and systems software;</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companies with annual revenue within the range of approximately 0.5x to approximately 2.0x our estimated 2021 revenue of $205 million;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companies with market capitalizations within the range of approximately 0.25x to approximately 4.0x our estimated market capitalization of approximately $3 billion at April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After evaluating the proposed peer companies against these criteria, the Compensation Committee approved the following compensation peer group for the rest of 2021 and its impending status as a public company:</w:t>
      </w:r>
    </w:p>
    <w:p>
      <w:pPr>
        <w:spacing w:after="0" w:line="119"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AppFolio</w:t>
            </w:r>
          </w:p>
        </w:tc>
        <w:tc>
          <w:tcPr>
            <w:tcW w:w="2640" w:type="dxa"/>
            <w:vAlign w:val="bottom"/>
          </w:tcPr>
          <w:p>
            <w:pPr>
              <w:ind w:left="560"/>
              <w:spacing w:after="0"/>
              <w:rPr>
                <w:sz w:val="20"/>
                <w:szCs w:val="20"/>
                <w:color w:val="auto"/>
              </w:rPr>
            </w:pPr>
            <w:r>
              <w:rPr>
                <w:rFonts w:ascii="Arial" w:cs="Arial" w:eastAsia="Arial" w:hAnsi="Arial"/>
                <w:sz w:val="18"/>
                <w:szCs w:val="18"/>
                <w:color w:val="auto"/>
              </w:rPr>
              <w:t>GoodRx Holdings</w:t>
            </w:r>
          </w:p>
        </w:tc>
        <w:tc>
          <w:tcPr>
            <w:tcW w:w="2440" w:type="dxa"/>
            <w:vAlign w:val="bottom"/>
          </w:tcPr>
          <w:p>
            <w:pPr>
              <w:ind w:left="780"/>
              <w:spacing w:after="0"/>
              <w:rPr>
                <w:sz w:val="20"/>
                <w:szCs w:val="20"/>
                <w:color w:val="auto"/>
              </w:rPr>
            </w:pPr>
            <w:r>
              <w:rPr>
                <w:rFonts w:ascii="Arial" w:cs="Arial" w:eastAsia="Arial" w:hAnsi="Arial"/>
                <w:sz w:val="18"/>
                <w:szCs w:val="18"/>
                <w:color w:val="auto"/>
              </w:rPr>
              <w:t>Rapid7</w:t>
            </w: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BigCommerce Holdings</w:t>
            </w:r>
          </w:p>
        </w:tc>
        <w:tc>
          <w:tcPr>
            <w:tcW w:w="2640" w:type="dxa"/>
            <w:vAlign w:val="bottom"/>
          </w:tcPr>
          <w:p>
            <w:pPr>
              <w:ind w:left="560"/>
              <w:spacing w:after="0"/>
              <w:rPr>
                <w:sz w:val="20"/>
                <w:szCs w:val="20"/>
                <w:color w:val="auto"/>
              </w:rPr>
            </w:pPr>
            <w:r>
              <w:rPr>
                <w:rFonts w:ascii="Arial" w:cs="Arial" w:eastAsia="Arial" w:hAnsi="Arial"/>
                <w:sz w:val="18"/>
                <w:szCs w:val="18"/>
                <w:color w:val="auto"/>
              </w:rPr>
              <w:t>Health Catalyst</w:t>
            </w:r>
          </w:p>
        </w:tc>
        <w:tc>
          <w:tcPr>
            <w:tcW w:w="2440" w:type="dxa"/>
            <w:vAlign w:val="bottom"/>
          </w:tcPr>
          <w:p>
            <w:pPr>
              <w:ind w:left="780"/>
              <w:spacing w:after="0"/>
              <w:rPr>
                <w:sz w:val="20"/>
                <w:szCs w:val="20"/>
                <w:color w:val="auto"/>
              </w:rPr>
            </w:pPr>
            <w:r>
              <w:rPr>
                <w:rFonts w:ascii="Arial" w:cs="Arial" w:eastAsia="Arial" w:hAnsi="Arial"/>
                <w:sz w:val="18"/>
                <w:szCs w:val="18"/>
                <w:color w:val="auto"/>
                <w:w w:val="89"/>
              </w:rPr>
              <w:t>SailPoint Technologies</w:t>
            </w: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Blackline</w:t>
            </w:r>
          </w:p>
        </w:tc>
        <w:tc>
          <w:tcPr>
            <w:tcW w:w="2640" w:type="dxa"/>
            <w:vAlign w:val="bottom"/>
          </w:tcPr>
          <w:p>
            <w:pPr>
              <w:ind w:left="560"/>
              <w:spacing w:after="0"/>
              <w:rPr>
                <w:sz w:val="20"/>
                <w:szCs w:val="20"/>
                <w:color w:val="auto"/>
              </w:rPr>
            </w:pPr>
            <w:r>
              <w:rPr>
                <w:rFonts w:ascii="Arial" w:cs="Arial" w:eastAsia="Arial" w:hAnsi="Arial"/>
                <w:sz w:val="18"/>
                <w:szCs w:val="18"/>
                <w:color w:val="auto"/>
              </w:rPr>
              <w:t>Momentive</w:t>
            </w:r>
          </w:p>
        </w:tc>
        <w:tc>
          <w:tcPr>
            <w:tcW w:w="2440" w:type="dxa"/>
            <w:vAlign w:val="bottom"/>
          </w:tcPr>
          <w:p>
            <w:pPr>
              <w:ind w:left="780"/>
              <w:spacing w:after="0"/>
              <w:rPr>
                <w:sz w:val="20"/>
                <w:szCs w:val="20"/>
                <w:color w:val="auto"/>
              </w:rPr>
            </w:pPr>
            <w:r>
              <w:rPr>
                <w:rFonts w:ascii="Arial" w:cs="Arial" w:eastAsia="Arial" w:hAnsi="Arial"/>
                <w:sz w:val="18"/>
                <w:szCs w:val="18"/>
                <w:color w:val="auto"/>
              </w:rPr>
              <w:t>Smartsheet</w:t>
            </w: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Eventbrite</w:t>
            </w:r>
          </w:p>
        </w:tc>
        <w:tc>
          <w:tcPr>
            <w:tcW w:w="2640" w:type="dxa"/>
            <w:vAlign w:val="bottom"/>
          </w:tcPr>
          <w:p>
            <w:pPr>
              <w:ind w:left="560"/>
              <w:spacing w:after="0"/>
              <w:rPr>
                <w:sz w:val="20"/>
                <w:szCs w:val="20"/>
                <w:color w:val="auto"/>
              </w:rPr>
            </w:pPr>
            <w:r>
              <w:rPr>
                <w:rFonts w:ascii="Arial" w:cs="Arial" w:eastAsia="Arial" w:hAnsi="Arial"/>
                <w:sz w:val="18"/>
                <w:szCs w:val="18"/>
                <w:color w:val="auto"/>
              </w:rPr>
              <w:t>nCino</w:t>
            </w:r>
          </w:p>
        </w:tc>
        <w:tc>
          <w:tcPr>
            <w:tcW w:w="2440" w:type="dxa"/>
            <w:vAlign w:val="bottom"/>
          </w:tcPr>
          <w:p>
            <w:pPr>
              <w:ind w:left="780"/>
              <w:spacing w:after="0"/>
              <w:rPr>
                <w:sz w:val="20"/>
                <w:szCs w:val="20"/>
                <w:color w:val="auto"/>
              </w:rPr>
            </w:pPr>
            <w:r>
              <w:rPr>
                <w:rFonts w:ascii="Arial" w:cs="Arial" w:eastAsia="Arial" w:hAnsi="Arial"/>
                <w:sz w:val="18"/>
                <w:szCs w:val="18"/>
                <w:color w:val="auto"/>
              </w:rPr>
              <w:t>Sprout Social</w:t>
            </w: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Everbridge</w:t>
            </w:r>
          </w:p>
        </w:tc>
        <w:tc>
          <w:tcPr>
            <w:tcW w:w="2640" w:type="dxa"/>
            <w:vAlign w:val="bottom"/>
          </w:tcPr>
          <w:p>
            <w:pPr>
              <w:ind w:left="560"/>
              <w:spacing w:after="0"/>
              <w:rPr>
                <w:sz w:val="20"/>
                <w:szCs w:val="20"/>
                <w:color w:val="auto"/>
              </w:rPr>
            </w:pPr>
            <w:r>
              <w:rPr>
                <w:rFonts w:ascii="Arial" w:cs="Arial" w:eastAsia="Arial" w:hAnsi="Arial"/>
                <w:sz w:val="18"/>
                <w:szCs w:val="18"/>
                <w:color w:val="auto"/>
              </w:rPr>
              <w:t>Pluralsight</w:t>
            </w:r>
          </w:p>
        </w:tc>
        <w:tc>
          <w:tcPr>
            <w:tcW w:w="2440" w:type="dxa"/>
            <w:vAlign w:val="bottom"/>
          </w:tcPr>
          <w:p>
            <w:pPr>
              <w:ind w:left="780"/>
              <w:spacing w:after="0"/>
              <w:rPr>
                <w:sz w:val="20"/>
                <w:szCs w:val="20"/>
                <w:color w:val="auto"/>
              </w:rPr>
            </w:pPr>
            <w:r>
              <w:rPr>
                <w:rFonts w:ascii="Arial" w:cs="Arial" w:eastAsia="Arial" w:hAnsi="Arial"/>
                <w:sz w:val="18"/>
                <w:szCs w:val="18"/>
                <w:color w:val="auto"/>
              </w:rPr>
              <w:t>Yext</w:t>
            </w: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EverQuote</w:t>
            </w:r>
          </w:p>
        </w:tc>
        <w:tc>
          <w:tcPr>
            <w:tcW w:w="2640" w:type="dxa"/>
            <w:vAlign w:val="bottom"/>
          </w:tcPr>
          <w:p>
            <w:pPr>
              <w:ind w:left="560"/>
              <w:spacing w:after="0"/>
              <w:rPr>
                <w:sz w:val="20"/>
                <w:szCs w:val="20"/>
                <w:color w:val="auto"/>
              </w:rPr>
            </w:pPr>
            <w:r>
              <w:rPr>
                <w:rFonts w:ascii="Arial" w:cs="Arial" w:eastAsia="Arial" w:hAnsi="Arial"/>
                <w:sz w:val="18"/>
                <w:szCs w:val="18"/>
                <w:color w:val="auto"/>
              </w:rPr>
              <w:t>Q2 Holdings</w:t>
            </w:r>
          </w:p>
        </w:tc>
        <w:tc>
          <w:tcPr>
            <w:tcW w:w="2440" w:type="dxa"/>
            <w:vAlign w:val="bottom"/>
          </w:tcPr>
          <w:p>
            <w:pPr>
              <w:ind w:left="780"/>
              <w:spacing w:after="0"/>
              <w:rPr>
                <w:sz w:val="20"/>
                <w:szCs w:val="20"/>
                <w:color w:val="auto"/>
              </w:rPr>
            </w:pPr>
            <w:r>
              <w:rPr>
                <w:rFonts w:ascii="Arial" w:cs="Arial" w:eastAsia="Arial" w:hAnsi="Arial"/>
                <w:sz w:val="18"/>
                <w:szCs w:val="18"/>
                <w:color w:val="auto"/>
              </w:rPr>
              <w:t>Zuora</w:t>
            </w: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fuboTV</w:t>
            </w:r>
          </w:p>
        </w:tc>
        <w:tc>
          <w:tcPr>
            <w:tcW w:w="264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148"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The Compensation Committee intends to use data drawn from the companies in our compensation peer group, as well as data drawn from a custom cut of the Radford Global Technology Survey (which included participating peer companies and additional financially comparable industry competitors), to evaluate the competitive market when determining the total direct compensation packages for our Named Executive Officers, including base salary, target cash bonus opportunities, and long-term incentive compensation opportunities. While the Compensation Committee considers peer data to be a helpful reference to assess the competitiveness and appropriateness of our executive compensation program, the Committee applies its own business judgment and experience to determine individual compensation and does not set or target the compensation of our executives at specific levels or within specified percentile ranges relative to peer company pay levels.</w:t>
      </w:r>
    </w:p>
    <w:p>
      <w:pPr>
        <w:spacing w:after="0" w:line="7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Compensation Committee intends to review our compensation peer group at least annually and makes adjustments to its composition if warranted, taking into account changes in both our business and the businesses of the companies in the peer group.</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Elements</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Generally, our executive compensation program consists of three principal elements – base salary, cash bonus opportunities, and long-term incentive compensation in the form of equity awards.</w:t>
      </w:r>
    </w:p>
    <w:p>
      <w:pPr>
        <w:sectPr>
          <w:pgSz w:w="11900" w:h="16838" w:orient="portrait"/>
          <w:cols w:equalWidth="0" w:num="1">
            <w:col w:w="9019"/>
          </w:cols>
          <w:pgMar w:left="1440" w:top="265" w:right="1440" w:bottom="1440" w:gutter="0" w:footer="0" w:header="0"/>
        </w:sectPr>
      </w:pP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Element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Element</w:t>
            </w:r>
          </w:p>
        </w:tc>
        <w:tc>
          <w:tcPr>
            <w:tcW w:w="200" w:type="dxa"/>
            <w:vAlign w:val="bottom"/>
          </w:tcPr>
          <w:p>
            <w:pPr>
              <w:spacing w:after="0"/>
              <w:rPr>
                <w:sz w:val="16"/>
                <w:szCs w:val="16"/>
                <w:color w:val="auto"/>
              </w:rPr>
            </w:pPr>
          </w:p>
        </w:tc>
        <w:tc>
          <w:tcPr>
            <w:tcW w:w="2160" w:type="dxa"/>
            <w:vAlign w:val="bottom"/>
          </w:tcPr>
          <w:p>
            <w:pPr>
              <w:ind w:left="360"/>
              <w:spacing w:after="0"/>
              <w:rPr>
                <w:sz w:val="20"/>
                <w:szCs w:val="20"/>
                <w:color w:val="auto"/>
              </w:rPr>
            </w:pPr>
            <w:r>
              <w:rPr>
                <w:rFonts w:ascii="Arial" w:cs="Arial" w:eastAsia="Arial" w:hAnsi="Arial"/>
                <w:sz w:val="14"/>
                <w:szCs w:val="14"/>
                <w:b w:val="1"/>
                <w:bCs w:val="1"/>
                <w:color w:val="auto"/>
              </w:rPr>
              <w:t>Compensation Element</w:t>
            </w:r>
          </w:p>
        </w:tc>
      </w:tr>
      <w:tr>
        <w:trPr>
          <w:trHeight w:val="53"/>
        </w:trPr>
        <w:tc>
          <w:tcPr>
            <w:tcW w:w="17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r>
      <w:tr>
        <w:trPr>
          <w:trHeight w:val="277"/>
        </w:trPr>
        <w:tc>
          <w:tcPr>
            <w:tcW w:w="192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Cash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00"/>
        <w:spacing w:after="0"/>
        <w:tabs>
          <w:tab w:leader="none" w:pos="2440" w:val="left"/>
          <w:tab w:leader="none" w:pos="3480" w:val="left"/>
        </w:tabs>
        <w:rPr>
          <w:sz w:val="20"/>
          <w:szCs w:val="20"/>
          <w:color w:val="auto"/>
        </w:rPr>
      </w:pPr>
      <w:r>
        <w:rPr>
          <w:rFonts w:ascii="Arial" w:cs="Arial" w:eastAsia="Arial" w:hAnsi="Arial"/>
          <w:sz w:val="18"/>
          <w:szCs w:val="18"/>
          <w:color w:val="auto"/>
        </w:rPr>
        <w:t>Cash Bonuses</w:t>
      </w:r>
      <w:r>
        <w:rPr>
          <w:sz w:val="20"/>
          <w:szCs w:val="20"/>
          <w:color w:val="auto"/>
        </w:rPr>
        <w:tab/>
      </w:r>
      <w:r>
        <w:rPr>
          <w:rFonts w:ascii="Arial" w:cs="Arial" w:eastAsia="Arial" w:hAnsi="Arial"/>
          <w:sz w:val="18"/>
          <w:szCs w:val="18"/>
          <w:color w:val="auto"/>
        </w:rPr>
        <w:t>Variable</w:t>
      </w:r>
      <w:r>
        <w:rPr>
          <w:sz w:val="20"/>
          <w:szCs w:val="20"/>
          <w:color w:val="auto"/>
        </w:rPr>
        <w:tab/>
      </w:r>
      <w:r>
        <w:rPr>
          <w:rFonts w:ascii="Arial" w:cs="Arial" w:eastAsia="Arial" w:hAnsi="Arial"/>
          <w:sz w:val="15"/>
          <w:szCs w:val="15"/>
          <w:color w:val="auto"/>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tabs>
          <w:tab w:leader="none" w:pos="2440" w:val="left"/>
          <w:tab w:leader="none" w:pos="3480" w:val="left"/>
        </w:tabs>
        <w:rPr>
          <w:sz w:val="20"/>
          <w:szCs w:val="20"/>
          <w:color w:val="auto"/>
        </w:rPr>
      </w:pPr>
      <w:r>
        <w:rPr>
          <w:rFonts w:ascii="Arial" w:cs="Arial" w:eastAsia="Arial" w:hAnsi="Arial"/>
          <w:sz w:val="18"/>
          <w:szCs w:val="18"/>
          <w:color w:val="auto"/>
        </w:rPr>
        <w:t>Long Term Incentive</w:t>
      </w:r>
      <w:r>
        <w:rPr>
          <w:sz w:val="20"/>
          <w:szCs w:val="20"/>
          <w:color w:val="auto"/>
        </w:rPr>
        <w:tab/>
      </w:r>
      <w:r>
        <w:rPr>
          <w:rFonts w:ascii="Arial" w:cs="Arial" w:eastAsia="Arial" w:hAnsi="Arial"/>
          <w:sz w:val="18"/>
          <w:szCs w:val="18"/>
          <w:color w:val="auto"/>
        </w:rPr>
        <w:t>Variable</w:t>
      </w:r>
      <w:r>
        <w:rPr>
          <w:sz w:val="20"/>
          <w:szCs w:val="20"/>
          <w:color w:val="auto"/>
        </w:rPr>
        <w:tab/>
      </w:r>
      <w:r>
        <w:rPr>
          <w:rFonts w:ascii="Arial" w:cs="Arial" w:eastAsia="Arial" w:hAnsi="Arial"/>
          <w:sz w:val="17"/>
          <w:szCs w:val="17"/>
          <w:color w:val="auto"/>
        </w:rPr>
        <w:t>Equity awards in the form of</w:t>
      </w:r>
    </w:p>
    <w:p>
      <w:pPr>
        <w:spacing w:after="0" w:line="23" w:lineRule="exact"/>
        <w:rPr>
          <w:sz w:val="20"/>
          <w:szCs w:val="20"/>
          <w:color w:val="auto"/>
        </w:rPr>
      </w:pPr>
    </w:p>
    <w:p>
      <w:pPr>
        <w:ind w:left="480"/>
        <w:spacing w:after="0"/>
        <w:tabs>
          <w:tab w:leader="none" w:pos="3480" w:val="left"/>
        </w:tabs>
        <w:rPr>
          <w:sz w:val="20"/>
          <w:szCs w:val="20"/>
          <w:color w:val="auto"/>
        </w:rPr>
      </w:pPr>
      <w:r>
        <w:rPr>
          <w:rFonts w:ascii="Arial" w:cs="Arial" w:eastAsia="Arial" w:hAnsi="Arial"/>
          <w:sz w:val="16"/>
          <w:szCs w:val="16"/>
          <w:color w:val="auto"/>
        </w:rPr>
        <w:t>Compensation</w:t>
      </w:r>
      <w:r>
        <w:rPr>
          <w:sz w:val="20"/>
          <w:szCs w:val="20"/>
          <w:color w:val="auto"/>
        </w:rPr>
        <w:tab/>
      </w:r>
      <w:r>
        <w:rPr>
          <w:rFonts w:ascii="Arial" w:cs="Arial" w:eastAsia="Arial" w:hAnsi="Arial"/>
          <w:sz w:val="16"/>
          <w:szCs w:val="16"/>
          <w:color w:val="auto"/>
        </w:rPr>
        <w:t>time-based RSU awards that</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may be settled for shares of</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our Class A Common Stock</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and PRSU awards that may</w:t>
      </w:r>
    </w:p>
    <w:p>
      <w:pPr>
        <w:spacing w:after="0" w:line="21" w:lineRule="exact"/>
        <w:rPr>
          <w:sz w:val="20"/>
          <w:szCs w:val="20"/>
          <w:color w:val="auto"/>
        </w:rPr>
      </w:pPr>
    </w:p>
    <w:p>
      <w:pPr>
        <w:jc w:val="right"/>
        <w:spacing w:after="0"/>
        <w:tabs>
          <w:tab w:leader="none" w:pos="1840" w:val="left"/>
          <w:tab w:leader="none" w:pos="1200" w:val="left"/>
          <w:tab w:leader="none" w:pos="800" w:val="left"/>
          <w:tab w:leader="none" w:pos="180" w:val="left"/>
        </w:tabs>
        <w:rPr>
          <w:sz w:val="20"/>
          <w:szCs w:val="20"/>
          <w:color w:val="auto"/>
        </w:rPr>
      </w:pPr>
      <w:r>
        <w:rPr>
          <w:rFonts w:ascii="Arial" w:cs="Arial" w:eastAsia="Arial" w:hAnsi="Arial"/>
          <w:sz w:val="18"/>
          <w:szCs w:val="18"/>
          <w:color w:val="auto"/>
        </w:rPr>
        <w:t>be</w:t>
        <w:tab/>
        <w:t>earned</w:t>
        <w:tab/>
        <w:t>and</w:t>
        <w:tab/>
        <w:t>settled</w:t>
      </w:r>
      <w:r>
        <w:rPr>
          <w:sz w:val="20"/>
          <w:szCs w:val="20"/>
          <w:color w:val="auto"/>
        </w:rPr>
        <w:tab/>
      </w:r>
      <w:r>
        <w:rPr>
          <w:rFonts w:ascii="Arial" w:cs="Arial" w:eastAsia="Arial" w:hAnsi="Arial"/>
          <w:sz w:val="17"/>
          <w:szCs w:val="17"/>
          <w:color w:val="auto"/>
        </w:rPr>
        <w:t>for</w:t>
      </w:r>
    </w:p>
    <w:p>
      <w:pPr>
        <w:spacing w:after="0" w:line="9" w:lineRule="exact"/>
        <w:rPr>
          <w:sz w:val="20"/>
          <w:szCs w:val="20"/>
          <w:color w:val="auto"/>
        </w:rPr>
      </w:pPr>
    </w:p>
    <w:p>
      <w:pPr>
        <w:ind w:left="3500"/>
        <w:spacing w:after="0"/>
        <w:tabs>
          <w:tab w:leader="none" w:pos="4120" w:val="left"/>
          <w:tab w:leader="none" w:pos="4480" w:val="left"/>
          <w:tab w:leader="none" w:pos="4920" w:val="left"/>
          <w:tab w:leader="none" w:pos="5500" w:val="left"/>
        </w:tabs>
        <w:rPr>
          <w:sz w:val="20"/>
          <w:szCs w:val="20"/>
          <w:color w:val="auto"/>
        </w:rPr>
      </w:pPr>
      <w:r>
        <w:rPr>
          <w:rFonts w:ascii="Arial" w:cs="Arial" w:eastAsia="Arial" w:hAnsi="Arial"/>
          <w:sz w:val="18"/>
          <w:szCs w:val="18"/>
          <w:color w:val="auto"/>
        </w:rPr>
        <w:t>shares</w:t>
        <w:tab/>
        <w:t>of</w:t>
        <w:tab/>
        <w:t>our</w:t>
        <w:tab/>
        <w:t>Class</w:t>
        <w:tab/>
        <w:t>A</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18173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24" w:lineRule="exact"/>
        <w:rPr>
          <w:sz w:val="20"/>
          <w:szCs w:val="20"/>
          <w:color w:val="auto"/>
        </w:rPr>
      </w:pPr>
    </w:p>
    <w:p>
      <w:pPr>
        <w:jc w:val="both"/>
        <w:ind w:right="299"/>
        <w:spacing w:after="0" w:line="273" w:lineRule="auto"/>
        <w:rPr>
          <w:sz w:val="20"/>
          <w:szCs w:val="20"/>
          <w:color w:val="auto"/>
        </w:rPr>
      </w:pPr>
      <w:r>
        <w:rPr>
          <w:rFonts w:ascii="Arial" w:cs="Arial" w:eastAsia="Arial" w:hAnsi="Arial"/>
          <w:sz w:val="17"/>
          <w:szCs w:val="17"/>
          <w:color w:val="auto"/>
        </w:rPr>
        <w:t>Designed to attract and retain executives by providing a competitive fixed amount of cash compensation based on the executive’s role, prior experience, and expected contributions to the Company</w:t>
      </w:r>
    </w:p>
    <w:p>
      <w:pPr>
        <w:spacing w:after="0" w:line="70" w:lineRule="exact"/>
        <w:rPr>
          <w:sz w:val="20"/>
          <w:szCs w:val="20"/>
          <w:color w:val="auto"/>
        </w:rPr>
      </w:pPr>
    </w:p>
    <w:p>
      <w:pPr>
        <w:jc w:val="both"/>
        <w:ind w:right="299"/>
        <w:spacing w:after="0" w:line="273" w:lineRule="auto"/>
        <w:rPr>
          <w:sz w:val="20"/>
          <w:szCs w:val="20"/>
          <w:color w:val="auto"/>
        </w:rPr>
      </w:pPr>
      <w:r>
        <w:rPr>
          <w:rFonts w:ascii="Arial" w:cs="Arial" w:eastAsia="Arial" w:hAnsi="Arial"/>
          <w:sz w:val="17"/>
          <w:szCs w:val="17"/>
          <w:color w:val="auto"/>
        </w:rPr>
        <w:t>Designed to motivate our executives to achieve business objectives tied to specific Company metrics and which are aligned to our annual priorities, with the payout opportunity based on Company and individual performance</w:t>
      </w:r>
    </w:p>
    <w:p>
      <w:pPr>
        <w:spacing w:after="0" w:line="70" w:lineRule="exact"/>
        <w:rPr>
          <w:sz w:val="20"/>
          <w:szCs w:val="20"/>
          <w:color w:val="auto"/>
        </w:rPr>
      </w:pPr>
    </w:p>
    <w:p>
      <w:pPr>
        <w:jc w:val="both"/>
        <w:ind w:right="299"/>
        <w:spacing w:after="0" w:line="301" w:lineRule="auto"/>
        <w:rPr>
          <w:sz w:val="20"/>
          <w:szCs w:val="20"/>
          <w:color w:val="auto"/>
        </w:rPr>
      </w:pPr>
      <w:r>
        <w:rPr>
          <w:rFonts w:ascii="Arial" w:cs="Arial" w:eastAsia="Arial" w:hAnsi="Arial"/>
          <w:sz w:val="16"/>
          <w:szCs w:val="16"/>
          <w:color w:val="auto"/>
        </w:rPr>
        <w:t>Designed to align the interests of our executives and our stockholders while helping to attract and retain talented leaders by paying for performance</w:t>
      </w:r>
    </w:p>
    <w:p>
      <w:pPr>
        <w:spacing w:after="0" w:line="967" w:lineRule="exact"/>
        <w:rPr>
          <w:sz w:val="20"/>
          <w:szCs w:val="20"/>
          <w:color w:val="auto"/>
        </w:rPr>
      </w:pPr>
    </w:p>
    <w:p>
      <w:pPr>
        <w:sectPr>
          <w:pgSz w:w="11900" w:h="16838" w:orient="portrait"/>
          <w:cols w:equalWidth="0" w:num="2">
            <w:col w:w="5660" w:space="200"/>
            <w:col w:w="3159"/>
          </w:cols>
          <w:pgMar w:left="1440" w:top="265" w:right="1440" w:bottom="1440" w:gutter="0" w:footer="0" w:header="0"/>
          <w:type w:val="continuous"/>
        </w:sectPr>
      </w:pPr>
    </w:p>
    <w:p>
      <w:pPr>
        <w:jc w:val="both"/>
        <w:ind w:left="300" w:right="299"/>
        <w:spacing w:after="0" w:line="279" w:lineRule="auto"/>
        <w:rPr>
          <w:sz w:val="20"/>
          <w:szCs w:val="20"/>
          <w:color w:val="auto"/>
        </w:rPr>
      </w:pPr>
      <w:r>
        <w:rPr>
          <w:rFonts w:ascii="Arial" w:cs="Arial" w:eastAsia="Arial" w:hAnsi="Arial"/>
          <w:sz w:val="17"/>
          <w:szCs w:val="17"/>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ectPr>
          <w:pgSz w:w="11900" w:h="16838" w:orient="portrait"/>
          <w:cols w:equalWidth="0" w:num="1">
            <w:col w:w="9019"/>
          </w:cols>
          <w:pgMar w:left="1440" w:top="265" w:right="1440" w:bottom="1440" w:gutter="0" w:footer="0" w:header="0"/>
          <w:type w:val="continuous"/>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70"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Prior to the Closing Date, our Chief Executive Officer reviewed and determined the annual base salaries of our other Named Executive Officers, taking into account each Named Executive Officer’s position, qualifications, experience, prior salary level, the base salaries of our other executive officers and our compensation objectives. Our Chief Executive Officer also considered information about the base salaries of similarly situated executives in other companies at a similar stage of development. Our Chief Executive Officer’s annual base salary was set forth in his employment offer letter.</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annual base salaries of our Named Executive Officers for 2021 were as follows: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2021 Base</w:t>
            </w:r>
          </w:p>
        </w:tc>
        <w:tc>
          <w:tcPr>
            <w:tcW w:w="0" w:type="dxa"/>
            <w:vAlign w:val="bottom"/>
          </w:tcPr>
          <w:p>
            <w:pPr>
              <w:spacing w:after="0"/>
              <w:rPr>
                <w:sz w:val="1"/>
                <w:szCs w:val="1"/>
                <w:color w:val="auto"/>
              </w:rPr>
            </w:pPr>
          </w:p>
        </w:tc>
      </w:tr>
      <w:tr>
        <w:trPr>
          <w:trHeight w:val="148"/>
        </w:trPr>
        <w:tc>
          <w:tcPr>
            <w:tcW w:w="7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Salary</w:t>
            </w:r>
          </w:p>
        </w:tc>
        <w:tc>
          <w:tcPr>
            <w:tcW w:w="0" w:type="dxa"/>
            <w:vAlign w:val="bottom"/>
          </w:tcPr>
          <w:p>
            <w:pPr>
              <w:spacing w:after="0"/>
              <w:rPr>
                <w:sz w:val="1"/>
                <w:szCs w:val="1"/>
                <w:color w:val="auto"/>
              </w:rPr>
            </w:pPr>
          </w:p>
        </w:tc>
      </w:tr>
      <w:tr>
        <w:trPr>
          <w:trHeight w:val="186"/>
        </w:trPr>
        <w:tc>
          <w:tcPr>
            <w:tcW w:w="7740" w:type="dxa"/>
            <w:vAlign w:val="bottom"/>
            <w:gridSpan w:val="3"/>
            <w:vMerge w:val="continue"/>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53"/>
        </w:trPr>
        <w:tc>
          <w:tcPr>
            <w:tcW w:w="1280" w:type="dxa"/>
            <w:vAlign w:val="bottom"/>
            <w:tcBorders>
              <w:bottom w:val="single" w:sz="8" w:color="auto"/>
            </w:tcBorders>
          </w:tcPr>
          <w:p>
            <w:pPr>
              <w:spacing w:after="0"/>
              <w:rPr>
                <w:sz w:val="4"/>
                <w:szCs w:val="4"/>
                <w:color w:val="auto"/>
              </w:rPr>
            </w:pPr>
          </w:p>
        </w:tc>
        <w:tc>
          <w:tcPr>
            <w:tcW w:w="60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$600,000</w:t>
            </w: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Arial" w:cs="Arial" w:eastAsia="Arial" w:hAnsi="Arial"/>
                <w:sz w:val="18"/>
                <w:szCs w:val="18"/>
                <w:color w:val="auto"/>
              </w:rPr>
              <w:t>Arden Lee</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$500,000</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6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774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Juanjo Feijoo</w:t>
            </w:r>
            <w:r>
              <w:rPr>
                <w:rFonts w:ascii="Arial" w:cs="Arial" w:eastAsia="Arial" w:hAnsi="Arial"/>
                <w:sz w:val="29"/>
                <w:szCs w:val="29"/>
                <w:color w:val="auto"/>
                <w:vertAlign w:val="superscript"/>
              </w:rPr>
              <w:t>(1)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$436,923</w:t>
            </w:r>
          </w:p>
        </w:tc>
        <w:tc>
          <w:tcPr>
            <w:tcW w:w="0" w:type="dxa"/>
            <w:vAlign w:val="bottom"/>
          </w:tcPr>
          <w:p>
            <w:pPr>
              <w:spacing w:after="0"/>
              <w:rPr>
                <w:sz w:val="1"/>
                <w:szCs w:val="1"/>
                <w:color w:val="auto"/>
              </w:rPr>
            </w:pPr>
          </w:p>
        </w:tc>
      </w:tr>
      <w:tr>
        <w:trPr>
          <w:trHeight w:val="270"/>
        </w:trPr>
        <w:tc>
          <w:tcPr>
            <w:tcW w:w="7740" w:type="dxa"/>
            <w:vAlign w:val="bottom"/>
            <w:gridSpan w:val="3"/>
          </w:tcPr>
          <w:p>
            <w:pPr>
              <w:spacing w:after="0"/>
              <w:rPr>
                <w:sz w:val="20"/>
                <w:szCs w:val="20"/>
                <w:color w:val="auto"/>
              </w:rPr>
            </w:pPr>
            <w:r>
              <w:rPr>
                <w:rFonts w:ascii="Arial" w:cs="Arial" w:eastAsia="Arial" w:hAnsi="Arial"/>
                <w:sz w:val="18"/>
                <w:szCs w:val="18"/>
                <w:color w:val="auto"/>
              </w:rPr>
              <w:t>Brian Camire</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$410,000</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6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Justin Dean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$475,000</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6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-1156970</wp:posOffset>
            </wp:positionV>
            <wp:extent cx="240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5" w:lineRule="exact"/>
        <w:rPr>
          <w:sz w:val="20"/>
          <w:szCs w:val="20"/>
          <w:color w:val="auto"/>
        </w:rPr>
      </w:pPr>
    </w:p>
    <w:p>
      <w:pPr>
        <w:jc w:val="both"/>
        <w:ind w:left="640" w:right="319" w:hanging="348"/>
        <w:spacing w:after="0" w:line="238" w:lineRule="auto"/>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Feijoo’s initial annual base salary as our Chief Marketing Officer was $400,000. On February 1, 2021, he was appointed as our Chief Operating Officer. At that time, his annual base salary was adjusted to $440,000. Accordingly, his annual base salary was pro-rated for 2021.</w:t>
      </w:r>
    </w:p>
    <w:p>
      <w:pPr>
        <w:spacing w:after="0" w:line="7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Going forward, the Compensation Committee will review and adjust the annual base salaries of our Named Executive Officers as part of its annual review of our executive compensation program.</w:t>
      </w:r>
    </w:p>
    <w:p>
      <w:pPr>
        <w:spacing w:after="0" w:line="6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base salaries paid to our Named Executive Officers during 2021 are set forth in the “2021 Summary Compensation Table” below.</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Bonuses</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Prior to the Closing Date, we did not maintain a formal bonus plan. Instead, we provided our Named Executive Officers (other than our Chief Executive Officer) with the opportunity to earn quarterly cash bonuses that were intended to encourage the achievement of the key objectives and milestones set forth in our annual operating plan. At the end of each fiscal quarter, our Chief Executive Officer would determine whether cash bonuses were to be awarded for the quarter and, if so, the amount of such bonuses based on a percentage of each Named Executive Officer’s annual base salary. During the first half of 2021, our Chief Executive Officer based his cash bonus decisions on his discretionary assessment of our corporate performance and an evaluation of each Named Executive Officer’s individual contributions to that performance. During the second half of 2021, our Chief Executive Officer continued to make his decisions based on the exercise of his discretion after evaluating our corporate performance and each Named Executive Officer’s individual performance, but also took into consideration the Company’s actual performance as measured against its quarterly revenue targets and pre-identified operational performance metrics and goals for each Named Executive Officer.</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Target Bonus Opportunities</w:t>
      </w:r>
    </w:p>
    <w:p>
      <w:pPr>
        <w:spacing w:after="0" w:line="11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Each Named Executive Officer (other than our Chief Executive Officer) was assigned a target cash bonus opportunity, expressed as a percentage of the Named Executive Officer’s annual base salary, as set forth in the Named Executive Officer’s employment offer letter. From time to time, our Chief Executive Officer could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Chief Executive Officer also considered information about the target bonus opportunities of similarly situated executives in other companies at a similar stage of development.</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target cash bonus opportunities of our Named Executive Officers for 2021, as a percentage of annual base salary, were as follows: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2021 Target Cash</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2021 Target Cash</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Bonus Opportunity</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(as a percentage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Bonus Opportunity</w:t>
            </w:r>
          </w:p>
        </w:tc>
        <w:tc>
          <w:tcPr>
            <w:tcW w:w="0" w:type="dxa"/>
            <w:vAlign w:val="bottom"/>
          </w:tcPr>
          <w:p>
            <w:pPr>
              <w:spacing w:after="0"/>
              <w:rPr>
                <w:sz w:val="1"/>
                <w:szCs w:val="1"/>
                <w:color w:val="auto"/>
              </w:rPr>
            </w:pPr>
          </w:p>
        </w:tc>
      </w:tr>
      <w:tr>
        <w:trPr>
          <w:trHeight w:val="186"/>
        </w:trPr>
        <w:tc>
          <w:tcPr>
            <w:tcW w:w="5600" w:type="dxa"/>
            <w:vAlign w:val="bottom"/>
            <w:gridSpan w:val="2"/>
            <w:vMerge w:val="continue"/>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of base salary)</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53"/>
        </w:trPr>
        <w:tc>
          <w:tcPr>
            <w:tcW w:w="518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83%</w:t>
            </w:r>
          </w:p>
        </w:tc>
        <w:tc>
          <w:tcPr>
            <w:tcW w:w="4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$500,000</w:t>
            </w:r>
          </w:p>
        </w:tc>
        <w:tc>
          <w:tcPr>
            <w:tcW w:w="0" w:type="dxa"/>
            <w:vAlign w:val="bottom"/>
          </w:tcPr>
          <w:p>
            <w:pPr>
              <w:spacing w:after="0"/>
              <w:rPr>
                <w:sz w:val="1"/>
                <w:szCs w:val="1"/>
                <w:color w:val="auto"/>
              </w:rPr>
            </w:pP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16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Juanjo Feijoo</w:t>
            </w:r>
          </w:p>
        </w:tc>
        <w:tc>
          <w:tcPr>
            <w:tcW w:w="1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$218,462</w:t>
            </w:r>
          </w:p>
        </w:tc>
        <w:tc>
          <w:tcPr>
            <w:tcW w:w="0" w:type="dxa"/>
            <w:vAlign w:val="bottom"/>
          </w:tcPr>
          <w:p>
            <w:pPr>
              <w:spacing w:after="0"/>
              <w:rPr>
                <w:sz w:val="1"/>
                <w:szCs w:val="1"/>
                <w:color w:val="auto"/>
              </w:rPr>
            </w:pP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16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1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$ 61,500</w:t>
            </w:r>
          </w:p>
        </w:tc>
        <w:tc>
          <w:tcPr>
            <w:tcW w:w="0" w:type="dxa"/>
            <w:vAlign w:val="bottom"/>
          </w:tcPr>
          <w:p>
            <w:pPr>
              <w:spacing w:after="0"/>
              <w:rPr>
                <w:sz w:val="1"/>
                <w:szCs w:val="1"/>
                <w:color w:val="auto"/>
              </w:rPr>
            </w:pPr>
          </w:p>
        </w:tc>
      </w:tr>
      <w:tr>
        <w:trPr>
          <w:trHeight w:val="54"/>
        </w:trPr>
        <w:tc>
          <w:tcPr>
            <w:tcW w:w="51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-1045210</wp:posOffset>
            </wp:positionV>
            <wp:extent cx="2571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-1045210</wp:posOffset>
            </wp:positionV>
            <wp:extent cx="2654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Evaluation of Performance</w:t>
      </w:r>
    </w:p>
    <w:p>
      <w:pPr>
        <w:spacing w:after="0" w:line="11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Our Chief Executive Officer had the discretion to determine whether to pay and, if so, the amount of each Named Executive Officer’s quarterly cash bonus based upon his quantitative evaluation of the Company’s financial and operational performance and his qualitative evaluation of the impact of the Named Executive Officer’s contributions to that performance. Our Chief Executive Officer retained discretion over the ultimate annual bonus determinations. In addition, our Chief Executive Officer could adjust cash bonuses due to extraordinary or nonrecurring events. These cash bonuses were intended to reward our Named Executive Officers who had a positive impact on our corporate results.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Cash Bonus Payments</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After the end of the second, third and fourth fiscal quarters of 2021, our Chief Executive Officer met with the Compensation Committee to review our actual performance for the quarter and to present his determinations as to whether to pay a cash bonus for that quarter and the amount earned by each Named Executive Officer. The Compensation Committee reviewed and provided input on our Chief Executive Officer’s determinations, but the final decisions as to each Named Executive Officer’s cash bonus was solely the determination of our Chief Executive Officer.</w:t>
      </w:r>
    </w:p>
    <w:p>
      <w:pPr>
        <w:spacing w:after="0" w:line="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Based on our Chief Executive Officer’s assessment of our corporate performance and each Named Executive Officer’s individual contributions to that performance during each fiscal quarter, our Named Executive Officers earned the following aggregate cash bonuses in 2021:</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2021 Target Cash</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Actual 2021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Actual 2021 Cash Bonus</w:t>
            </w:r>
          </w:p>
        </w:tc>
        <w:tc>
          <w:tcPr>
            <w:tcW w:w="0" w:type="dxa"/>
            <w:vAlign w:val="bottom"/>
          </w:tcPr>
          <w:p>
            <w:pPr>
              <w:spacing w:after="0"/>
              <w:rPr>
                <w:sz w:val="1"/>
                <w:szCs w:val="1"/>
                <w:color w:val="auto"/>
              </w:rPr>
            </w:pPr>
          </w:p>
        </w:tc>
      </w:tr>
      <w:tr>
        <w:trPr>
          <w:trHeight w:val="145"/>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60" w:type="dxa"/>
            <w:vAlign w:val="bottom"/>
            <w:vMerge w:val="restart"/>
          </w:tcPr>
          <w:p>
            <w:pPr>
              <w:spacing w:after="0"/>
              <w:rPr>
                <w:sz w:val="12"/>
                <w:szCs w:val="12"/>
                <w:color w:val="auto"/>
              </w:rPr>
            </w:pPr>
          </w:p>
        </w:tc>
        <w:tc>
          <w:tcPr>
            <w:tcW w:w="152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2"/>
              </w:rPr>
              <w:t>Bonus Opportunity</w:t>
            </w:r>
          </w:p>
        </w:tc>
        <w:tc>
          <w:tcPr>
            <w:tcW w:w="10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Cash Bonus</w:t>
            </w:r>
          </w:p>
        </w:tc>
        <w:tc>
          <w:tcPr>
            <w:tcW w:w="1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(as a percentage of target</w:t>
            </w:r>
          </w:p>
        </w:tc>
        <w:tc>
          <w:tcPr>
            <w:tcW w:w="0" w:type="dxa"/>
            <w:vAlign w:val="bottom"/>
          </w:tcPr>
          <w:p>
            <w:pPr>
              <w:spacing w:after="0"/>
              <w:rPr>
                <w:sz w:val="1"/>
                <w:szCs w:val="1"/>
                <w:color w:val="auto"/>
              </w:rPr>
            </w:pPr>
          </w:p>
        </w:tc>
      </w:tr>
      <w:tr>
        <w:trPr>
          <w:trHeight w:val="242"/>
        </w:trPr>
        <w:tc>
          <w:tcPr>
            <w:tcW w:w="38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CCEEFF"/>
            </w:tcBorders>
            <w:vMerge w:val="continue"/>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3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cash bonus opportunity)</w:t>
            </w:r>
          </w:p>
        </w:tc>
        <w:tc>
          <w:tcPr>
            <w:tcW w:w="0" w:type="dxa"/>
            <w:vAlign w:val="bottom"/>
          </w:tcPr>
          <w:p>
            <w:pPr>
              <w:spacing w:after="0"/>
              <w:rPr>
                <w:sz w:val="1"/>
                <w:szCs w:val="1"/>
                <w:color w:val="auto"/>
              </w:rPr>
            </w:pPr>
          </w:p>
        </w:tc>
      </w:tr>
      <w:tr>
        <w:trPr>
          <w:trHeight w:val="311"/>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$500,000</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4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15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$217,081</w:t>
            </w:r>
          </w:p>
        </w:tc>
        <w:tc>
          <w:tcPr>
            <w:tcW w:w="320" w:type="dxa"/>
            <w:vAlign w:val="bottom"/>
          </w:tcPr>
          <w:p>
            <w:pPr>
              <w:spacing w:after="0"/>
              <w:rPr>
                <w:sz w:val="23"/>
                <w:szCs w:val="23"/>
                <w:color w:val="auto"/>
              </w:rPr>
            </w:pPr>
          </w:p>
        </w:tc>
        <w:tc>
          <w:tcPr>
            <w:tcW w:w="1600" w:type="dxa"/>
            <w:vAlign w:val="bottom"/>
          </w:tcPr>
          <w:p>
            <w:pPr>
              <w:jc w:val="right"/>
              <w:ind w:right="5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Juanjo Feijoo</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$218,462</w:t>
            </w:r>
          </w:p>
        </w:tc>
        <w:tc>
          <w:tcPr>
            <w:tcW w:w="3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$252,478</w:t>
            </w:r>
          </w:p>
        </w:tc>
        <w:tc>
          <w:tcPr>
            <w:tcW w:w="3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437"/>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424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15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$110,583</w:t>
            </w:r>
          </w:p>
        </w:tc>
        <w:tc>
          <w:tcPr>
            <w:tcW w:w="320" w:type="dxa"/>
            <w:vAlign w:val="bottom"/>
          </w:tcPr>
          <w:p>
            <w:pPr>
              <w:spacing w:after="0"/>
              <w:rPr>
                <w:sz w:val="23"/>
                <w:szCs w:val="23"/>
                <w:color w:val="auto"/>
              </w:rPr>
            </w:pPr>
          </w:p>
        </w:tc>
        <w:tc>
          <w:tcPr>
            <w:tcW w:w="1600" w:type="dxa"/>
            <w:vAlign w:val="bottom"/>
          </w:tcPr>
          <w:p>
            <w:pPr>
              <w:jc w:val="right"/>
              <w:ind w:right="5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$ 61,500</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$ 97,931</w:t>
            </w:r>
          </w:p>
        </w:tc>
        <w:tc>
          <w:tcPr>
            <w:tcW w:w="3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54"/>
        </w:trPr>
        <w:tc>
          <w:tcPr>
            <w:tcW w:w="38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4317365</wp:posOffset>
            </wp:positionH>
            <wp:positionV relativeFrom="paragraph">
              <wp:posOffset>-1045210</wp:posOffset>
            </wp:positionV>
            <wp:extent cx="2057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-1045210</wp:posOffset>
            </wp:positionV>
            <wp:extent cx="2057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-1045210</wp:posOffset>
            </wp:positionV>
            <wp:extent cx="2228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5" w:lineRule="exact"/>
        <w:rPr>
          <w:sz w:val="20"/>
          <w:szCs w:val="20"/>
          <w:color w:val="auto"/>
        </w:rPr>
      </w:pPr>
    </w:p>
    <w:p>
      <w:pPr>
        <w:ind w:left="640" w:hanging="348"/>
        <w:spacing w:after="0"/>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IPO bonus for Messrs. Lee and Camire of $450,000 and $200,000, respectively.</w:t>
      </w:r>
    </w:p>
    <w:p>
      <w:pPr>
        <w:spacing w:after="0" w:line="10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Going forward, the Compensation Committee will design and adopt a formal cash bonus plan for our Named Executive Officers as part of its annual review of our executive compensation program.</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Transaction-Related Bonuses</w:t>
      </w:r>
    </w:p>
    <w:p>
      <w:pPr>
        <w:spacing w:after="0" w:line="11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In October 2021, the Compensation Committee determined that, as a follow-up to the Closing Date, it would be in the best interests of the Company and our stockholders to award contingent transaction-related cash bonuses to Messrs. Lee and Camire. Mr. Lee’s transaction-related cash bonus was contingent on at least six stock analysts initiating coverage of the Company prior to year-end of 2021, and Mr. Camire’s transaction-related cash bonus was contingent on our timely completion and filing of all regular Quarterly Reports on Form 10-Q with the SEC to be filed in 2021. The amount of these contingent transaction-related cash bonuses for Messrs. Lee and Camire was $450,000 and $200,000, respectively.</w:t>
      </w:r>
    </w:p>
    <w:p>
      <w:pPr>
        <w:sectPr>
          <w:pgSz w:w="11900" w:h="16838" w:orient="portrait"/>
          <w:cols w:equalWidth="0" w:num="1">
            <w:col w:w="9019"/>
          </w:cols>
          <w:pgMar w:left="1440" w:top="265"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In December 2021, the Compensation Committee determined that at least six stock analysts have initiated coverage of the Company and that we had timely completed and filed all regular Quarterly Reports on Form 10-Q with the SEC for 2021. Accordingly, the Compensation Committee approved the payment of the contingent transaction-related cash bonuses to Messrs. Lee and Camire in the amounts of $450,000 and $200,000, respectively, on the Company’s first regular pay date after December 31, 2021, subject to their continued employment through the payment date.</w:t>
      </w:r>
    </w:p>
    <w:p>
      <w:pPr>
        <w:spacing w:after="0" w:line="8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annual bonuses awarded to our Named Executive Officers for 2021 are set forth in the “Summary Compensation Table” below.</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Long-Term Equity Incentive Compensation</w:t>
      </w:r>
    </w:p>
    <w:p>
      <w:pPr>
        <w:spacing w:after="0" w:line="117"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encounter significant competition for qualified personnel, and long-term incentive compensation plays a critical role in our ability to attract, hire, motivate, and reward qualified and experienced executives. The use of long-term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58"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In December 2021, we granted time-based RSU awards and PRSU awards, which may be settled for shares of our Class A Common Stock, to motivate and reward our Named Executive Officers for long-term increases in the value of our Class A Common Stock.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 as an effective source of motivation for our Named Executive Officers to drive our financial performance. In addition, PRSU awards provide a direct link between compensation and stockholder return, thereby motivating our Named Executive Officers to focus on and strive to achieve both our annual and long-term financial and strategic objectives.</w:t>
      </w:r>
    </w:p>
    <w:p>
      <w:pPr>
        <w:spacing w:after="0" w:line="63"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Compensation Committee reviewed and determined the size of the equity awards of our Named Executive Officers based on a formula that took into account each Named Executive Officer’s position, qualifications, experience and a competitive market analysis prepared by its compensation consultant, and the other factors described in “</w:t>
      </w:r>
      <w:r>
        <w:rPr>
          <w:rFonts w:ascii="Arial" w:cs="Arial" w:eastAsia="Arial" w:hAnsi="Arial"/>
          <w:sz w:val="16"/>
          <w:szCs w:val="16"/>
          <w:i w:val="1"/>
          <w:iCs w:val="1"/>
          <w:color w:val="auto"/>
        </w:rPr>
        <w:t>Compensation-Setting Process—Setting Target Total Direct Compensation</w:t>
      </w:r>
      <w:r>
        <w:rPr>
          <w:rFonts w:ascii="Arial" w:cs="Arial" w:eastAsia="Arial" w:hAnsi="Arial"/>
          <w:sz w:val="16"/>
          <w:szCs w:val="16"/>
          <w:color w:val="auto"/>
        </w:rPr>
        <w:t>” above. Based upon these factors, the Compensation Committee determined the size of each equity award at levels considered appropriate to create a meaningful opportunity for reward predicated on the creation of long-term stockholder value.</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equity awards granted to our Named Executive Officers in December 2021 under the WM Technology, Inc.</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2021 Equity Incentive Plan (the “2021 Equity Plan”) were as follows:</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RSU Awards</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RSU Awards</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PRSU Awards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PRSU Awards</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(grant date</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(target number</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(grant date</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(number of units)</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fair value)</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units)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86"/>
        </w:trPr>
        <w:tc>
          <w:tcPr>
            <w:tcW w:w="3940" w:type="dxa"/>
            <w:vAlign w:val="bottom"/>
            <w:gridSpan w:val="2"/>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7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781,250</w:t>
            </w: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5,000,000</w:t>
            </w: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781,250</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5,000,000</w:t>
            </w:r>
          </w:p>
        </w:tc>
        <w:tc>
          <w:tcPr>
            <w:tcW w:w="0" w:type="dxa"/>
            <w:vAlign w:val="bottom"/>
          </w:tcPr>
          <w:p>
            <w:pPr>
              <w:spacing w:after="0"/>
              <w:rPr>
                <w:sz w:val="1"/>
                <w:szCs w:val="1"/>
                <w:color w:val="auto"/>
              </w:rPr>
            </w:pPr>
          </w:p>
        </w:tc>
      </w:tr>
      <w:tr>
        <w:trPr>
          <w:trHeight w:val="270"/>
        </w:trPr>
        <w:tc>
          <w:tcPr>
            <w:tcW w:w="394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625,000</w:t>
            </w:r>
          </w:p>
        </w:tc>
        <w:tc>
          <w:tcPr>
            <w:tcW w:w="24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4,000,000</w:t>
            </w:r>
          </w:p>
        </w:tc>
        <w:tc>
          <w:tcPr>
            <w:tcW w:w="2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625,000</w:t>
            </w:r>
          </w:p>
        </w:tc>
        <w:tc>
          <w:tcPr>
            <w:tcW w:w="24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4,000,000</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Juanjo Feijoo</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468,750</w:t>
            </w: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3,000,000</w:t>
            </w: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468,750</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3,000,000</w:t>
            </w:r>
          </w:p>
        </w:tc>
        <w:tc>
          <w:tcPr>
            <w:tcW w:w="0" w:type="dxa"/>
            <w:vAlign w:val="bottom"/>
          </w:tcPr>
          <w:p>
            <w:pPr>
              <w:spacing w:after="0"/>
              <w:rPr>
                <w:sz w:val="1"/>
                <w:szCs w:val="1"/>
                <w:color w:val="auto"/>
              </w:rPr>
            </w:pPr>
          </w:p>
        </w:tc>
      </w:tr>
      <w:tr>
        <w:trPr>
          <w:trHeight w:val="270"/>
        </w:trPr>
        <w:tc>
          <w:tcPr>
            <w:tcW w:w="394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328,125</w:t>
            </w:r>
          </w:p>
        </w:tc>
        <w:tc>
          <w:tcPr>
            <w:tcW w:w="24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2,100.000</w:t>
            </w:r>
          </w:p>
        </w:tc>
        <w:tc>
          <w:tcPr>
            <w:tcW w:w="2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328,125</w:t>
            </w:r>
          </w:p>
        </w:tc>
        <w:tc>
          <w:tcPr>
            <w:tcW w:w="24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2,100.000</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234,375</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1,500,000</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234,375</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1,500,000</w:t>
            </w:r>
          </w:p>
        </w:tc>
        <w:tc>
          <w:tcPr>
            <w:tcW w:w="0" w:type="dxa"/>
            <w:vAlign w:val="bottom"/>
          </w:tcPr>
          <w:p>
            <w:pPr>
              <w:spacing w:after="0"/>
              <w:rPr>
                <w:sz w:val="1"/>
                <w:szCs w:val="1"/>
                <w:color w:val="auto"/>
              </w:rPr>
            </w:pPr>
          </w:p>
        </w:tc>
      </w:tr>
      <w:tr>
        <w:trPr>
          <w:trHeight w:val="54"/>
        </w:trPr>
        <w:tc>
          <w:tcPr>
            <w:tcW w:w="37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-1045210</wp:posOffset>
            </wp:positionV>
            <wp:extent cx="1543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-1045210</wp:posOffset>
            </wp:positionV>
            <wp:extent cx="1543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-1045210</wp:posOffset>
            </wp:positionV>
            <wp:extent cx="1543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-1045210</wp:posOffset>
            </wp:positionV>
            <wp:extent cx="1543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RSU Awards</w:t>
      </w:r>
    </w:p>
    <w:p>
      <w:pPr>
        <w:spacing w:after="0" w:line="117"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The RSU awards granted to our Named Executive Officers vest in equal quarterly installments over three years following the vesting commencement date, and vesting terminates upon the Named Executive Officer’s termination</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of continuous service with us. Each unit granted pursuant to these RSU awards represents a contingent right to receive one share of our Class A Common Stock for each unit that vests.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PRSU Awards</w:t>
      </w:r>
    </w:p>
    <w:p>
      <w:pPr>
        <w:spacing w:after="0" w:line="11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PRSUs granted to our Named Executive Officers vest only if we achieve specified performance goals during the performance period beginning on January 1, 2022 and ending on December 31, 2023. The actual number of PRSUs that vest will be determined based upon the following calculation: (i) 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8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The number of PRSUs that vest will be determined by our compensation committee within 90 days following the end of the performance period, which is referred to as the determination date. Each Named Executive Officer must remain employed by us through the determination date for the PRSU award to vest.</w:t>
      </w:r>
    </w:p>
    <w:p>
      <w:pPr>
        <w:spacing w:after="0" w:line="57" w:lineRule="exact"/>
        <w:rPr>
          <w:sz w:val="20"/>
          <w:szCs w:val="20"/>
          <w:color w:val="auto"/>
        </w:rPr>
      </w:pPr>
    </w:p>
    <w:p>
      <w:pPr>
        <w:jc w:val="both"/>
        <w:ind w:left="300" w:right="319"/>
        <w:spacing w:after="0" w:line="275" w:lineRule="auto"/>
        <w:rPr>
          <w:sz w:val="20"/>
          <w:szCs w:val="20"/>
          <w:color w:val="auto"/>
        </w:rPr>
      </w:pPr>
      <w:r>
        <w:rPr>
          <w:rFonts w:ascii="Arial" w:cs="Arial" w:eastAsia="Arial" w:hAnsi="Arial"/>
          <w:sz w:val="17"/>
          <w:szCs w:val="17"/>
          <w:color w:val="auto"/>
        </w:rPr>
        <w:t>Threshold achievement of the Revenue CAGR performance metric will result in a 50% Revenue CAGR Percentage, target achievement of the Revenue CAGR performance metric will result in a 100% Revenue CAGR Percentage, and maximum achievement of the Revenue CAGR performance metric will result in a 200% Revenue CAGR Percentage, with the Revenue CAGR Percentage interpolated linearly and rounded up the nearest percentage point between these level after threshold performance is attained.</w:t>
      </w:r>
    </w:p>
    <w:p>
      <w:pPr>
        <w:spacing w:after="0" w:line="68"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Threshold achievement of the Adjusted EBITDA Margin performance metric will result in a 50% Adjusted EBITDA Margin Percentage, target achievement of the Adjusted EBITDA Margin performance metric will result in a 100% Adjusted EBITDA Margin Percentage, and maximum achievement of the Adjusted EBITDA Margin performance metric will result in a 200% Adjusted EBITDA Margin Percentage, with the Adjusted EBITDA Margin Percentage interpolated linearly and rounded up the nearest percentage point between these level after threshold performance is attained.</w:t>
      </w:r>
    </w:p>
    <w:p>
      <w:pPr>
        <w:spacing w:after="0" w:line="8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equity awards granted to our Named Executive Officers during 2021 are set forth in the “Summary Compensation Table” and the “Grants of Plan-Based Awards” below.</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Health and Welfare Benefits</w:t>
      </w:r>
    </w:p>
    <w:p>
      <w:pPr>
        <w:spacing w:after="0" w:line="11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w:t>
      </w:r>
    </w:p>
    <w:p>
      <w:pPr>
        <w:spacing w:after="0" w:line="68"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w:t>
      </w:r>
    </w:p>
    <w:p>
      <w:pPr>
        <w:spacing w:after="0" w:line="6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2021, our Named Executive Officers did not receive perquisites or other personal benefits that were, in the aggregate, $10,000 or more for each individual.</w:t>
      </w:r>
    </w:p>
    <w:p>
      <w:pPr>
        <w:spacing w:after="0" w:line="7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Offer Letters</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Each of our Chief Executive Officer and each of our other Named Executive Officers have entered into written employment offer letters, which set forth each Named Executive Officer’s initial base salary, eligibility to receive an annual bonus, eligibility to received discretionary bonuses, certain employee benefits, a recommendation for an equity award and eligibility to participate in our employee benefit plans and programs on the same basis as those plans and programs are made available to other similarly situated employees. We believe that these arrangements were necessary to secure the service of these individuals in a highly competitive job market. As a condition to entering into these employment offer letters, each Named Executive Officer was required to execute our Confidential Information, Non-Solicitation and Inventions Assignment Agreement.</w:t>
      </w:r>
    </w:p>
    <w:p>
      <w:pPr>
        <w:spacing w:after="0" w:line="7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For additional information about the employment offer letters with our Named Executive Officers, see “Employment Arrangements” below.</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Post-Employment Compensation Arrangements</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We believe that having in place reasonable and competitive post-employment compensation arrangements, including in the event of a change-in-control of the Company, are essential to attracting and retaining highly qualified executive officers. The Compensation Committee does not consider the specific amounts payable under the post-employment compensation arrangements when determining our Named Executive Officers’ compensation. We do believe, however, that these arrangements are necessary to offer competitive compensation packages.</w:t>
      </w:r>
    </w:p>
    <w:p>
      <w:pPr>
        <w:spacing w:after="0" w:line="53"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In December 2021, we adopted a Severance and Change in Control Plan (the “Severance Plan”). Each of our Named Executive Officers is eligible to participate in the Severance Plan, which provides certain benefits. We believe these the Severance Plan provides reasonable compensation in the form of a cash severance payment (which is based on a participant’s base salary and target annual bonus (if any), certain limited health care benefits, and, in connection with a termination of employment in connection with a change-in-control of the Company, acceleration of vesting and/or exercisability any outstanding and unvested equity awards, to a Named Executive Officer upon leaving our employ under certain circumstances to facilitate a transition to new employment. Further, we seek to mitigate any potential employer liability and avoid future disputes or litigation by requiring a departing Named Executive Officer to sign a general waiver and release of all claims as a condition to receiving post-employment compensation payments or benefits. We believe that the Severance Plan helps maintain our Named Executive Officers’ continued focus on their assigned duties to maximize stockholder value if there is a potential change-in-control transaction and mitigate the risk of subsequent disputes or litigation.</w:t>
      </w:r>
    </w:p>
    <w:p>
      <w:pPr>
        <w:spacing w:after="0" w:line="6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For a description of the Severance Plan and the specific post-employment compensation arrangements of our Named Executive Officers, as well as an estimate of the potential payments and benefits payable under these arrangements, see “Potential Payments upon Termination or Change in Control” below.</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Award Grant Policy</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w:t>
      </w:r>
    </w:p>
    <w:p>
      <w:pPr>
        <w:spacing w:after="0" w:line="79"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color w:val="auto"/>
        </w:rPr>
        <w:t>The Compensation Committee has delegated to the Equity Grant Committee (which consists of our Chief Executive Officer, General Counsel, and Chief Financial Officer) (the “EGC”) the nonexclusive authority to grant equity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79"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and Accounting Considerations</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Compensation Committee intends to take the applicable tax and accounting requirements into consideration in designing and overseeing our executive compensation program.</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For federal income tax purposes, publicly-traded companies may be prohibited under Section 162(m) of the Code from deducting employee remuneration in excess of $1 million paid to their chief executive officer, chief financial officer, any other executive officer whose total compensation is required to be reported to stockholders under the Exchange Act by reason of such individual being among the three highest compensated executive officers for the tax year, and any executive officer who was subject to the deduction limit in any tax year beginning after December 31, 2016.</w:t>
      </w:r>
    </w:p>
    <w:p>
      <w:pPr>
        <w:spacing w:after="0" w:line="84"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Even if Section 162(m) may limit the compensation deduction, our Board of Directors and the Compensation Committee believe our compensation policies and practices should be designed to help us meet our established goals and objectives. While the Compensation Committee will consider the impact of the Section 162(m) deduction limitation, it intends to continue to compensate our Named Executive Officers in a manner that is in the best interests of our stockholders and reserves the right to make compensation decisions that may not be deductible under Section 162(m) where the Compensation Committee determines the compensation to be appropriate and in the best interests of the Company and our stockholders.</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The Compensation Committee takes accounting considerations into account in designing compensation plans and arrangements for our executive officers and other employees. Chief among these is ASC Topic 718, the standard 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Pay-Ratio Information</w:t>
      </w:r>
    </w:p>
    <w:p>
      <w:pPr>
        <w:spacing w:after="0" w:line="12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Under the Dodd-Frank Wall Street Reform and Consumer Protection Act and the related SEC rule (the “Rule”), we are required to provide to our shareholders specified disclosure regarding the relationship of our Chief Executive Officer’s total compensation to the total compensation of our median employee, referred to as “pay-ratio” disclosure.</w:t>
      </w:r>
    </w:p>
    <w:p>
      <w:pPr>
        <w:spacing w:after="0" w:line="4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For 2021, the estimated median of the annual total compensation of all of our employees, excluding our Chief Executive Officer, was $138,000 and the annual total compensation of our Chief Executive Officer, as reported in the Summary Compensation Table included in this Proxy Statement, was $10,614,467. Based on this information, the ratio of the annual total compensation of our Chief Executive Officer to the median of the annual total compensation of all other employees was estimated to be 76.5 to 1.</w:t>
      </w:r>
    </w:p>
    <w:p>
      <w:pPr>
        <w:spacing w:after="0" w:line="80"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pay ratio above represents the Company’s reasonable estimate calculated in a manner consistent with the Rule and applicable guidance. The Rule and guidance provide significant flexibility in how to identify the median employee, and each company may use a different methodology and make different assumptions particular to the company. As a result, as the SEC explained when it adopted the Rule, in considering the pay-ratio disclosure, shareholders should keep in mind that the Rule was not designed to facilitate comparisons of pay ratios among different companies, even companies within the same industry, but rather to allow shareholders to better understand and assess each particular company’s compensation practices and pay-ratio disclosures.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In determining the pay ratio information provided above, we identified our “median employee” by using the following methodology, as permitted by the Rule:</w:t>
      </w:r>
    </w:p>
    <w:p>
      <w:pPr>
        <w:spacing w:after="0" w:line="62" w:lineRule="exact"/>
        <w:rPr>
          <w:sz w:val="20"/>
          <w:szCs w:val="20"/>
          <w:color w:val="auto"/>
        </w:rPr>
      </w:pPr>
    </w:p>
    <w:p>
      <w:pPr>
        <w:jc w:val="both"/>
        <w:ind w:left="1000" w:right="319" w:hanging="348"/>
        <w:spacing w:after="0" w:line="311"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selected December 31, 2021, as the date upon which we would identify our employee population and median employee, and, from our tax and payroll records, we compiled a list of all our employees who were employed on that date, including employees working both within and outside of the United States.</w:t>
      </w:r>
    </w:p>
    <w:p>
      <w:pPr>
        <w:spacing w:after="0" w:line="40" w:lineRule="exact"/>
        <w:rPr>
          <w:rFonts w:ascii="Arial" w:cs="Arial" w:eastAsia="Arial" w:hAnsi="Arial"/>
          <w:sz w:val="16"/>
          <w:szCs w:val="16"/>
          <w:color w:val="auto"/>
        </w:rPr>
      </w:pPr>
    </w:p>
    <w:p>
      <w:pPr>
        <w:jc w:val="both"/>
        <w:ind w:left="1000" w:right="299" w:hanging="348"/>
        <w:spacing w:after="0" w:line="273"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Total cash compensation during the 2021 fiscal year was used as a consistently applied compensation measure to identify our median employee from the employees on the list. For this purpose, we define total cash compensation as the sum of base wages and annual incentives payable in cash during the year. We did not annualize the total cash compensation of any permanent employees who were employed for less than the full year. For employees working outside of the United States, total cash compensation was converted to U.S. dollars using 2021 exchange rates.</w:t>
      </w:r>
    </w:p>
    <w:p>
      <w:pPr>
        <w:spacing w:after="0" w:line="69"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Applying the methodology described above, we determined that our median employee was a Senior Product Analyst located in the United States.</w:t>
      </w:r>
    </w:p>
    <w:p>
      <w:pPr>
        <w:spacing w:after="0" w:line="62"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For 2021, we calculated the annual total compensation of the median employee using the same methodology that we used to determine the annual total compensation of the Chief Executive Officer, as reported in the Summary Compensation Table of this proxy statement.</w:t>
      </w:r>
    </w:p>
    <w:p>
      <w:pPr>
        <w:spacing w:after="0" w:line="76"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SEC’s pay ratio disclosure rules provide reporting companies with a great deal of flexibility in determining the methodology used to identify the median employee and the pay ratio. As such, our methodology may differ materially from the methodology used by other companies to prepare their pay ratio disclosures, which may contribute to a lack of comparability between our pay ratio and the pay ratio reported by other companies, including those within our industry.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The following table shows compensation awarded or paid to, or earned by, our Named Executive Officers with respect to the years ended 2021 and 2020.</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100" w:type="dxa"/>
            <w:vAlign w:val="bottom"/>
          </w:tcPr>
          <w:p>
            <w:pPr>
              <w:spacing w:after="0"/>
              <w:rPr>
                <w:sz w:val="14"/>
                <w:szCs w:val="14"/>
                <w:color w:val="auto"/>
              </w:rPr>
            </w:pPr>
          </w:p>
        </w:tc>
        <w:tc>
          <w:tcPr>
            <w:tcW w:w="6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4"/>
                <w:szCs w:val="14"/>
                <w:color w:val="auto"/>
              </w:rPr>
            </w:pPr>
          </w:p>
        </w:tc>
        <w:tc>
          <w:tcPr>
            <w:tcW w:w="820" w:type="dxa"/>
            <w:vAlign w:val="bottom"/>
          </w:tcPr>
          <w:p>
            <w:pPr>
              <w:jc w:val="right"/>
              <w:ind w:right="181"/>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8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r>
              <w:rPr>
                <w:rFonts w:ascii="Arial" w:cs="Arial" w:eastAsia="Arial" w:hAnsi="Arial"/>
                <w:sz w:val="23"/>
                <w:szCs w:val="23"/>
                <w:b w:val="1"/>
                <w:bCs w:val="1"/>
                <w:color w:val="auto"/>
                <w:vertAlign w:val="superscript"/>
              </w:rPr>
              <w:t>(5)</w:t>
            </w:r>
          </w:p>
        </w:tc>
        <w:tc>
          <w:tcPr>
            <w:tcW w:w="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21"/>
              <w:spacing w:after="0" w:line="145" w:lineRule="exact"/>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Awards</w:t>
            </w:r>
          </w:p>
        </w:tc>
        <w:tc>
          <w:tcPr>
            <w:tcW w:w="10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302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79"/>
              <w:spacing w:after="0" w:line="2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ind w:right="161"/>
              <w:spacing w:after="0" w:line="2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(4)</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7"/>
        </w:trPr>
        <w:tc>
          <w:tcPr>
            <w:tcW w:w="3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600,000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10,000,000</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14,467</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10,614,467</w:t>
            </w:r>
          </w:p>
        </w:tc>
        <w:tc>
          <w:tcPr>
            <w:tcW w:w="0" w:type="dxa"/>
            <w:vAlign w:val="bottom"/>
          </w:tcPr>
          <w:p>
            <w:pPr>
              <w:spacing w:after="0"/>
              <w:rPr>
                <w:sz w:val="1"/>
                <w:szCs w:val="1"/>
                <w:color w:val="auto"/>
              </w:rPr>
            </w:pPr>
          </w:p>
        </w:tc>
      </w:tr>
      <w:tr>
        <w:trPr>
          <w:trHeight w:val="94"/>
        </w:trPr>
        <w:tc>
          <w:tcPr>
            <w:tcW w:w="306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w w:val="99"/>
              </w:rPr>
              <w:t>Chief Executive Officer and Director</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7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600,000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2021</w:t>
            </w:r>
          </w:p>
        </w:tc>
        <w:tc>
          <w:tcPr>
            <w:tcW w:w="7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500,000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667,081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13,716</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9,180,797</w:t>
            </w:r>
          </w:p>
        </w:tc>
        <w:tc>
          <w:tcPr>
            <w:tcW w:w="0" w:type="dxa"/>
            <w:vAlign w:val="bottom"/>
          </w:tcPr>
          <w:p>
            <w:pPr>
              <w:spacing w:after="0"/>
              <w:rPr>
                <w:sz w:val="1"/>
                <w:szCs w:val="1"/>
                <w:color w:val="auto"/>
              </w:rPr>
            </w:pPr>
          </w:p>
        </w:tc>
      </w:tr>
      <w:tr>
        <w:trPr>
          <w:trHeight w:val="230"/>
        </w:trPr>
        <w:tc>
          <w:tcPr>
            <w:tcW w:w="30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Juanjo Feijoo</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436,923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252,478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12,757</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6,702,158</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2021</w:t>
            </w:r>
          </w:p>
        </w:tc>
        <w:tc>
          <w:tcPr>
            <w:tcW w:w="7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475,000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110,583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4,200,000</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10,405</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4,795,988</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Technology Officer and Chief</w:t>
            </w:r>
          </w:p>
        </w:tc>
        <w:tc>
          <w:tcPr>
            <w:tcW w:w="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2020</w:t>
            </w:r>
          </w:p>
        </w:tc>
        <w:tc>
          <w:tcPr>
            <w:tcW w:w="7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9"/>
              </w:rPr>
              <w:t>475,000</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718,119</w:t>
            </w:r>
          </w:p>
        </w:tc>
        <w:tc>
          <w:tcPr>
            <w:tcW w:w="100" w:type="dxa"/>
            <w:vAlign w:val="bottom"/>
          </w:tcPr>
          <w:p>
            <w:pPr>
              <w:spacing w:after="0"/>
              <w:rPr>
                <w:sz w:val="18"/>
                <w:szCs w:val="18"/>
                <w:color w:val="auto"/>
              </w:rPr>
            </w:pPr>
          </w:p>
        </w:tc>
        <w:tc>
          <w:tcPr>
            <w:tcW w:w="900" w:type="dxa"/>
            <w:vAlign w:val="bottom"/>
            <w:vMerge w:val="restart"/>
          </w:tcPr>
          <w:p>
            <w:pPr>
              <w:jc w:val="right"/>
              <w:ind w:right="115"/>
              <w:spacing w:after="0"/>
              <w:rPr>
                <w:sz w:val="20"/>
                <w:szCs w:val="20"/>
                <w:color w:val="auto"/>
              </w:rPr>
            </w:pPr>
            <w:r>
              <w:rPr>
                <w:rFonts w:ascii="Arial" w:cs="Arial" w:eastAsia="Arial" w:hAnsi="Arial"/>
                <w:sz w:val="18"/>
                <w:szCs w:val="18"/>
                <w:color w:val="auto"/>
              </w:rPr>
              <w:t>25,144</w:t>
            </w:r>
          </w:p>
        </w:tc>
        <w:tc>
          <w:tcPr>
            <w:tcW w:w="1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7"/>
              </w:rPr>
              <w:t>1,408,263</w:t>
            </w:r>
          </w:p>
        </w:tc>
        <w:tc>
          <w:tcPr>
            <w:tcW w:w="0" w:type="dxa"/>
            <w:vAlign w:val="bottom"/>
          </w:tcPr>
          <w:p>
            <w:pPr>
              <w:spacing w:after="0"/>
              <w:rPr>
                <w:sz w:val="1"/>
                <w:szCs w:val="1"/>
                <w:color w:val="auto"/>
              </w:rPr>
            </w:pPr>
          </w:p>
        </w:tc>
      </w:tr>
      <w:tr>
        <w:trPr>
          <w:trHeight w:val="230"/>
        </w:trPr>
        <w:tc>
          <w:tcPr>
            <w:tcW w:w="3060" w:type="dxa"/>
            <w:vAlign w:val="bottom"/>
            <w:gridSpan w:val="2"/>
          </w:tcPr>
          <w:p>
            <w:pPr>
              <w:ind w:left="180"/>
              <w:spacing w:after="0"/>
              <w:rPr>
                <w:sz w:val="20"/>
                <w:szCs w:val="20"/>
                <w:color w:val="auto"/>
              </w:rPr>
            </w:pPr>
            <w:r>
              <w:rPr>
                <w:rFonts w:ascii="Arial" w:cs="Arial" w:eastAsia="Arial" w:hAnsi="Arial"/>
                <w:sz w:val="18"/>
                <w:szCs w:val="18"/>
                <w:i w:val="1"/>
                <w:iCs w:val="1"/>
                <w:color w:val="auto"/>
              </w:rPr>
              <w:t>Information Officer</w:t>
            </w:r>
          </w:p>
        </w:tc>
        <w:tc>
          <w:tcPr>
            <w:tcW w:w="42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410,000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297,931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11,134</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3,719,065</w:t>
            </w: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General Counsel and Secretary</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0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-1936750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-1936750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-1936750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-1936750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-1936750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-1936750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-1936750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299" w:hanging="348"/>
        <w:spacing w:after="0" w:line="253" w:lineRule="auto"/>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amounts represent performance-based, discretionary bonuses, and in the case of Messrs. Lee and Camire, a one-time discretionary cash bonus of $450,000 and $200,000, respectively, in connection with the completion of the Business Combination.</w:t>
      </w:r>
    </w:p>
    <w:p>
      <w:pPr>
        <w:spacing w:after="0" w:line="11" w:lineRule="exact"/>
        <w:rPr>
          <w:rFonts w:ascii="Arial" w:cs="Arial" w:eastAsia="Arial" w:hAnsi="Arial"/>
          <w:sz w:val="14"/>
          <w:szCs w:val="14"/>
          <w:color w:val="auto"/>
        </w:rPr>
      </w:pPr>
    </w:p>
    <w:p>
      <w:pPr>
        <w:jc w:val="both"/>
        <w:ind w:left="640" w:right="299" w:hanging="348"/>
        <w:spacing w:after="0" w:line="243" w:lineRule="auto"/>
        <w:tabs>
          <w:tab w:leader="none" w:pos="6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Amounts reflect the grant date fair value of all RSU awards; and for the PRSU awards at the target number of PRSUs granted in 2021, in accordance with ASC 718. The grant date fair value of each RSU award was measured based on the closing price of our shares of our Class A Common Stock on the date prior to the date of grant. Because the PRSU awards are subject to specified company performance metrics, the grant date fair value reported was based upon the probable outcome of such conditions. For information regarding assumptions underlying the value of equity awards, see Note 12 to our financial statements included in our Annual Report on Form 10-K for the year ended December 31, 2021. The actual vesting of the PRSU awards will be between 0% and 200% of the target number of PRSU awards granted. These amounts do not necessarily correspond to the actual value recognized or that may be recognized by the Named Executive Officers. The value of the PRSU awards on the date of grant assuming the highest level of performance conditions will be achieved is $10,000,000 for Mr. Beals, $8,000,000 for Mr. Lee, $6,000,000 for Mr. Feijoo, $4,200,000 for Mr. Dean and $3,000,000 for Mr. Camire which is based on maximum vesting of the PRSU awards multiplied by the closing price of our Class A Common Stock on the date prior to the grant date. For additional information regarding the specific terms of the PRSU awards granted to our Named Executive Officers in 2021, see “Outstanding Equity Awards” below.</w:t>
      </w:r>
    </w:p>
    <w:p>
      <w:pPr>
        <w:spacing w:after="0" w:line="19" w:lineRule="exact"/>
        <w:rPr>
          <w:rFonts w:ascii="Arial" w:cs="Arial" w:eastAsia="Arial" w:hAnsi="Arial"/>
          <w:sz w:val="13"/>
          <w:szCs w:val="13"/>
          <w:color w:val="auto"/>
        </w:rPr>
      </w:pPr>
    </w:p>
    <w:p>
      <w:pPr>
        <w:jc w:val="both"/>
        <w:ind w:left="640" w:right="299" w:hanging="348"/>
        <w:spacing w:after="0" w:line="231" w:lineRule="auto"/>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reflect the grant date fair value of all Class P Unit awards granted in 2021, in accordance with ASC 718. The grant date fair value of each Class P Units was measured using the Black-Scholes-Merton valuation model. For information regarding assumptions underlying the value of equity awards, see Note 12 to our financial statements included in our Annual Report on Form 10-K for the year ended December 31, 2021. These amounts do not necessarily correspond to the actual value recognized or that may be recognized by the Named Executive Officers.</w:t>
      </w:r>
    </w:p>
    <w:p>
      <w:pPr>
        <w:spacing w:after="0" w:line="2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amounts include (i) group term life insurance premiums in excess of the broad-based benefit level of $540, $810, $486, $540 and $0 and (ii) matching contributions under our 401(k) plan of $9,312, $11,883, $12,248, $9,841 and $11,110, for Messrs. Beals, Lee, Feijoo, Dean and Camire, respectively.</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Only the applicable years are shown for respective Named Executive Officers.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Grants of Plan-Based Awards</w:t>
      </w:r>
    </w:p>
    <w:p>
      <w:pPr>
        <w:spacing w:after="0" w:line="12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The following table shows certain information regarding grants of plan-based awards to the Named Executive Officers in 2021:</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rPr>
              <w:t>All Other</w:t>
            </w: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1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Equity Incentive</w:t>
            </w: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Under Equity Incentive</w:t>
            </w:r>
          </w:p>
        </w:tc>
        <w:tc>
          <w:tcPr>
            <w:tcW w:w="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 Awards:</w:t>
            </w: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Stock and</w:t>
            </w:r>
          </w:p>
        </w:tc>
        <w:tc>
          <w:tcPr>
            <w:tcW w:w="11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of Stock and</w:t>
            </w: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Plan Awards</w:t>
            </w:r>
          </w:p>
        </w:tc>
        <w:tc>
          <w:tcPr>
            <w:tcW w:w="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Number of</w:t>
            </w:r>
          </w:p>
        </w:tc>
        <w:tc>
          <w:tcPr>
            <w:tcW w:w="100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 of Stock</w:t>
            </w: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of Stock</w:t>
            </w: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06"/>
        </w:trPr>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Grant</w:t>
            </w:r>
          </w:p>
        </w:tc>
        <w:tc>
          <w:tcPr>
            <w:tcW w:w="6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5"/>
              </w:rPr>
              <w:t>Threshold</w:t>
            </w:r>
          </w:p>
        </w:tc>
        <w:tc>
          <w:tcPr>
            <w:tcW w:w="62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Target</w:t>
            </w:r>
          </w:p>
        </w:tc>
        <w:tc>
          <w:tcPr>
            <w:tcW w:w="6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w w:val="99"/>
              </w:rPr>
              <w:t>Maximum</w:t>
            </w:r>
          </w:p>
        </w:tc>
        <w:tc>
          <w:tcPr>
            <w:tcW w:w="40" w:type="dxa"/>
            <w:vAlign w:val="bottom"/>
          </w:tcPr>
          <w:p>
            <w:pPr>
              <w:spacing w:after="0"/>
              <w:rPr>
                <w:sz w:val="12"/>
                <w:szCs w:val="12"/>
                <w:color w:val="auto"/>
              </w:rPr>
            </w:pPr>
          </w:p>
        </w:tc>
        <w:tc>
          <w:tcPr>
            <w:tcW w:w="104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2"/>
              </w:rPr>
              <w:t>or Units (RSUs)</w:t>
            </w:r>
          </w:p>
        </w:tc>
        <w:tc>
          <w:tcPr>
            <w:tcW w:w="10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(RSUs)</w:t>
            </w:r>
          </w:p>
        </w:tc>
        <w:tc>
          <w:tcPr>
            <w:tcW w:w="112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3"/>
              </w:rPr>
              <w:t>or Units (PRSUs)</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(PRSUs)</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3"/>
                <w:szCs w:val="13"/>
                <w:b w:val="1"/>
                <w:bCs w:val="1"/>
                <w:color w:val="auto"/>
                <w:w w:val="86"/>
              </w:rPr>
              <w:t>Date</w:t>
            </w:r>
            <w:r>
              <w:rPr>
                <w:rFonts w:ascii="Arial" w:cs="Arial" w:eastAsia="Arial" w:hAnsi="Arial"/>
                <w:sz w:val="22"/>
                <w:szCs w:val="22"/>
                <w:b w:val="1"/>
                <w:bCs w:val="1"/>
                <w:color w:val="auto"/>
                <w:w w:val="86"/>
                <w:vertAlign w:val="superscript"/>
              </w:rPr>
              <w:t>(1)</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(2)</w:t>
            </w:r>
          </w:p>
        </w:tc>
        <w:tc>
          <w:tcPr>
            <w:tcW w:w="0" w:type="dxa"/>
            <w:vAlign w:val="bottom"/>
          </w:tcPr>
          <w:p>
            <w:pPr>
              <w:spacing w:after="0"/>
              <w:rPr>
                <w:sz w:val="1"/>
                <w:szCs w:val="1"/>
                <w:color w:val="auto"/>
              </w:rPr>
            </w:pPr>
          </w:p>
        </w:tc>
      </w:tr>
      <w:tr>
        <w:trPr>
          <w:trHeight w:val="298"/>
        </w:trPr>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Christopher Beals</w:t>
            </w:r>
          </w:p>
        </w:tc>
        <w:tc>
          <w:tcPr>
            <w:tcW w:w="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12/11/2021</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97,656</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781,250</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1,562,500</w:t>
            </w:r>
          </w:p>
        </w:tc>
        <w:tc>
          <w:tcPr>
            <w:tcW w:w="10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781,250</w:t>
            </w:r>
          </w:p>
        </w:tc>
        <w:tc>
          <w:tcPr>
            <w:tcW w:w="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5,000,000</w:t>
            </w:r>
          </w:p>
        </w:tc>
        <w:tc>
          <w:tcPr>
            <w:tcW w:w="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781,250</w:t>
            </w:r>
          </w:p>
        </w:tc>
        <w:tc>
          <w:tcPr>
            <w:tcW w:w="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5,000,000</w:t>
            </w:r>
          </w:p>
        </w:tc>
        <w:tc>
          <w:tcPr>
            <w:tcW w:w="0" w:type="dxa"/>
            <w:vAlign w:val="bottom"/>
          </w:tcPr>
          <w:p>
            <w:pPr>
              <w:spacing w:after="0"/>
              <w:rPr>
                <w:sz w:val="1"/>
                <w:szCs w:val="1"/>
                <w:color w:val="auto"/>
              </w:rPr>
            </w:pPr>
          </w:p>
        </w:tc>
      </w:tr>
      <w:tr>
        <w:trPr>
          <w:trHeight w:val="251"/>
        </w:trPr>
        <w:tc>
          <w:tcPr>
            <w:tcW w:w="1380" w:type="dxa"/>
            <w:vAlign w:val="bottom"/>
            <w:gridSpan w:val="2"/>
          </w:tcPr>
          <w:p>
            <w:pPr>
              <w:spacing w:after="0"/>
              <w:rPr>
                <w:sz w:val="20"/>
                <w:szCs w:val="20"/>
                <w:color w:val="auto"/>
              </w:rPr>
            </w:pPr>
            <w:r>
              <w:rPr>
                <w:rFonts w:ascii="Arial" w:cs="Arial" w:eastAsia="Arial" w:hAnsi="Arial"/>
                <w:sz w:val="16"/>
                <w:szCs w:val="16"/>
                <w:color w:val="auto"/>
              </w:rPr>
              <w:t>Arden Lee</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92"/>
              </w:rPr>
              <w:t>12/11/2021</w:t>
            </w:r>
          </w:p>
        </w:tc>
        <w:tc>
          <w:tcPr>
            <w:tcW w:w="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78,125</w:t>
            </w:r>
          </w:p>
        </w:tc>
        <w:tc>
          <w:tcPr>
            <w:tcW w:w="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3"/>
              </w:rPr>
              <w:t>625,000</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1,250,000</w:t>
            </w: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w w:val="89"/>
              </w:rPr>
              <w:t>625,000</w:t>
            </w:r>
          </w:p>
        </w:tc>
        <w:tc>
          <w:tcPr>
            <w:tcW w:w="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4,000,000</w:t>
            </w:r>
          </w:p>
        </w:tc>
        <w:tc>
          <w:tcPr>
            <w:tcW w:w="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625,000</w:t>
            </w:r>
          </w:p>
        </w:tc>
        <w:tc>
          <w:tcPr>
            <w:tcW w:w="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4,000,000</w:t>
            </w:r>
          </w:p>
        </w:tc>
        <w:tc>
          <w:tcPr>
            <w:tcW w:w="0" w:type="dxa"/>
            <w:vAlign w:val="bottom"/>
          </w:tcPr>
          <w:p>
            <w:pPr>
              <w:spacing w:after="0"/>
              <w:rPr>
                <w:sz w:val="1"/>
                <w:szCs w:val="1"/>
                <w:color w:val="auto"/>
              </w:rPr>
            </w:pPr>
          </w:p>
        </w:tc>
      </w:tr>
      <w:tr>
        <w:trPr>
          <w:trHeight w:val="60"/>
        </w:trPr>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Juanjo Feijoo</w:t>
            </w:r>
          </w:p>
        </w:tc>
        <w:tc>
          <w:tcPr>
            <w:tcW w:w="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12/11/2021</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58,593</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468,750</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937,500</w:t>
            </w:r>
          </w:p>
        </w:tc>
        <w:tc>
          <w:tcPr>
            <w:tcW w:w="10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468,750</w:t>
            </w:r>
          </w:p>
        </w:tc>
        <w:tc>
          <w:tcPr>
            <w:tcW w:w="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3,000,000</w:t>
            </w:r>
          </w:p>
        </w:tc>
        <w:tc>
          <w:tcPr>
            <w:tcW w:w="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468,750</w:t>
            </w:r>
          </w:p>
        </w:tc>
        <w:tc>
          <w:tcPr>
            <w:tcW w:w="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3,000,000</w:t>
            </w:r>
          </w:p>
        </w:tc>
        <w:tc>
          <w:tcPr>
            <w:tcW w:w="0" w:type="dxa"/>
            <w:vAlign w:val="bottom"/>
          </w:tcPr>
          <w:p>
            <w:pPr>
              <w:spacing w:after="0"/>
              <w:rPr>
                <w:sz w:val="1"/>
                <w:szCs w:val="1"/>
                <w:color w:val="auto"/>
              </w:rPr>
            </w:pPr>
          </w:p>
        </w:tc>
      </w:tr>
      <w:tr>
        <w:trPr>
          <w:trHeight w:val="251"/>
        </w:trPr>
        <w:tc>
          <w:tcPr>
            <w:tcW w:w="1380" w:type="dxa"/>
            <w:vAlign w:val="bottom"/>
            <w:gridSpan w:val="2"/>
          </w:tcPr>
          <w:p>
            <w:pPr>
              <w:spacing w:after="0"/>
              <w:rPr>
                <w:sz w:val="20"/>
                <w:szCs w:val="20"/>
                <w:color w:val="auto"/>
              </w:rPr>
            </w:pPr>
            <w:r>
              <w:rPr>
                <w:rFonts w:ascii="Arial" w:cs="Arial" w:eastAsia="Arial" w:hAnsi="Arial"/>
                <w:sz w:val="16"/>
                <w:szCs w:val="16"/>
                <w:color w:val="auto"/>
              </w:rPr>
              <w:t>Justin Dean</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92"/>
              </w:rPr>
              <w:t>12/11/2021</w:t>
            </w:r>
          </w:p>
        </w:tc>
        <w:tc>
          <w:tcPr>
            <w:tcW w:w="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41,015</w:t>
            </w:r>
          </w:p>
        </w:tc>
        <w:tc>
          <w:tcPr>
            <w:tcW w:w="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3"/>
              </w:rPr>
              <w:t>328,125</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656,250</w:t>
            </w: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w w:val="89"/>
              </w:rPr>
              <w:t>328,125</w:t>
            </w:r>
          </w:p>
        </w:tc>
        <w:tc>
          <w:tcPr>
            <w:tcW w:w="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2,100,000</w:t>
            </w:r>
          </w:p>
        </w:tc>
        <w:tc>
          <w:tcPr>
            <w:tcW w:w="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328,125</w:t>
            </w:r>
          </w:p>
        </w:tc>
        <w:tc>
          <w:tcPr>
            <w:tcW w:w="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2,100,000</w:t>
            </w:r>
          </w:p>
        </w:tc>
        <w:tc>
          <w:tcPr>
            <w:tcW w:w="0" w:type="dxa"/>
            <w:vAlign w:val="bottom"/>
          </w:tcPr>
          <w:p>
            <w:pPr>
              <w:spacing w:after="0"/>
              <w:rPr>
                <w:sz w:val="1"/>
                <w:szCs w:val="1"/>
                <w:color w:val="auto"/>
              </w:rPr>
            </w:pPr>
          </w:p>
        </w:tc>
      </w:tr>
      <w:tr>
        <w:trPr>
          <w:trHeight w:val="60"/>
        </w:trPr>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Brian Camire</w:t>
            </w:r>
          </w:p>
        </w:tc>
        <w:tc>
          <w:tcPr>
            <w:tcW w:w="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12/11/2021</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29,296</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234,375</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468,750</w:t>
            </w:r>
          </w:p>
        </w:tc>
        <w:tc>
          <w:tcPr>
            <w:tcW w:w="10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234,375</w:t>
            </w:r>
          </w:p>
        </w:tc>
        <w:tc>
          <w:tcPr>
            <w:tcW w:w="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1,500,000</w:t>
            </w:r>
          </w:p>
        </w:tc>
        <w:tc>
          <w:tcPr>
            <w:tcW w:w="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234,375</w:t>
            </w:r>
          </w:p>
        </w:tc>
        <w:tc>
          <w:tcPr>
            <w:tcW w:w="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1,500,000</w:t>
            </w:r>
          </w:p>
        </w:tc>
        <w:tc>
          <w:tcPr>
            <w:tcW w:w="0" w:type="dxa"/>
            <w:vAlign w:val="bottom"/>
          </w:tcPr>
          <w:p>
            <w:pPr>
              <w:spacing w:after="0"/>
              <w:rPr>
                <w:sz w:val="1"/>
                <w:szCs w:val="1"/>
                <w:color w:val="auto"/>
              </w:rPr>
            </w:pPr>
          </w:p>
        </w:tc>
      </w:tr>
      <w:tr>
        <w:trPr>
          <w:trHeight w:val="108"/>
        </w:trPr>
        <w:tc>
          <w:tcPr>
            <w:tcW w:w="1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-1079500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-1079500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-1079500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-1079500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-1079500</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-1079500</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-1079500</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-1079500</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 w:lineRule="exact"/>
        <w:rPr>
          <w:sz w:val="20"/>
          <w:szCs w:val="20"/>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vesting schedule applicable to each award is set forth in the “Outstanding Equity Awards at Fiscal Year End” table.</w:t>
      </w:r>
    </w:p>
    <w:p>
      <w:pPr>
        <w:spacing w:after="0" w:line="41" w:lineRule="exact"/>
        <w:rPr>
          <w:rFonts w:ascii="Arial" w:cs="Arial" w:eastAsia="Arial" w:hAnsi="Arial"/>
          <w:sz w:val="14"/>
          <w:szCs w:val="14"/>
          <w:color w:val="auto"/>
        </w:rPr>
      </w:pPr>
    </w:p>
    <w:p>
      <w:pPr>
        <w:jc w:val="both"/>
        <w:ind w:left="640" w:right="299" w:hanging="348"/>
        <w:spacing w:after="0" w:line="243" w:lineRule="auto"/>
        <w:tabs>
          <w:tab w:leader="none" w:pos="6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Amounts reflect the grant date fair value of PRSU awards at the target number of PRSUs granted in 2021, in accordance with ASC 718. The number of PRUs was measured based on the closing price of our shares of our Class A Common Stock on the date prior to the date of grant. Because the PRSU awards are subject to specified company performance metrics, the grant date fair value reported was based upon the probable outcome of such conditions. For information regarding assumptions underlying the value of equity awards, see Note 12 to our financial statements included in our Annual Report on Form 10-K for the year ended December 31, 2021. The actual vesting of the PRSU awards will be between 0% and 200% of the target number of PRSU awards granted. These amounts do not necessarily correspond to the actual value recognized or that may be recognized by the Named Executive Officers. The value of the PRSU awards on the date of grant assuming the highest level of performance conditions will be achieved is $10,000,000 for Mr. Beals, $8,000,000 for Mr. Lee, $6,000,000 for Mr. Feijoo, $4,200,000 for Mr. Dean and $3,000,000 for Mr. Camire, which is based on maximum vesting of the PRSU awards multiplied by the closing price of our Class A Common Stock on the date prior to the grant date. For additional information regarding the specific terms of the PRSU awards granted to our Named Executive Officers in 2021, see “Outstanding Equity Awards” below.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8"/>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7"/>
          <w:szCs w:val="17"/>
          <w:color w:val="auto"/>
        </w:rPr>
        <w:t>The following table shows certain information regarding outstanding equity awards for the Named Executive Officers as of</w:t>
      </w:r>
    </w:p>
    <w:p>
      <w:pPr>
        <w:spacing w:after="0" w:line="35" w:lineRule="exact"/>
        <w:rPr>
          <w:sz w:val="20"/>
          <w:szCs w:val="20"/>
          <w:color w:val="auto"/>
        </w:rPr>
      </w:pPr>
    </w:p>
    <w:p>
      <w:pPr>
        <w:ind w:left="8"/>
        <w:spacing w:after="0"/>
        <w:rPr>
          <w:sz w:val="20"/>
          <w:szCs w:val="20"/>
          <w:color w:val="auto"/>
        </w:rPr>
      </w:pPr>
      <w:r>
        <w:rPr>
          <w:rFonts w:ascii="Arial" w:cs="Arial" w:eastAsia="Arial" w:hAnsi="Arial"/>
          <w:sz w:val="18"/>
          <w:szCs w:val="18"/>
          <w:color w:val="auto"/>
        </w:rPr>
        <w:t>December 31, 2021:</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4"/>
          </w:tcPr>
          <w:p>
            <w:pPr>
              <w:ind w:left="24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4"/>
          </w:tcPr>
          <w:p>
            <w:pPr>
              <w:ind w:left="660"/>
              <w:spacing w:after="0"/>
              <w:rPr>
                <w:sz w:val="20"/>
                <w:szCs w:val="20"/>
                <w:color w:val="auto"/>
              </w:rPr>
            </w:pPr>
            <w:r>
              <w:rPr>
                <w:rFonts w:ascii="Arial" w:cs="Arial" w:eastAsia="Arial" w:hAnsi="Arial"/>
                <w:sz w:val="14"/>
                <w:szCs w:val="14"/>
                <w:b w:val="1"/>
                <w:bCs w:val="1"/>
                <w:color w:val="auto"/>
              </w:rPr>
              <w:t>Stock Awards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Market</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Unearned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or</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Units of</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Value of</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or Other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Shares of</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Rights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Vesting</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64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Units of</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That Have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Stock that</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Not Vested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Not Vested</w:t>
            </w:r>
          </w:p>
        </w:tc>
        <w:tc>
          <w:tcPr>
            <w:tcW w:w="0" w:type="dxa"/>
            <w:vAlign w:val="bottom"/>
          </w:tcPr>
          <w:p>
            <w:pPr>
              <w:spacing w:after="0"/>
              <w:rPr>
                <w:sz w:val="1"/>
                <w:szCs w:val="1"/>
                <w:color w:val="auto"/>
              </w:rPr>
            </w:pPr>
          </w:p>
        </w:tc>
      </w:tr>
      <w:tr>
        <w:trPr>
          <w:trHeight w:val="145"/>
        </w:trPr>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1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Commencement</w:t>
            </w:r>
          </w:p>
        </w:tc>
        <w:tc>
          <w:tcPr>
            <w:tcW w:w="8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Exercisable</w:t>
            </w:r>
          </w:p>
        </w:tc>
        <w:tc>
          <w:tcPr>
            <w:tcW w:w="9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Unexercisable</w:t>
            </w:r>
          </w:p>
        </w:tc>
        <w:tc>
          <w:tcPr>
            <w:tcW w:w="6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Price</w:t>
            </w:r>
          </w:p>
        </w:tc>
        <w:tc>
          <w:tcPr>
            <w:tcW w:w="7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6"/>
              </w:rPr>
              <w:t>Expiration</w:t>
            </w:r>
          </w:p>
        </w:tc>
        <w:tc>
          <w:tcPr>
            <w:tcW w:w="7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(RSUs)</w:t>
            </w:r>
          </w:p>
        </w:tc>
        <w:tc>
          <w:tcPr>
            <w:tcW w:w="11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Have Not Vested</w:t>
            </w:r>
          </w:p>
        </w:tc>
        <w:tc>
          <w:tcPr>
            <w:tcW w:w="9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(PRSUs)</w:t>
            </w: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(PRSUs)</w:t>
            </w:r>
          </w:p>
        </w:tc>
        <w:tc>
          <w:tcPr>
            <w:tcW w:w="0" w:type="dxa"/>
            <w:vAlign w:val="bottom"/>
          </w:tcPr>
          <w:p>
            <w:pPr>
              <w:spacing w:after="0"/>
              <w:rPr>
                <w:sz w:val="1"/>
                <w:szCs w:val="1"/>
                <w:color w:val="auto"/>
              </w:rPr>
            </w:pPr>
          </w:p>
        </w:tc>
      </w:tr>
      <w:tr>
        <w:trPr>
          <w:trHeight w:val="242"/>
        </w:trPr>
        <w:tc>
          <w:tcPr>
            <w:tcW w:w="130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(RSUs)</w:t>
            </w:r>
            <w:r>
              <w:rPr>
                <w:rFonts w:ascii="Arial" w:cs="Arial" w:eastAsia="Arial" w:hAnsi="Arial"/>
                <w:sz w:val="23"/>
                <w:szCs w:val="23"/>
                <w:b w:val="1"/>
                <w:bCs w:val="1"/>
                <w:color w:val="auto"/>
                <w:w w:val="88"/>
                <w:vertAlign w:val="superscript"/>
              </w:rPr>
              <w:t>(4)</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(4)</w:t>
            </w:r>
          </w:p>
        </w:tc>
        <w:tc>
          <w:tcPr>
            <w:tcW w:w="0" w:type="dxa"/>
            <w:vAlign w:val="bottom"/>
          </w:tcPr>
          <w:p>
            <w:pPr>
              <w:spacing w:after="0"/>
              <w:rPr>
                <w:sz w:val="1"/>
                <w:szCs w:val="1"/>
                <w:color w:val="auto"/>
              </w:rPr>
            </w:pPr>
          </w:p>
        </w:tc>
      </w:tr>
      <w:tr>
        <w:trPr>
          <w:trHeight w:val="298"/>
        </w:trPr>
        <w:tc>
          <w:tcPr>
            <w:tcW w:w="1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Christopher Beals</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8/15/2021</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716,146</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4,282,553</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120"/>
              <w:spacing w:after="0"/>
              <w:rPr>
                <w:sz w:val="20"/>
                <w:szCs w:val="20"/>
                <w:color w:val="auto"/>
              </w:rPr>
            </w:pPr>
            <w:r>
              <w:rPr>
                <w:rFonts w:ascii="Arial" w:cs="Arial" w:eastAsia="Arial" w:hAnsi="Arial"/>
                <w:sz w:val="17"/>
                <w:szCs w:val="17"/>
                <w:color w:val="auto"/>
              </w:rPr>
              <w:t>97,656</w:t>
            </w:r>
          </w:p>
        </w:tc>
        <w:tc>
          <w:tcPr>
            <w:tcW w:w="100" w:type="dxa"/>
            <w:vAlign w:val="bottom"/>
          </w:tcPr>
          <w:p>
            <w:pPr>
              <w:spacing w:after="0"/>
              <w:rPr>
                <w:sz w:val="21"/>
                <w:szCs w:val="21"/>
                <w:color w:val="auto"/>
              </w:rPr>
            </w:pPr>
          </w:p>
        </w:tc>
        <w:tc>
          <w:tcPr>
            <w:tcW w:w="840" w:type="dxa"/>
            <w:vAlign w:val="bottom"/>
          </w:tcPr>
          <w:p>
            <w:pPr>
              <w:jc w:val="right"/>
              <w:ind w:right="61"/>
              <w:spacing w:after="0"/>
              <w:rPr>
                <w:sz w:val="20"/>
                <w:szCs w:val="20"/>
                <w:color w:val="auto"/>
              </w:rPr>
            </w:pPr>
            <w:r>
              <w:rPr>
                <w:rFonts w:ascii="Arial" w:cs="Arial" w:eastAsia="Arial" w:hAnsi="Arial"/>
                <w:sz w:val="17"/>
                <w:szCs w:val="17"/>
                <w:color w:val="auto"/>
              </w:rPr>
              <w:t>583,983</w:t>
            </w:r>
          </w:p>
        </w:tc>
        <w:tc>
          <w:tcPr>
            <w:tcW w:w="0" w:type="dxa"/>
            <w:vAlign w:val="bottom"/>
          </w:tcPr>
          <w:p>
            <w:pPr>
              <w:spacing w:after="0"/>
              <w:rPr>
                <w:sz w:val="1"/>
                <w:szCs w:val="1"/>
                <w:color w:val="auto"/>
              </w:rPr>
            </w:pPr>
          </w:p>
        </w:tc>
      </w:tr>
      <w:tr>
        <w:trPr>
          <w:trHeight w:val="58"/>
        </w:trPr>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Arden Lee</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8/15/2021</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572,917</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3,426,044</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120"/>
              <w:spacing w:after="0"/>
              <w:rPr>
                <w:sz w:val="20"/>
                <w:szCs w:val="20"/>
                <w:color w:val="auto"/>
              </w:rPr>
            </w:pPr>
            <w:r>
              <w:rPr>
                <w:rFonts w:ascii="Arial" w:cs="Arial" w:eastAsia="Arial" w:hAnsi="Arial"/>
                <w:sz w:val="17"/>
                <w:szCs w:val="17"/>
                <w:color w:val="auto"/>
              </w:rPr>
              <w:t>78,125</w:t>
            </w:r>
          </w:p>
        </w:tc>
        <w:tc>
          <w:tcPr>
            <w:tcW w:w="100" w:type="dxa"/>
            <w:vAlign w:val="bottom"/>
          </w:tcPr>
          <w:p>
            <w:pPr>
              <w:spacing w:after="0"/>
              <w:rPr>
                <w:sz w:val="21"/>
                <w:szCs w:val="21"/>
                <w:color w:val="auto"/>
              </w:rPr>
            </w:pPr>
          </w:p>
        </w:tc>
        <w:tc>
          <w:tcPr>
            <w:tcW w:w="840" w:type="dxa"/>
            <w:vAlign w:val="bottom"/>
          </w:tcPr>
          <w:p>
            <w:pPr>
              <w:jc w:val="right"/>
              <w:ind w:right="61"/>
              <w:spacing w:after="0"/>
              <w:rPr>
                <w:sz w:val="20"/>
                <w:szCs w:val="20"/>
                <w:color w:val="auto"/>
              </w:rPr>
            </w:pPr>
            <w:r>
              <w:rPr>
                <w:rFonts w:ascii="Arial" w:cs="Arial" w:eastAsia="Arial" w:hAnsi="Arial"/>
                <w:sz w:val="17"/>
                <w:szCs w:val="17"/>
                <w:color w:val="auto"/>
              </w:rPr>
              <w:t>467,188</w:t>
            </w:r>
          </w:p>
        </w:tc>
        <w:tc>
          <w:tcPr>
            <w:tcW w:w="0" w:type="dxa"/>
            <w:vAlign w:val="bottom"/>
          </w:tcPr>
          <w:p>
            <w:pPr>
              <w:spacing w:after="0"/>
              <w:rPr>
                <w:sz w:val="1"/>
                <w:szCs w:val="1"/>
                <w:color w:val="auto"/>
              </w:rPr>
            </w:pPr>
          </w:p>
        </w:tc>
      </w:tr>
      <w:tr>
        <w:trPr>
          <w:trHeight w:val="58"/>
        </w:trPr>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2/25/2019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878,009</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rPr>
              <w:t>361,534</w:t>
            </w:r>
            <w:r>
              <w:rPr>
                <w:rFonts w:ascii="Arial" w:cs="Arial" w:eastAsia="Arial" w:hAnsi="Arial"/>
                <w:sz w:val="28"/>
                <w:szCs w:val="28"/>
                <w:color w:val="auto"/>
                <w:vertAlign w:val="superscript"/>
              </w:rPr>
              <w:t>(5)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6.35</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1400" w:type="dxa"/>
            <w:vAlign w:val="bottom"/>
            <w:gridSpan w:val="3"/>
          </w:tcPr>
          <w:p>
            <w:pPr>
              <w:spacing w:after="0"/>
              <w:rPr>
                <w:sz w:val="20"/>
                <w:szCs w:val="20"/>
                <w:color w:val="auto"/>
              </w:rPr>
            </w:pPr>
            <w:r>
              <w:rPr>
                <w:rFonts w:ascii="Arial" w:cs="Arial" w:eastAsia="Arial" w:hAnsi="Arial"/>
                <w:sz w:val="17"/>
                <w:szCs w:val="17"/>
                <w:color w:val="auto"/>
              </w:rPr>
              <w:t>Juanjo Feijoo</w:t>
            </w:r>
          </w:p>
        </w:tc>
        <w:tc>
          <w:tcPr>
            <w:tcW w:w="1000" w:type="dxa"/>
            <w:vAlign w:val="bottom"/>
          </w:tcPr>
          <w:p>
            <w:pPr>
              <w:jc w:val="right"/>
              <w:ind w:right="57"/>
              <w:spacing w:after="0"/>
              <w:rPr>
                <w:sz w:val="20"/>
                <w:szCs w:val="20"/>
                <w:color w:val="auto"/>
              </w:rPr>
            </w:pPr>
            <w:r>
              <w:rPr>
                <w:rFonts w:ascii="Arial" w:cs="Arial" w:eastAsia="Arial" w:hAnsi="Arial"/>
                <w:sz w:val="17"/>
                <w:szCs w:val="17"/>
                <w:color w:val="auto"/>
              </w:rPr>
              <w:t>5/15/2021</w:t>
            </w: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390,626</w:t>
            </w:r>
          </w:p>
        </w:tc>
        <w:tc>
          <w:tcPr>
            <w:tcW w:w="10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7"/>
                <w:szCs w:val="17"/>
                <w:color w:val="auto"/>
              </w:rPr>
              <w:t>2,335,943</w:t>
            </w:r>
          </w:p>
        </w:tc>
        <w:tc>
          <w:tcPr>
            <w:tcW w:w="12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8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8"/>
        </w:trPr>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7"/>
                <w:szCs w:val="17"/>
                <w:color w:val="auto"/>
              </w:rPr>
              <w:t>58,593</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350,386</w:t>
            </w: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57"/>
              <w:spacing w:after="0"/>
              <w:rPr>
                <w:sz w:val="20"/>
                <w:szCs w:val="20"/>
                <w:color w:val="auto"/>
              </w:rPr>
            </w:pPr>
            <w:r>
              <w:rPr>
                <w:rFonts w:ascii="Arial" w:cs="Arial" w:eastAsia="Arial" w:hAnsi="Arial"/>
                <w:sz w:val="17"/>
                <w:szCs w:val="17"/>
                <w:color w:val="auto"/>
              </w:rPr>
              <w:t>12/8/2020</w:t>
            </w:r>
          </w:p>
        </w:tc>
        <w:tc>
          <w:tcPr>
            <w:tcW w:w="120" w:type="dxa"/>
            <w:vAlign w:val="bottom"/>
          </w:tcPr>
          <w:p>
            <w:pPr>
              <w:spacing w:after="0"/>
              <w:rPr>
                <w:sz w:val="24"/>
                <w:szCs w:val="24"/>
                <w:color w:val="auto"/>
              </w:rPr>
            </w:pPr>
          </w:p>
        </w:tc>
        <w:tc>
          <w:tcPr>
            <w:tcW w:w="760" w:type="dxa"/>
            <w:vAlign w:val="bottom"/>
          </w:tcPr>
          <w:p>
            <w:pPr>
              <w:jc w:val="right"/>
              <w:ind w:right="38"/>
              <w:spacing w:after="0"/>
              <w:rPr>
                <w:sz w:val="20"/>
                <w:szCs w:val="20"/>
                <w:color w:val="auto"/>
              </w:rPr>
            </w:pPr>
            <w:r>
              <w:rPr>
                <w:rFonts w:ascii="Arial" w:cs="Arial" w:eastAsia="Arial" w:hAnsi="Arial"/>
                <w:sz w:val="17"/>
                <w:szCs w:val="17"/>
                <w:color w:val="auto"/>
              </w:rPr>
              <w:t>46,482</w:t>
            </w:r>
          </w:p>
        </w:tc>
        <w:tc>
          <w:tcPr>
            <w:tcW w:w="100" w:type="dxa"/>
            <w:vAlign w:val="bottom"/>
          </w:tcPr>
          <w:p>
            <w:pPr>
              <w:spacing w:after="0"/>
              <w:rPr>
                <w:sz w:val="24"/>
                <w:szCs w:val="24"/>
                <w:color w:val="auto"/>
              </w:rPr>
            </w:pPr>
          </w:p>
        </w:tc>
        <w:tc>
          <w:tcPr>
            <w:tcW w:w="880" w:type="dxa"/>
            <w:vAlign w:val="bottom"/>
          </w:tcPr>
          <w:p>
            <w:pPr>
              <w:jc w:val="right"/>
              <w:spacing w:after="0" w:line="310" w:lineRule="exact"/>
              <w:rPr>
                <w:sz w:val="20"/>
                <w:szCs w:val="20"/>
                <w:color w:val="auto"/>
              </w:rPr>
            </w:pPr>
            <w:r>
              <w:rPr>
                <w:rFonts w:ascii="Arial" w:cs="Arial" w:eastAsia="Arial" w:hAnsi="Arial"/>
                <w:sz w:val="17"/>
                <w:szCs w:val="17"/>
                <w:color w:val="auto"/>
              </w:rPr>
              <w:t>139,449</w:t>
            </w:r>
            <w:r>
              <w:rPr>
                <w:rFonts w:ascii="Arial" w:cs="Arial" w:eastAsia="Arial" w:hAnsi="Arial"/>
                <w:sz w:val="28"/>
                <w:szCs w:val="28"/>
                <w:color w:val="auto"/>
                <w:vertAlign w:val="superscript"/>
              </w:rPr>
              <w:t>(6)</w:t>
            </w:r>
          </w:p>
        </w:tc>
        <w:tc>
          <w:tcPr>
            <w:tcW w:w="10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8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0"/>
        </w:trPr>
        <w:tc>
          <w:tcPr>
            <w:tcW w:w="1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5/28/2019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309,886</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rPr>
              <w:t>185,931</w:t>
            </w:r>
            <w:r>
              <w:rPr>
                <w:rFonts w:ascii="Arial" w:cs="Arial" w:eastAsia="Arial" w:hAnsi="Arial"/>
                <w:sz w:val="28"/>
                <w:szCs w:val="28"/>
                <w:color w:val="auto"/>
                <w:vertAlign w:val="superscript"/>
              </w:rPr>
              <w:t>(6)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8.03</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1400" w:type="dxa"/>
            <w:vAlign w:val="bottom"/>
            <w:gridSpan w:val="3"/>
          </w:tcPr>
          <w:p>
            <w:pPr>
              <w:spacing w:after="0"/>
              <w:rPr>
                <w:sz w:val="20"/>
                <w:szCs w:val="20"/>
                <w:color w:val="auto"/>
              </w:rPr>
            </w:pPr>
            <w:r>
              <w:rPr>
                <w:rFonts w:ascii="Arial" w:cs="Arial" w:eastAsia="Arial" w:hAnsi="Arial"/>
                <w:sz w:val="17"/>
                <w:szCs w:val="17"/>
                <w:color w:val="auto"/>
              </w:rPr>
              <w:t>Justin Dean</w:t>
            </w:r>
          </w:p>
        </w:tc>
        <w:tc>
          <w:tcPr>
            <w:tcW w:w="1000" w:type="dxa"/>
            <w:vAlign w:val="bottom"/>
          </w:tcPr>
          <w:p>
            <w:pPr>
              <w:jc w:val="right"/>
              <w:ind w:right="57"/>
              <w:spacing w:after="0"/>
              <w:rPr>
                <w:sz w:val="20"/>
                <w:szCs w:val="20"/>
                <w:color w:val="auto"/>
              </w:rPr>
            </w:pPr>
            <w:r>
              <w:rPr>
                <w:rFonts w:ascii="Arial" w:cs="Arial" w:eastAsia="Arial" w:hAnsi="Arial"/>
                <w:sz w:val="17"/>
                <w:szCs w:val="17"/>
                <w:color w:val="auto"/>
              </w:rPr>
              <w:t>8/15/2021</w:t>
            </w: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300,782</w:t>
            </w:r>
          </w:p>
        </w:tc>
        <w:tc>
          <w:tcPr>
            <w:tcW w:w="10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7"/>
                <w:szCs w:val="17"/>
                <w:color w:val="auto"/>
              </w:rPr>
              <w:t>1,798,676</w:t>
            </w:r>
          </w:p>
        </w:tc>
        <w:tc>
          <w:tcPr>
            <w:tcW w:w="12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8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8"/>
        </w:trPr>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7"/>
                <w:szCs w:val="17"/>
                <w:color w:val="auto"/>
              </w:rPr>
              <w:t>41,015</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245,270</w:t>
            </w:r>
          </w:p>
        </w:tc>
        <w:tc>
          <w:tcPr>
            <w:tcW w:w="0" w:type="dxa"/>
            <w:vAlign w:val="bottom"/>
          </w:tcPr>
          <w:p>
            <w:pPr>
              <w:spacing w:after="0"/>
              <w:rPr>
                <w:sz w:val="1"/>
                <w:szCs w:val="1"/>
                <w:color w:val="auto"/>
              </w:rPr>
            </w:pPr>
          </w:p>
        </w:tc>
      </w:tr>
      <w:tr>
        <w:trPr>
          <w:trHeight w:val="310"/>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57"/>
              <w:spacing w:after="0"/>
              <w:rPr>
                <w:sz w:val="20"/>
                <w:szCs w:val="20"/>
                <w:color w:val="auto"/>
              </w:rPr>
            </w:pPr>
            <w:r>
              <w:rPr>
                <w:rFonts w:ascii="Arial" w:cs="Arial" w:eastAsia="Arial" w:hAnsi="Arial"/>
                <w:sz w:val="17"/>
                <w:szCs w:val="17"/>
                <w:color w:val="auto"/>
              </w:rPr>
              <w:t>12/8/2020</w:t>
            </w:r>
          </w:p>
        </w:tc>
        <w:tc>
          <w:tcPr>
            <w:tcW w:w="120" w:type="dxa"/>
            <w:vAlign w:val="bottom"/>
          </w:tcPr>
          <w:p>
            <w:pPr>
              <w:spacing w:after="0"/>
              <w:rPr>
                <w:sz w:val="24"/>
                <w:szCs w:val="24"/>
                <w:color w:val="auto"/>
              </w:rPr>
            </w:pPr>
          </w:p>
        </w:tc>
        <w:tc>
          <w:tcPr>
            <w:tcW w:w="760" w:type="dxa"/>
            <w:vAlign w:val="bottom"/>
          </w:tcPr>
          <w:p>
            <w:pPr>
              <w:jc w:val="right"/>
              <w:ind w:right="38"/>
              <w:spacing w:after="0"/>
              <w:rPr>
                <w:sz w:val="20"/>
                <w:szCs w:val="20"/>
                <w:color w:val="auto"/>
              </w:rPr>
            </w:pPr>
            <w:r>
              <w:rPr>
                <w:rFonts w:ascii="Arial" w:cs="Arial" w:eastAsia="Arial" w:hAnsi="Arial"/>
                <w:sz w:val="17"/>
                <w:szCs w:val="17"/>
                <w:color w:val="auto"/>
              </w:rPr>
              <w:t>61,978</w:t>
            </w:r>
          </w:p>
        </w:tc>
        <w:tc>
          <w:tcPr>
            <w:tcW w:w="100" w:type="dxa"/>
            <w:vAlign w:val="bottom"/>
          </w:tcPr>
          <w:p>
            <w:pPr>
              <w:spacing w:after="0"/>
              <w:rPr>
                <w:sz w:val="24"/>
                <w:szCs w:val="24"/>
                <w:color w:val="auto"/>
              </w:rPr>
            </w:pPr>
          </w:p>
        </w:tc>
        <w:tc>
          <w:tcPr>
            <w:tcW w:w="880" w:type="dxa"/>
            <w:vAlign w:val="bottom"/>
          </w:tcPr>
          <w:p>
            <w:pPr>
              <w:jc w:val="right"/>
              <w:spacing w:after="0" w:line="310" w:lineRule="exact"/>
              <w:rPr>
                <w:sz w:val="20"/>
                <w:szCs w:val="20"/>
                <w:color w:val="auto"/>
              </w:rPr>
            </w:pPr>
            <w:r>
              <w:rPr>
                <w:rFonts w:ascii="Arial" w:cs="Arial" w:eastAsia="Arial" w:hAnsi="Arial"/>
                <w:sz w:val="17"/>
                <w:szCs w:val="17"/>
                <w:color w:val="auto"/>
              </w:rPr>
              <w:t>185,931</w:t>
            </w:r>
            <w:r>
              <w:rPr>
                <w:rFonts w:ascii="Arial" w:cs="Arial" w:eastAsia="Arial" w:hAnsi="Arial"/>
                <w:sz w:val="28"/>
                <w:szCs w:val="28"/>
                <w:color w:val="auto"/>
                <w:vertAlign w:val="superscript"/>
              </w:rPr>
              <w:t>(6)</w:t>
            </w:r>
          </w:p>
        </w:tc>
        <w:tc>
          <w:tcPr>
            <w:tcW w:w="10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8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0"/>
        </w:trPr>
        <w:tc>
          <w:tcPr>
            <w:tcW w:w="1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11/5/2018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278,897</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rPr>
              <w:t>92,966</w:t>
            </w:r>
            <w:r>
              <w:rPr>
                <w:rFonts w:ascii="Arial" w:cs="Arial" w:eastAsia="Arial" w:hAnsi="Arial"/>
                <w:sz w:val="28"/>
                <w:szCs w:val="28"/>
                <w:color w:val="auto"/>
                <w:vertAlign w:val="superscript"/>
              </w:rPr>
              <w:t>(6)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6.28</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1400" w:type="dxa"/>
            <w:vAlign w:val="bottom"/>
            <w:gridSpan w:val="3"/>
          </w:tcPr>
          <w:p>
            <w:pPr>
              <w:spacing w:after="0"/>
              <w:rPr>
                <w:sz w:val="20"/>
                <w:szCs w:val="20"/>
                <w:color w:val="auto"/>
              </w:rPr>
            </w:pPr>
            <w:r>
              <w:rPr>
                <w:rFonts w:ascii="Arial" w:cs="Arial" w:eastAsia="Arial" w:hAnsi="Arial"/>
                <w:sz w:val="17"/>
                <w:szCs w:val="17"/>
                <w:color w:val="auto"/>
              </w:rPr>
              <w:t>Brian Camire</w:t>
            </w:r>
          </w:p>
        </w:tc>
        <w:tc>
          <w:tcPr>
            <w:tcW w:w="1000" w:type="dxa"/>
            <w:vAlign w:val="bottom"/>
          </w:tcPr>
          <w:p>
            <w:pPr>
              <w:jc w:val="right"/>
              <w:ind w:right="57"/>
              <w:spacing w:after="0"/>
              <w:rPr>
                <w:sz w:val="20"/>
                <w:szCs w:val="20"/>
                <w:color w:val="auto"/>
              </w:rPr>
            </w:pPr>
            <w:r>
              <w:rPr>
                <w:rFonts w:ascii="Arial" w:cs="Arial" w:eastAsia="Arial" w:hAnsi="Arial"/>
                <w:sz w:val="17"/>
                <w:szCs w:val="17"/>
                <w:color w:val="auto"/>
              </w:rPr>
              <w:t>8/15/2021</w:t>
            </w: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214,844</w:t>
            </w:r>
          </w:p>
        </w:tc>
        <w:tc>
          <w:tcPr>
            <w:tcW w:w="10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7"/>
                <w:szCs w:val="17"/>
                <w:color w:val="auto"/>
              </w:rPr>
              <w:t>1,284,767</w:t>
            </w:r>
          </w:p>
        </w:tc>
        <w:tc>
          <w:tcPr>
            <w:tcW w:w="12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8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8"/>
        </w:trPr>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7"/>
                <w:szCs w:val="17"/>
                <w:color w:val="auto"/>
              </w:rPr>
              <w:t>29,296</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175,190</w:t>
            </w:r>
          </w:p>
        </w:tc>
        <w:tc>
          <w:tcPr>
            <w:tcW w:w="0" w:type="dxa"/>
            <w:vAlign w:val="bottom"/>
          </w:tcPr>
          <w:p>
            <w:pPr>
              <w:spacing w:after="0"/>
              <w:rPr>
                <w:sz w:val="1"/>
                <w:szCs w:val="1"/>
                <w:color w:val="auto"/>
              </w:rPr>
            </w:pPr>
          </w:p>
        </w:tc>
      </w:tr>
      <w:tr>
        <w:trPr>
          <w:trHeight w:val="310"/>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57"/>
              <w:spacing w:after="0"/>
              <w:rPr>
                <w:sz w:val="20"/>
                <w:szCs w:val="20"/>
                <w:color w:val="auto"/>
              </w:rPr>
            </w:pPr>
            <w:r>
              <w:rPr>
                <w:rFonts w:ascii="Arial" w:cs="Arial" w:eastAsia="Arial" w:hAnsi="Arial"/>
                <w:sz w:val="17"/>
                <w:szCs w:val="17"/>
                <w:color w:val="auto"/>
              </w:rPr>
              <w:t>12/8/2020</w:t>
            </w:r>
          </w:p>
        </w:tc>
        <w:tc>
          <w:tcPr>
            <w:tcW w:w="120" w:type="dxa"/>
            <w:vAlign w:val="bottom"/>
          </w:tcPr>
          <w:p>
            <w:pPr>
              <w:spacing w:after="0"/>
              <w:rPr>
                <w:sz w:val="24"/>
                <w:szCs w:val="24"/>
                <w:color w:val="auto"/>
              </w:rPr>
            </w:pPr>
          </w:p>
        </w:tc>
        <w:tc>
          <w:tcPr>
            <w:tcW w:w="760" w:type="dxa"/>
            <w:vAlign w:val="bottom"/>
          </w:tcPr>
          <w:p>
            <w:pPr>
              <w:jc w:val="right"/>
              <w:ind w:right="38"/>
              <w:spacing w:after="0"/>
              <w:rPr>
                <w:sz w:val="20"/>
                <w:szCs w:val="20"/>
                <w:color w:val="auto"/>
              </w:rPr>
            </w:pPr>
            <w:r>
              <w:rPr>
                <w:rFonts w:ascii="Arial" w:cs="Arial" w:eastAsia="Arial" w:hAnsi="Arial"/>
                <w:sz w:val="17"/>
                <w:szCs w:val="17"/>
                <w:color w:val="auto"/>
              </w:rPr>
              <w:t>61,978</w:t>
            </w:r>
          </w:p>
        </w:tc>
        <w:tc>
          <w:tcPr>
            <w:tcW w:w="100" w:type="dxa"/>
            <w:vAlign w:val="bottom"/>
          </w:tcPr>
          <w:p>
            <w:pPr>
              <w:spacing w:after="0"/>
              <w:rPr>
                <w:sz w:val="24"/>
                <w:szCs w:val="24"/>
                <w:color w:val="auto"/>
              </w:rPr>
            </w:pPr>
          </w:p>
        </w:tc>
        <w:tc>
          <w:tcPr>
            <w:tcW w:w="880" w:type="dxa"/>
            <w:vAlign w:val="bottom"/>
          </w:tcPr>
          <w:p>
            <w:pPr>
              <w:jc w:val="right"/>
              <w:spacing w:after="0" w:line="310" w:lineRule="exact"/>
              <w:rPr>
                <w:sz w:val="20"/>
                <w:szCs w:val="20"/>
                <w:color w:val="auto"/>
              </w:rPr>
            </w:pPr>
            <w:r>
              <w:rPr>
                <w:rFonts w:ascii="Arial" w:cs="Arial" w:eastAsia="Arial" w:hAnsi="Arial"/>
                <w:sz w:val="17"/>
                <w:szCs w:val="17"/>
                <w:color w:val="auto"/>
              </w:rPr>
              <w:t>185,931</w:t>
            </w:r>
            <w:r>
              <w:rPr>
                <w:rFonts w:ascii="Arial" w:cs="Arial" w:eastAsia="Arial" w:hAnsi="Arial"/>
                <w:sz w:val="28"/>
                <w:szCs w:val="28"/>
                <w:color w:val="auto"/>
                <w:vertAlign w:val="superscript"/>
              </w:rPr>
              <w:t>(6)</w:t>
            </w:r>
          </w:p>
        </w:tc>
        <w:tc>
          <w:tcPr>
            <w:tcW w:w="10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8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0"/>
        </w:trPr>
        <w:tc>
          <w:tcPr>
            <w:tcW w:w="1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5/6/2019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271,150</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10" w:lineRule="exact"/>
              <w:rPr>
                <w:sz w:val="20"/>
                <w:szCs w:val="20"/>
                <w:color w:val="auto"/>
              </w:rPr>
            </w:pPr>
            <w:r>
              <w:rPr>
                <w:rFonts w:ascii="Arial" w:cs="Arial" w:eastAsia="Arial" w:hAnsi="Arial"/>
                <w:sz w:val="17"/>
                <w:szCs w:val="17"/>
                <w:color w:val="auto"/>
              </w:rPr>
              <w:t>162,690</w:t>
            </w:r>
            <w:r>
              <w:rPr>
                <w:rFonts w:ascii="Arial" w:cs="Arial" w:eastAsia="Arial" w:hAnsi="Arial"/>
                <w:sz w:val="28"/>
                <w:szCs w:val="28"/>
                <w:color w:val="auto"/>
                <w:vertAlign w:val="superscript"/>
              </w:rPr>
              <w:t>(6)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8.03</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-3445510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4834890</wp:posOffset>
            </wp:positionH>
            <wp:positionV relativeFrom="paragraph">
              <wp:posOffset>-3445510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4105910</wp:posOffset>
            </wp:positionH>
            <wp:positionV relativeFrom="paragraph">
              <wp:posOffset>-3445510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3608705</wp:posOffset>
            </wp:positionH>
            <wp:positionV relativeFrom="paragraph">
              <wp:posOffset>-3445510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-3445510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2708910</wp:posOffset>
            </wp:positionH>
            <wp:positionV relativeFrom="paragraph">
              <wp:posOffset>-3445510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2082800</wp:posOffset>
            </wp:positionH>
            <wp:positionV relativeFrom="paragraph">
              <wp:posOffset>-3445510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1534160</wp:posOffset>
            </wp:positionH>
            <wp:positionV relativeFrom="paragraph">
              <wp:posOffset>-3445510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-3445510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 w:lineRule="exact"/>
        <w:rPr>
          <w:sz w:val="20"/>
          <w:szCs w:val="20"/>
          <w:color w:val="auto"/>
        </w:rPr>
      </w:pPr>
    </w:p>
    <w:p>
      <w:pPr>
        <w:ind w:left="348" w:hanging="348"/>
        <w:spacing w:after="0"/>
        <w:tabs>
          <w:tab w:leader="none" w:pos="348"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participation threshold applicable to the Class P Units.</w:t>
      </w:r>
    </w:p>
    <w:p>
      <w:pPr>
        <w:spacing w:after="0" w:line="41" w:lineRule="exact"/>
        <w:rPr>
          <w:rFonts w:ascii="Arial" w:cs="Arial" w:eastAsia="Arial" w:hAnsi="Arial"/>
          <w:sz w:val="14"/>
          <w:szCs w:val="14"/>
          <w:color w:val="auto"/>
        </w:rPr>
      </w:pPr>
    </w:p>
    <w:p>
      <w:pPr>
        <w:jc w:val="both"/>
        <w:ind w:left="348" w:hanging="348"/>
        <w:spacing w:after="0" w:line="233" w:lineRule="auto"/>
        <w:tabs>
          <w:tab w:leader="none" w:pos="348"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RSUs will vest on a quarterly basis over three years beginning on the vesting commencement date,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 The remaining RSU awards vest in equal quarterly installments, subject to continued service with us.</w:t>
      </w:r>
    </w:p>
    <w:p>
      <w:pPr>
        <w:spacing w:after="0" w:line="22" w:lineRule="exact"/>
        <w:rPr>
          <w:rFonts w:ascii="Arial" w:cs="Arial" w:eastAsia="Arial" w:hAnsi="Arial"/>
          <w:sz w:val="14"/>
          <w:szCs w:val="14"/>
          <w:color w:val="auto"/>
        </w:rPr>
      </w:pPr>
    </w:p>
    <w:p>
      <w:pPr>
        <w:jc w:val="both"/>
        <w:ind w:left="348" w:hanging="348"/>
        <w:spacing w:after="0" w:line="238" w:lineRule="auto"/>
        <w:tabs>
          <w:tab w:leader="none" w:pos="348"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PRSUs will vest in accordance with the performance-based vesting conditions described above under “—Equity-Based Incentive Awards.” The number of shares subject to each Named Executive Officer’s PRSU award assumes threshold achievement, with the Adjusted EBITDA Margin Percentage deemed to equal 50% and Revenue CAGR Percentage deemed to equal 0%.</w:t>
      </w:r>
    </w:p>
    <w:p>
      <w:pPr>
        <w:spacing w:after="0" w:line="20" w:lineRule="exact"/>
        <w:rPr>
          <w:rFonts w:ascii="Arial" w:cs="Arial" w:eastAsia="Arial" w:hAnsi="Arial"/>
          <w:sz w:val="14"/>
          <w:szCs w:val="14"/>
          <w:color w:val="auto"/>
        </w:rPr>
      </w:pPr>
    </w:p>
    <w:p>
      <w:pPr>
        <w:ind w:left="348" w:hanging="348"/>
        <w:spacing w:after="0"/>
        <w:tabs>
          <w:tab w:leader="none" w:pos="348"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market value is based on the closing price of our common stock on December 31, 2021, of $5.98 per share.</w:t>
      </w:r>
    </w:p>
    <w:p>
      <w:pPr>
        <w:spacing w:after="0" w:line="41" w:lineRule="exact"/>
        <w:rPr>
          <w:rFonts w:ascii="Arial" w:cs="Arial" w:eastAsia="Arial" w:hAnsi="Arial"/>
          <w:sz w:val="14"/>
          <w:szCs w:val="14"/>
          <w:color w:val="auto"/>
        </w:rPr>
      </w:pPr>
    </w:p>
    <w:p>
      <w:pPr>
        <w:ind w:left="348" w:hanging="348"/>
        <w:spacing w:after="0"/>
        <w:tabs>
          <w:tab w:leader="none" w:pos="348"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remaining unvested Class P Unit awards vest in monthly installments, subject to continued service with us.</w:t>
      </w:r>
    </w:p>
    <w:p>
      <w:pPr>
        <w:spacing w:after="0" w:line="41" w:lineRule="exact"/>
        <w:rPr>
          <w:rFonts w:ascii="Arial" w:cs="Arial" w:eastAsia="Arial" w:hAnsi="Arial"/>
          <w:sz w:val="14"/>
          <w:szCs w:val="14"/>
          <w:color w:val="auto"/>
        </w:rPr>
      </w:pPr>
    </w:p>
    <w:p>
      <w:pPr>
        <w:ind w:left="348" w:hanging="348"/>
        <w:spacing w:after="0"/>
        <w:tabs>
          <w:tab w:leader="none" w:pos="348"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remaining unvested Class P Unit awards vest in quarterly installments, subject to continued service with us.</w:t>
      </w: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134620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5" w:right="1199"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to Summary Compensation Table and Grants of Plan-Based Awards Table</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For 2021, the compensation programs for our Named Executive Officers consisted of base salary, cash bonuses and equity-based incentive awards.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Base salary is set at a level that is intended to reflect the executive’s duties, authorities, contributions, prior experience and performance.</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Bonus</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In 2021, Messrs. Beals, Feijoo and Camire were each eligible for annual discretionary cash bonus awards of up to 83%, 50% and 15% respectively, of their annual salary subject to the attainment of performance goals set by our board of directors and our compensation committee. In addition, Messrs. Lee and Camire each received a one-time discretionary cash bonus of $450,000 and $200,000, respectively, in connection with the completion of the Business Combination.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In December 2021, we awarded our Named Executive Officers RSUs and PRSUs under our 2021 Equity Incentive Plan (our “2021 Plan”).</w:t>
      </w:r>
    </w:p>
    <w:p>
      <w:pPr>
        <w:spacing w:after="0" w:line="6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number of RSUs granted to each of our Named Executive Officers was 781,250, 625,000, 468,750, 328,125 and 234,375 for Messrs. Beals, Lee, Feijoo, Dean and Camire, respectively. The RSUs vest in equal quarterly installments over three years following the vesting commencement date, and vesting terminates upon the Named Executive Officer’s termination of continuous service with us.</w:t>
      </w:r>
    </w:p>
    <w:p>
      <w:pPr>
        <w:spacing w:after="0" w:line="79"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 target number of PRSUs granted to each of our Named Executive Officers was 781,250, 625,000, 468,750, 328,125 and 234,375 for Messrs. Beals, Lee, Feijoo, Dean and Camire, respectively. The PRSUs vest only if we achieve specified performance goals during the performance period beginning on January 1, 2022 and ending on December 31, 2023. The actual number of PRSUs that vest will be determined based upon the following calculation:</w:t>
      </w:r>
    </w:p>
    <w:p>
      <w:pPr>
        <w:spacing w:after="0" w:line="1" w:lineRule="exact"/>
        <w:rPr>
          <w:sz w:val="20"/>
          <w:szCs w:val="20"/>
          <w:color w:val="auto"/>
        </w:rPr>
      </w:pPr>
    </w:p>
    <w:p>
      <w:pPr>
        <w:jc w:val="both"/>
        <w:ind w:left="300" w:right="299" w:hanging="8"/>
        <w:spacing w:after="0" w:line="253" w:lineRule="auto"/>
        <w:tabs>
          <w:tab w:leader="none" w:pos="5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85"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The number of PRSUs that vest will be determined by our compensation committee within 90 days following the end of the performance period, which is referred to as the determination date. Each Named Executive Officer must remain employed by us through the determination date for the PRSU award to vest.</w:t>
      </w:r>
    </w:p>
    <w:p>
      <w:pPr>
        <w:spacing w:after="0" w:line="57" w:lineRule="exact"/>
        <w:rPr>
          <w:sz w:val="20"/>
          <w:szCs w:val="20"/>
          <w:color w:val="auto"/>
        </w:rPr>
      </w:pPr>
    </w:p>
    <w:p>
      <w:pPr>
        <w:jc w:val="both"/>
        <w:ind w:left="300" w:right="319"/>
        <w:spacing w:after="0" w:line="275" w:lineRule="auto"/>
        <w:rPr>
          <w:sz w:val="20"/>
          <w:szCs w:val="20"/>
          <w:color w:val="auto"/>
        </w:rPr>
      </w:pPr>
      <w:r>
        <w:rPr>
          <w:rFonts w:ascii="Arial" w:cs="Arial" w:eastAsia="Arial" w:hAnsi="Arial"/>
          <w:sz w:val="17"/>
          <w:szCs w:val="17"/>
          <w:color w:val="auto"/>
        </w:rPr>
        <w:t>Threshold achievement of the Revenue CAGR performance metric will result in a 50% Revenue CAGR Percentage, target achievement of the Revenue CAGR performance metric will result in a 100% Revenue CAGR Percentage, and maximum achievement of the Revenue CAGR performance metric will result in a 200% Revenue CAGR Percentage, with the Revenue CAGR Percentage interpolated linearly and rounded up the nearest percentage point between these level after threshold performance is attained.</w:t>
      </w:r>
    </w:p>
    <w:p>
      <w:pPr>
        <w:spacing w:after="0" w:line="68"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Threshold achievement of the Adjusted EBITDA Margin performance metric will result in a 50% Adjusted EBITDA Margin Percentage, target achievement of the Adjusted EBITDA Margin performance metric will result in a 100% Adjusted EBITDA Margin Percentage, and maximum achievement of the Adjusted EBITDA Margin performance metric will result in a 200% Adjusted EBITDA Margin Percentage, with the Adjusted EBITDA Margin Percentage interpolated linearly and rounded up the nearest percentage point between these level after threshold performance is attained.</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accidental death and dismemberment insurance;; and a tax-qualified Section 401(k) plan. With the exception of life insurance and long-term disability insurance, we do not maintain any executive-specific benefit or executive perquisite programs.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maintain a tax-qualified retirement plan that provides our employees, including our Named Executive Officers, who satisfy certain eligibility requirements with an opportunity to save for retirement on a tax advantaged basis. Eligible employees are able to participate in the 401(k) plan as of the first day of the month following the date they complete three months of employment and participants are able to defer, either on a pre-tax basis or on an after-tax (Roth) basis through contributions to the 401(k) plan, up to 90% of their eligible compensation, up to the contribution limits prescribed by the Code and applicable regulations or notices. All participants’ interests in their deferrals are 100% vested when contributed. We make matching contributions of 100% of each participant’s elective deferrals of the first 1% of such participant’s eligible compensation that is contributed plus 50% of each participant’s elective deferrals of the next 2% to 6% of such participant’s eligible compensation that is contributed, up to a maximum matching contribution of 3.5% of eligible compensation.</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Employment Arrangements</w:t>
      </w:r>
    </w:p>
    <w:p>
      <w:pPr>
        <w:spacing w:after="0" w:line="11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Each of our Named Executive Officers have entered into an offer letter with Ghost Management Group, LLC, which provides for employment on an at-will basis..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Christopher Beals</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Mr. Beals previously entered into an offer letter with Ghost Management Group, LLC, dated July 31, 2015. Pursuant to the terms of the offer letter, Mr. Beals’s current annual base salary is $600,000. Mr. Beals also is eligible to participate in the employee benefit plans generally available to our employees and maintained by us.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Arden Lee</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Mr. Lee previously entered into an offer letter with Ghost Management Group, LLC, dated February 5, 2019. Pursuant to the terms of the offer letter, Mr. Lee’s current annual base salary is $500,000. Mr. Lee also is eligible to participate in the employee benefit plans generally available to our employees and maintained by us.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Juanjo Feijoo</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Mr. Feijoo previously entered into an offer letter with Ghost Management Group, LLC, dated April 30, 2019. Pursuant to the terms of the offer letter, Mr. Feijoo’s annual base salary was $400,000, which increased to $440,000 following his promotion to Chief Operating Officer. Mr. Feijoo also is eligible to participate in the employee benefit plans generally available to our employees and maintained by us.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Justin Dean</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Mr. Dean previously entered into an offer letter with Ghost Management Group, LLC, dated October 3, 2018. Pursuant to the terms of the offer letter, Mr. Dean’s annual base salary was $475,000 per year. Mr. Dean also is eligible to participate in the employee benefit plans generally available to our employees and maintained by us.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Brian Camire</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Mr. Camire previously entered into an offer letter with Ghost Management Group, LLC, dated April 4, 2019. Pursuant to the terms of the offer letter, Mr. Camire’s annual base salary was $350,000, which increased to $410,000 per year. Mr. Camire also is eligible to participate in the employee benefit plans generally available to our employees and maintained by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 Exercises and Stock Vested</w:t>
      </w:r>
    </w:p>
    <w:p>
      <w:pPr>
        <w:spacing w:after="0" w:line="12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The following table shows certain information regarding equity awards vested with respect to the Named Executive Officers in 2021:</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3"/>
          </w:tcPr>
          <w:p>
            <w:pPr>
              <w:ind w:left="640"/>
              <w:spacing w:after="0"/>
              <w:rPr>
                <w:sz w:val="20"/>
                <w:szCs w:val="20"/>
                <w:color w:val="auto"/>
              </w:rPr>
            </w:pPr>
            <w:r>
              <w:rPr>
                <w:rFonts w:ascii="Arial" w:cs="Arial" w:eastAsia="Arial" w:hAnsi="Arial"/>
                <w:sz w:val="14"/>
                <w:szCs w:val="14"/>
                <w:b w:val="1"/>
                <w:bCs w:val="1"/>
                <w:color w:val="auto"/>
              </w:rPr>
              <w:t>Equity Awards</w:t>
            </w:r>
          </w:p>
        </w:tc>
        <w:tc>
          <w:tcPr>
            <w:tcW w:w="0" w:type="dxa"/>
            <w:vAlign w:val="bottom"/>
          </w:tcPr>
          <w:p>
            <w:pPr>
              <w:spacing w:after="0"/>
              <w:rPr>
                <w:sz w:val="1"/>
                <w:szCs w:val="1"/>
                <w:color w:val="auto"/>
              </w:rPr>
            </w:pPr>
          </w:p>
        </w:tc>
      </w:tr>
      <w:tr>
        <w:trPr>
          <w:trHeight w:val="53"/>
        </w:trPr>
        <w:tc>
          <w:tcPr>
            <w:tcW w:w="6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Number of Shares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5"/>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vMerge w:val="restart"/>
          </w:tcPr>
          <w:p>
            <w:pPr>
              <w:spacing w:after="0"/>
              <w:rPr>
                <w:sz w:val="12"/>
                <w:szCs w:val="12"/>
                <w:color w:val="auto"/>
              </w:rPr>
            </w:pPr>
          </w:p>
        </w:tc>
        <w:tc>
          <w:tcPr>
            <w:tcW w:w="13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Acquired on</w:t>
            </w: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242"/>
        </w:trPr>
        <w:tc>
          <w:tcPr>
            <w:tcW w:w="60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Vesting (#)</w:t>
            </w:r>
          </w:p>
        </w:tc>
        <w:tc>
          <w:tcPr>
            <w:tcW w:w="1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0" w:type="dxa"/>
            <w:vAlign w:val="bottom"/>
          </w:tcPr>
          <w:p>
            <w:pPr>
              <w:spacing w:after="0"/>
              <w:rPr>
                <w:sz w:val="1"/>
                <w:szCs w:val="1"/>
                <w:color w:val="auto"/>
              </w:rPr>
            </w:pPr>
          </w:p>
        </w:tc>
      </w:tr>
      <w:tr>
        <w:trPr>
          <w:trHeight w:val="298"/>
        </w:trPr>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Christopher Beals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65,104</w:t>
            </w: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416,666</w:t>
            </w:r>
          </w:p>
        </w:tc>
        <w:tc>
          <w:tcPr>
            <w:tcW w:w="0" w:type="dxa"/>
            <w:vAlign w:val="bottom"/>
          </w:tcPr>
          <w:p>
            <w:pPr>
              <w:spacing w:after="0"/>
              <w:rPr>
                <w:sz w:val="1"/>
                <w:szCs w:val="1"/>
                <w:color w:val="auto"/>
              </w:rPr>
            </w:pPr>
          </w:p>
        </w:tc>
      </w:tr>
      <w:tr>
        <w:trPr>
          <w:trHeight w:val="253"/>
        </w:trPr>
        <w:tc>
          <w:tcPr>
            <w:tcW w:w="6200" w:type="dxa"/>
            <w:vAlign w:val="bottom"/>
            <w:gridSpan w:val="2"/>
          </w:tcPr>
          <w:p>
            <w:pPr>
              <w:spacing w:after="0"/>
              <w:rPr>
                <w:sz w:val="20"/>
                <w:szCs w:val="20"/>
                <w:color w:val="auto"/>
              </w:rPr>
            </w:pPr>
            <w:r>
              <w:rPr>
                <w:rFonts w:ascii="Arial" w:cs="Arial" w:eastAsia="Arial" w:hAnsi="Arial"/>
                <w:sz w:val="17"/>
                <w:szCs w:val="17"/>
                <w:color w:val="auto"/>
              </w:rPr>
              <w:t>Arden Lee</w:t>
            </w:r>
          </w:p>
        </w:tc>
        <w:tc>
          <w:tcPr>
            <w:tcW w:w="1140" w:type="dxa"/>
            <w:vAlign w:val="bottom"/>
          </w:tcPr>
          <w:p>
            <w:pPr>
              <w:jc w:val="center"/>
              <w:spacing w:after="0"/>
              <w:rPr>
                <w:sz w:val="20"/>
                <w:szCs w:val="20"/>
                <w:color w:val="auto"/>
              </w:rPr>
            </w:pPr>
            <w:r>
              <w:rPr>
                <w:rFonts w:ascii="Arial" w:cs="Arial" w:eastAsia="Arial" w:hAnsi="Arial"/>
                <w:sz w:val="17"/>
                <w:szCs w:val="17"/>
                <w:color w:val="auto"/>
                <w:w w:val="88"/>
              </w:rPr>
              <w:t>52,083</w:t>
            </w: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333,331</w:t>
            </w:r>
          </w:p>
        </w:tc>
        <w:tc>
          <w:tcPr>
            <w:tcW w:w="0" w:type="dxa"/>
            <w:vAlign w:val="bottom"/>
          </w:tcPr>
          <w:p>
            <w:pPr>
              <w:spacing w:after="0"/>
              <w:rPr>
                <w:sz w:val="1"/>
                <w:szCs w:val="1"/>
                <w:color w:val="auto"/>
              </w:rPr>
            </w:pPr>
          </w:p>
        </w:tc>
      </w:tr>
      <w:tr>
        <w:trPr>
          <w:trHeight w:val="58"/>
        </w:trPr>
        <w:tc>
          <w:tcPr>
            <w:tcW w:w="6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Juanjo Feijoo</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78,124</w:t>
            </w: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499,994</w:t>
            </w:r>
          </w:p>
        </w:tc>
        <w:tc>
          <w:tcPr>
            <w:tcW w:w="0" w:type="dxa"/>
            <w:vAlign w:val="bottom"/>
          </w:tcPr>
          <w:p>
            <w:pPr>
              <w:spacing w:after="0"/>
              <w:rPr>
                <w:sz w:val="1"/>
                <w:szCs w:val="1"/>
                <w:color w:val="auto"/>
              </w:rPr>
            </w:pPr>
          </w:p>
        </w:tc>
      </w:tr>
      <w:tr>
        <w:trPr>
          <w:trHeight w:val="253"/>
        </w:trPr>
        <w:tc>
          <w:tcPr>
            <w:tcW w:w="6200" w:type="dxa"/>
            <w:vAlign w:val="bottom"/>
            <w:gridSpan w:val="2"/>
          </w:tcPr>
          <w:p>
            <w:pPr>
              <w:spacing w:after="0"/>
              <w:rPr>
                <w:sz w:val="20"/>
                <w:szCs w:val="20"/>
                <w:color w:val="auto"/>
              </w:rPr>
            </w:pPr>
            <w:r>
              <w:rPr>
                <w:rFonts w:ascii="Arial" w:cs="Arial" w:eastAsia="Arial" w:hAnsi="Arial"/>
                <w:sz w:val="17"/>
                <w:szCs w:val="17"/>
                <w:color w:val="auto"/>
              </w:rPr>
              <w:t>Justin Dean</w:t>
            </w:r>
          </w:p>
        </w:tc>
        <w:tc>
          <w:tcPr>
            <w:tcW w:w="1140" w:type="dxa"/>
            <w:vAlign w:val="bottom"/>
          </w:tcPr>
          <w:p>
            <w:pPr>
              <w:jc w:val="center"/>
              <w:spacing w:after="0"/>
              <w:rPr>
                <w:sz w:val="20"/>
                <w:szCs w:val="20"/>
                <w:color w:val="auto"/>
              </w:rPr>
            </w:pPr>
            <w:r>
              <w:rPr>
                <w:rFonts w:ascii="Arial" w:cs="Arial" w:eastAsia="Arial" w:hAnsi="Arial"/>
                <w:sz w:val="17"/>
                <w:szCs w:val="17"/>
                <w:color w:val="auto"/>
                <w:w w:val="88"/>
              </w:rPr>
              <w:t>27,343</w:t>
            </w: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174,995</w:t>
            </w:r>
          </w:p>
        </w:tc>
        <w:tc>
          <w:tcPr>
            <w:tcW w:w="0" w:type="dxa"/>
            <w:vAlign w:val="bottom"/>
          </w:tcPr>
          <w:p>
            <w:pPr>
              <w:spacing w:after="0"/>
              <w:rPr>
                <w:sz w:val="1"/>
                <w:szCs w:val="1"/>
                <w:color w:val="auto"/>
              </w:rPr>
            </w:pPr>
          </w:p>
        </w:tc>
      </w:tr>
      <w:tr>
        <w:trPr>
          <w:trHeight w:val="58"/>
        </w:trPr>
        <w:tc>
          <w:tcPr>
            <w:tcW w:w="6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Brian Camire</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19,531</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124,998</w:t>
            </w:r>
          </w:p>
        </w:tc>
        <w:tc>
          <w:tcPr>
            <w:tcW w:w="0" w:type="dxa"/>
            <w:vAlign w:val="bottom"/>
          </w:tcPr>
          <w:p>
            <w:pPr>
              <w:spacing w:after="0"/>
              <w:rPr>
                <w:sz w:val="1"/>
                <w:szCs w:val="1"/>
                <w:color w:val="auto"/>
              </w:rPr>
            </w:pPr>
          </w:p>
        </w:tc>
      </w:tr>
      <w:tr>
        <w:trPr>
          <w:trHeight w:val="58"/>
        </w:trPr>
        <w:tc>
          <w:tcPr>
            <w:tcW w:w="60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-1002030</wp:posOffset>
            </wp:positionV>
            <wp:extent cx="946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-1002030</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299" w:hanging="348"/>
        <w:spacing w:after="0" w:line="290" w:lineRule="auto"/>
        <w:tabs>
          <w:tab w:leader="none" w:pos="6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value realized upon vesting of RSUs was calculated by multiplying the number of shares vested by the closing price of our Class A common stock on the vesting date. The value realized was determined without considering any taxes that may have been owed.</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Each of our Named Executive Officers is eligible to participate in the Severance Plan, which provides certain benefits.</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 Severance Plan provides for severance and change in control benefits to our Named Executive Officers upon a “change in control termination” or a “regular termination” (each, as described below). Upon a change in control termination, each of our Named Executive Officers is entitled to (i) a lump sum payment equal to a number of months of his base salary (18 months for Mr. Beals and 12 months for our other Named Executive Officers), (ii) a lump sum payment equal to a percentage of the Named Executive Officer’s annual target cash bonus (150% for Mr. Beals and 100% for our other Named Executive Officers), (iii) full vesting acceleration of all outstanding equity awards (with any performance-based vesting awards deemed achieved at target level), and (iv) payment of group health insurance premiums for a number of months (18 months for Mr. Beals and 12 months for our other Named Executive Officers). Upon a regular termination, each of our Named Executive Officers is entitled to (i) continued payment of the Named Executive Officer’s base salary for a number of months (12 months for Mr. Beals and nine months for our other Named Executive Officers), (ii) a lump sum payment equal to a percentage of the Named Executive Officer’s annual target cash bonus (100% for Mr. Beals and 75% for our other Named Executive Officers), and (iii) payment of group health insurance premiums for a number of months (12 months for Mr. Beals and nine months for our other Named Executive Officers). All benefits under the Severance Plan are subject to the Named Executive Officer’s execution of an effective release of claims against us.</w:t>
      </w:r>
    </w:p>
    <w:p>
      <w:pPr>
        <w:spacing w:after="0" w:line="59"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Plan), which we refer to as the “change in control period.” A “regular termination” is a termination by us without cause or, in the case of Mr. Beals, a resignation for good reason, in either case, that does not occur during a change in control period.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following table quantifies the amount of cash payments and the value of any equity acceleration our Named Executive Officers would have received in connection with certain terminations of employment as if such termination of employment had occurred on December 31, 2021. No benefits are payable pursuant to our Severance Plan in the event of a Named Executive Officer’s retirement or voluntary resignation (other than for Good Reason, as described above).</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Salary</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Continued</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260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Triggering Event</w:t>
            </w:r>
          </w:p>
        </w:tc>
        <w:tc>
          <w:tcPr>
            <w:tcW w:w="160" w:type="dxa"/>
            <w:vAlign w:val="bottom"/>
            <w:vMerge w:val="restart"/>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Benefits</w:t>
            </w:r>
          </w:p>
        </w:tc>
        <w:tc>
          <w:tcPr>
            <w:tcW w:w="9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Acceleration</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5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1"/>
        </w:trPr>
        <w:tc>
          <w:tcPr>
            <w:tcW w:w="1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29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Involuntary Termination (non-CIC)</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600,000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360,000</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26,127</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986,127</w:t>
            </w:r>
          </w:p>
        </w:tc>
        <w:tc>
          <w:tcPr>
            <w:tcW w:w="0" w:type="dxa"/>
            <w:vAlign w:val="bottom"/>
          </w:tcPr>
          <w:p>
            <w:pPr>
              <w:spacing w:after="0"/>
              <w:rPr>
                <w:sz w:val="1"/>
                <w:szCs w:val="1"/>
                <w:color w:val="auto"/>
              </w:rPr>
            </w:pPr>
          </w:p>
        </w:tc>
      </w:tr>
      <w:tr>
        <w:trPr>
          <w:trHeight w:val="256"/>
        </w:trPr>
        <w:tc>
          <w:tcPr>
            <w:tcW w:w="1520" w:type="dxa"/>
            <w:vAlign w:val="bottom"/>
          </w:tcPr>
          <w:p>
            <w:pPr>
              <w:spacing w:after="0"/>
              <w:rPr>
                <w:sz w:val="22"/>
                <w:szCs w:val="22"/>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Involuntary Termination during</w:t>
            </w: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CIC period</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900,000</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540,000</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39,190</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8,954,428</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10,433,618</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Arden Lee</w:t>
            </w:r>
          </w:p>
        </w:tc>
        <w:tc>
          <w:tcPr>
            <w:tcW w:w="29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Involuntary Termination (non-CIC)</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375,000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187,500</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19,503</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582,003</w:t>
            </w:r>
          </w:p>
        </w:tc>
        <w:tc>
          <w:tcPr>
            <w:tcW w:w="0" w:type="dxa"/>
            <w:vAlign w:val="bottom"/>
          </w:tcPr>
          <w:p>
            <w:pPr>
              <w:spacing w:after="0"/>
              <w:rPr>
                <w:sz w:val="1"/>
                <w:szCs w:val="1"/>
                <w:color w:val="auto"/>
              </w:rPr>
            </w:pPr>
          </w:p>
        </w:tc>
      </w:tr>
      <w:tr>
        <w:trPr>
          <w:trHeight w:val="256"/>
        </w:trPr>
        <w:tc>
          <w:tcPr>
            <w:tcW w:w="1520" w:type="dxa"/>
            <w:vAlign w:val="bottom"/>
          </w:tcPr>
          <w:p>
            <w:pPr>
              <w:spacing w:after="0"/>
              <w:rPr>
                <w:sz w:val="22"/>
                <w:szCs w:val="22"/>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Involuntary Termination during</w:t>
            </w: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CIC period</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500,000</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250,000</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26,004</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7,163,544</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7,939,548</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Juanjo Feijoo</w:t>
            </w:r>
          </w:p>
        </w:tc>
        <w:tc>
          <w:tcPr>
            <w:tcW w:w="29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Involuntary Termination (non-CIC)</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330,000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231,000</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561,000</w:t>
            </w:r>
          </w:p>
        </w:tc>
        <w:tc>
          <w:tcPr>
            <w:tcW w:w="0" w:type="dxa"/>
            <w:vAlign w:val="bottom"/>
          </w:tcPr>
          <w:p>
            <w:pPr>
              <w:spacing w:after="0"/>
              <w:rPr>
                <w:sz w:val="1"/>
                <w:szCs w:val="1"/>
                <w:color w:val="auto"/>
              </w:rPr>
            </w:pPr>
          </w:p>
        </w:tc>
      </w:tr>
      <w:tr>
        <w:trPr>
          <w:trHeight w:val="256"/>
        </w:trPr>
        <w:tc>
          <w:tcPr>
            <w:tcW w:w="1520" w:type="dxa"/>
            <w:vAlign w:val="bottom"/>
          </w:tcPr>
          <w:p>
            <w:pPr>
              <w:spacing w:after="0"/>
              <w:rPr>
                <w:sz w:val="22"/>
                <w:szCs w:val="22"/>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Involuntary Termination during</w:t>
            </w: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CIC period</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440,000</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308,000</w:t>
            </w: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5,139,068</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5,887,068</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Justin Dean</w:t>
            </w:r>
          </w:p>
        </w:tc>
        <w:tc>
          <w:tcPr>
            <w:tcW w:w="29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Involuntary Termination (non-CIC)</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356,250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89,063</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19,595</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464,907</w:t>
            </w:r>
          </w:p>
        </w:tc>
        <w:tc>
          <w:tcPr>
            <w:tcW w:w="0" w:type="dxa"/>
            <w:vAlign w:val="bottom"/>
          </w:tcPr>
          <w:p>
            <w:pPr>
              <w:spacing w:after="0"/>
              <w:rPr>
                <w:sz w:val="1"/>
                <w:szCs w:val="1"/>
                <w:color w:val="auto"/>
              </w:rPr>
            </w:pPr>
          </w:p>
        </w:tc>
      </w:tr>
      <w:tr>
        <w:trPr>
          <w:trHeight w:val="256"/>
        </w:trPr>
        <w:tc>
          <w:tcPr>
            <w:tcW w:w="1520" w:type="dxa"/>
            <w:vAlign w:val="bottom"/>
          </w:tcPr>
          <w:p>
            <w:pPr>
              <w:spacing w:after="0"/>
              <w:rPr>
                <w:sz w:val="22"/>
                <w:szCs w:val="22"/>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Involuntary Termination during</w:t>
            </w: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CIC period</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475,000</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118,750</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26,127</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3,760,864</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4,380,740</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Brian Camire</w:t>
            </w:r>
          </w:p>
        </w:tc>
        <w:tc>
          <w:tcPr>
            <w:tcW w:w="29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Involuntary Termination (non-CIC)</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307,500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76,875</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397,982</w:t>
            </w:r>
          </w:p>
        </w:tc>
        <w:tc>
          <w:tcPr>
            <w:tcW w:w="0" w:type="dxa"/>
            <w:vAlign w:val="bottom"/>
          </w:tcPr>
          <w:p>
            <w:pPr>
              <w:spacing w:after="0"/>
              <w:rPr>
                <w:sz w:val="1"/>
                <w:szCs w:val="1"/>
                <w:color w:val="auto"/>
              </w:rPr>
            </w:pPr>
          </w:p>
        </w:tc>
      </w:tr>
      <w:tr>
        <w:trPr>
          <w:trHeight w:val="256"/>
        </w:trPr>
        <w:tc>
          <w:tcPr>
            <w:tcW w:w="1520" w:type="dxa"/>
            <w:vAlign w:val="bottom"/>
          </w:tcPr>
          <w:p>
            <w:pPr>
              <w:spacing w:after="0"/>
              <w:rPr>
                <w:sz w:val="22"/>
                <w:szCs w:val="22"/>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Involuntary Termination during</w:t>
            </w: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CIC period</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410,000</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102,500</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18,142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2,686,330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3,216,972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-2725420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-2725420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-2725420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-2725420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-2725420</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-2725420</wp:posOffset>
            </wp:positionV>
            <wp:extent cx="102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ind w:left="640" w:hanging="348"/>
        <w:spacing w:after="0"/>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Value of equity acceleration is calculated based on the $5.98 closing price of our stock on December 31, 2021.</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retirement plan sponsored by us during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Non-Employee Director Compensation</w:t>
      </w:r>
    </w:p>
    <w:p>
      <w:pPr>
        <w:spacing w:after="0" w:line="11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In 2021, we compensated our non-employee directors in accordance with a Non-Employee Director Compensation Policy established by our Compensation Committee in consultation with our Board of Directors, compensation consultants, Chief Executive Officer, and other members of our senior management team. The Non-Employee Director Compensation Policy is intended to provide a total compensation package that enables us to attract and retain, on a long-term basis, high-caliber directors who are not our employees or officers.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Non-Employee Director Compensation Policy that was effective for 2021 consisted of the following elements:</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Non-Employee Director Compensation</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86"/>
        </w:trPr>
        <w:tc>
          <w:tcPr>
            <w:tcW w:w="7820" w:type="dxa"/>
            <w:vAlign w:val="bottom"/>
            <w:gridSpan w:val="2"/>
            <w:vMerge w:val="continue"/>
          </w:tcPr>
          <w:p>
            <w:pPr>
              <w:spacing w:after="0"/>
              <w:rPr>
                <w:sz w:val="16"/>
                <w:szCs w:val="16"/>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75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782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b w:val="1"/>
                <w:bCs w:val="1"/>
                <w:color w:val="auto"/>
              </w:rPr>
              <w:t>Annual Retainer for Board Membership</w:t>
            </w:r>
            <w:r>
              <w:rPr>
                <w:rFonts w:ascii="Arial" w:cs="Arial" w:eastAsia="Arial" w:hAnsi="Arial"/>
                <w:sz w:val="29"/>
                <w:szCs w:val="29"/>
                <w:b w:val="1"/>
                <w:bCs w:val="1"/>
                <w:color w:val="auto"/>
                <w:vertAlign w:val="superscript"/>
              </w:rPr>
              <w:t>(1)(2)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324"/>
        </w:trPr>
        <w:tc>
          <w:tcPr>
            <w:tcW w:w="7820" w:type="dxa"/>
            <w:vAlign w:val="bottom"/>
            <w:gridSpan w:val="2"/>
          </w:tcPr>
          <w:p>
            <w:pPr>
              <w:spacing w:after="0" w:line="324" w:lineRule="exact"/>
              <w:rPr>
                <w:sz w:val="20"/>
                <w:szCs w:val="20"/>
                <w:color w:val="auto"/>
              </w:rPr>
            </w:pPr>
            <w:r>
              <w:rPr>
                <w:rFonts w:ascii="Arial" w:cs="Arial" w:eastAsia="Arial" w:hAnsi="Arial"/>
                <w:sz w:val="18"/>
                <w:szCs w:val="18"/>
                <w:b w:val="1"/>
                <w:bCs w:val="1"/>
                <w:color w:val="auto"/>
              </w:rPr>
              <w:t>Initial Grant of RSUs for All Non-Employee Directors</w:t>
            </w:r>
            <w:r>
              <w:rPr>
                <w:rFonts w:ascii="Arial" w:cs="Arial" w:eastAsia="Arial" w:hAnsi="Arial"/>
                <w:sz w:val="29"/>
                <w:szCs w:val="29"/>
                <w:b w:val="1"/>
                <w:bCs w:val="1"/>
                <w:color w:val="auto"/>
                <w:vertAlign w:val="superscript"/>
              </w:rPr>
              <w:t>(3)(4)</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400,000</w:t>
            </w:r>
          </w:p>
        </w:tc>
        <w:tc>
          <w:tcPr>
            <w:tcW w:w="0" w:type="dxa"/>
            <w:vAlign w:val="bottom"/>
          </w:tcPr>
          <w:p>
            <w:pPr>
              <w:spacing w:after="0"/>
              <w:rPr>
                <w:sz w:val="1"/>
                <w:szCs w:val="1"/>
                <w:color w:val="auto"/>
              </w:rPr>
            </w:pPr>
          </w:p>
        </w:tc>
      </w:tr>
      <w:tr>
        <w:trPr>
          <w:trHeight w:val="324"/>
        </w:trPr>
        <w:tc>
          <w:tcPr>
            <w:tcW w:w="78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b w:val="1"/>
                <w:bCs w:val="1"/>
                <w:color w:val="auto"/>
              </w:rPr>
              <w:t>Annual RSU Grant for All Non-Employee Directors</w:t>
            </w:r>
            <w:r>
              <w:rPr>
                <w:rFonts w:ascii="Arial" w:cs="Arial" w:eastAsia="Arial" w:hAnsi="Arial"/>
                <w:sz w:val="29"/>
                <w:szCs w:val="29"/>
                <w:b w:val="1"/>
                <w:bCs w:val="1"/>
                <w:color w:val="auto"/>
                <w:vertAlign w:val="superscript"/>
              </w:rPr>
              <w:t>(4)(5)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200,000</w:t>
            </w:r>
          </w:p>
        </w:tc>
        <w:tc>
          <w:tcPr>
            <w:tcW w:w="0" w:type="dxa"/>
            <w:vAlign w:val="bottom"/>
          </w:tcPr>
          <w:p>
            <w:pPr>
              <w:spacing w:after="0"/>
              <w:rPr>
                <w:sz w:val="1"/>
                <w:szCs w:val="1"/>
                <w:color w:val="auto"/>
              </w:rPr>
            </w:pPr>
          </w:p>
        </w:tc>
      </w:tr>
      <w:tr>
        <w:trPr>
          <w:trHeight w:val="270"/>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Committee Additional Cash Retainer</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7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7820" w:type="dxa"/>
            <w:vAlign w:val="bottom"/>
            <w:gridSpan w:val="2"/>
            <w:shd w:val="clear" w:color="auto" w:fill="CCEEFF"/>
          </w:tcPr>
          <w:p>
            <w:pPr>
              <w:ind w:left="180"/>
              <w:spacing w:after="0" w:line="324" w:lineRule="exact"/>
              <w:rPr>
                <w:sz w:val="20"/>
                <w:szCs w:val="20"/>
                <w:color w:val="auto"/>
              </w:rPr>
            </w:pPr>
            <w:r>
              <w:rPr>
                <w:rFonts w:ascii="Arial" w:cs="Arial" w:eastAsia="Arial" w:hAnsi="Arial"/>
                <w:sz w:val="18"/>
                <w:szCs w:val="18"/>
                <w:color w:val="auto"/>
              </w:rPr>
              <w:t>Audit Committee Chairperson</w:t>
            </w:r>
            <w:r>
              <w:rPr>
                <w:rFonts w:ascii="Arial" w:cs="Arial" w:eastAsia="Arial" w:hAnsi="Arial"/>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324"/>
        </w:trPr>
        <w:tc>
          <w:tcPr>
            <w:tcW w:w="7820" w:type="dxa"/>
            <w:vAlign w:val="bottom"/>
            <w:gridSpan w:val="2"/>
          </w:tcPr>
          <w:p>
            <w:pPr>
              <w:ind w:left="180"/>
              <w:spacing w:after="0" w:line="324" w:lineRule="exact"/>
              <w:rPr>
                <w:sz w:val="20"/>
                <w:szCs w:val="20"/>
                <w:color w:val="auto"/>
              </w:rPr>
            </w:pPr>
            <w:r>
              <w:rPr>
                <w:rFonts w:ascii="Arial" w:cs="Arial" w:eastAsia="Arial" w:hAnsi="Arial"/>
                <w:sz w:val="18"/>
                <w:szCs w:val="18"/>
                <w:color w:val="auto"/>
              </w:rPr>
              <w:t>Audit Committee member (other than Chairperson)</w:t>
            </w:r>
            <w:r>
              <w:rPr>
                <w:rFonts w:ascii="Arial" w:cs="Arial" w:eastAsia="Arial" w:hAnsi="Arial"/>
                <w:sz w:val="29"/>
                <w:szCs w:val="29"/>
                <w:color w:val="auto"/>
                <w:vertAlign w:val="superscript"/>
              </w:rPr>
              <w:t>(1)(2)</w:t>
            </w:r>
          </w:p>
        </w:tc>
        <w:tc>
          <w:tcPr>
            <w:tcW w:w="60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324"/>
        </w:trPr>
        <w:tc>
          <w:tcPr>
            <w:tcW w:w="7820" w:type="dxa"/>
            <w:vAlign w:val="bottom"/>
            <w:gridSpan w:val="2"/>
            <w:shd w:val="clear" w:color="auto" w:fill="CCEEFF"/>
          </w:tcPr>
          <w:p>
            <w:pPr>
              <w:ind w:left="180"/>
              <w:spacing w:after="0" w:line="324" w:lineRule="exact"/>
              <w:rPr>
                <w:sz w:val="20"/>
                <w:szCs w:val="20"/>
                <w:color w:val="auto"/>
              </w:rPr>
            </w:pPr>
            <w:r>
              <w:rPr>
                <w:rFonts w:ascii="Arial" w:cs="Arial" w:eastAsia="Arial" w:hAnsi="Arial"/>
                <w:sz w:val="18"/>
                <w:szCs w:val="18"/>
                <w:color w:val="auto"/>
              </w:rPr>
              <w:t>Compensation Committee Chairperson</w:t>
            </w:r>
            <w:r>
              <w:rPr>
                <w:rFonts w:ascii="Arial" w:cs="Arial" w:eastAsia="Arial" w:hAnsi="Arial"/>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324"/>
        </w:trPr>
        <w:tc>
          <w:tcPr>
            <w:tcW w:w="7820" w:type="dxa"/>
            <w:vAlign w:val="bottom"/>
            <w:gridSpan w:val="2"/>
          </w:tcPr>
          <w:p>
            <w:pPr>
              <w:ind w:left="180"/>
              <w:spacing w:after="0" w:line="324" w:lineRule="exact"/>
              <w:rPr>
                <w:sz w:val="20"/>
                <w:szCs w:val="20"/>
                <w:color w:val="auto"/>
              </w:rPr>
            </w:pPr>
            <w:r>
              <w:rPr>
                <w:rFonts w:ascii="Arial" w:cs="Arial" w:eastAsia="Arial" w:hAnsi="Arial"/>
                <w:sz w:val="18"/>
                <w:szCs w:val="18"/>
                <w:color w:val="auto"/>
              </w:rPr>
              <w:t>Compensation Committee member (other than Chairperson)</w:t>
            </w:r>
            <w:r>
              <w:rPr>
                <w:rFonts w:ascii="Arial" w:cs="Arial" w:eastAsia="Arial" w:hAnsi="Arial"/>
                <w:sz w:val="29"/>
                <w:szCs w:val="29"/>
                <w:color w:val="auto"/>
                <w:vertAlign w:val="superscript"/>
              </w:rPr>
              <w:t>(1)(2)</w:t>
            </w: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324"/>
        </w:trPr>
        <w:tc>
          <w:tcPr>
            <w:tcW w:w="7820" w:type="dxa"/>
            <w:vAlign w:val="bottom"/>
            <w:gridSpan w:val="2"/>
            <w:shd w:val="clear" w:color="auto" w:fill="CCEEFF"/>
          </w:tcPr>
          <w:p>
            <w:pPr>
              <w:ind w:left="180"/>
              <w:spacing w:after="0" w:line="324" w:lineRule="exact"/>
              <w:rPr>
                <w:sz w:val="20"/>
                <w:szCs w:val="20"/>
                <w:color w:val="auto"/>
              </w:rPr>
            </w:pPr>
            <w:r>
              <w:rPr>
                <w:rFonts w:ascii="Arial" w:cs="Arial" w:eastAsia="Arial" w:hAnsi="Arial"/>
                <w:sz w:val="18"/>
                <w:szCs w:val="18"/>
                <w:color w:val="auto"/>
              </w:rPr>
              <w:t>Nominating and Corporate Governance Committee Chairperson</w:t>
            </w:r>
            <w:r>
              <w:rPr>
                <w:rFonts w:ascii="Arial" w:cs="Arial" w:eastAsia="Arial" w:hAnsi="Arial"/>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324"/>
        </w:trPr>
        <w:tc>
          <w:tcPr>
            <w:tcW w:w="7820" w:type="dxa"/>
            <w:vAlign w:val="bottom"/>
            <w:gridSpan w:val="2"/>
          </w:tcPr>
          <w:p>
            <w:pPr>
              <w:ind w:left="180"/>
              <w:spacing w:after="0" w:line="324" w:lineRule="exact"/>
              <w:rPr>
                <w:sz w:val="20"/>
                <w:szCs w:val="20"/>
                <w:color w:val="auto"/>
              </w:rPr>
            </w:pPr>
            <w:r>
              <w:rPr>
                <w:rFonts w:ascii="Arial" w:cs="Arial" w:eastAsia="Arial" w:hAnsi="Arial"/>
                <w:sz w:val="18"/>
                <w:szCs w:val="18"/>
                <w:color w:val="auto"/>
              </w:rPr>
              <w:t>Nominating and Corporate Governance Committee member (other than Chairperson)</w:t>
            </w:r>
            <w:r>
              <w:rPr>
                <w:rFonts w:ascii="Arial" w:cs="Arial" w:eastAsia="Arial" w:hAnsi="Arial"/>
                <w:sz w:val="29"/>
                <w:szCs w:val="29"/>
                <w:color w:val="auto"/>
                <w:vertAlign w:val="superscript"/>
              </w:rPr>
              <w:t>(1)(2)</w:t>
            </w:r>
          </w:p>
        </w:tc>
        <w:tc>
          <w:tcPr>
            <w:tcW w:w="60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6"/>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Additional Annual Retainer for Chairperson of our Board of Directors (if a Non-Employee Director)</w:t>
            </w: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(1)(2)</w:t>
            </w:r>
          </w:p>
        </w:tc>
        <w:tc>
          <w:tcPr>
            <w:tcW w:w="2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420"/>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Additional Annual Retainer for Lead Independent Director</w:t>
            </w:r>
            <w:r>
              <w:rPr>
                <w:rFonts w:ascii="Arial" w:cs="Arial" w:eastAsia="Arial" w:hAnsi="Arial"/>
                <w:sz w:val="29"/>
                <w:szCs w:val="29"/>
                <w:color w:val="auto"/>
                <w:vertAlign w:val="superscript"/>
              </w:rPr>
              <w:t>(1)(2)</w:t>
            </w:r>
          </w:p>
        </w:tc>
        <w:tc>
          <w:tcPr>
            <w:tcW w:w="60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-2683510</wp:posOffset>
            </wp:positionV>
            <wp:extent cx="1714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6" w:lineRule="exact"/>
        <w:rPr>
          <w:sz w:val="20"/>
          <w:szCs w:val="20"/>
          <w:color w:val="auto"/>
        </w:rPr>
      </w:pPr>
    </w:p>
    <w:p>
      <w:pPr>
        <w:ind w:left="640" w:right="299" w:hanging="348"/>
        <w:spacing w:after="0" w:line="253"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Vested upon payment and paid in arrears on the last business day of each fiscal quarter in which the Non-Employee Director’s service occurred.</w:t>
      </w:r>
    </w:p>
    <w:p>
      <w:pPr>
        <w:spacing w:after="0" w:line="1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2021, the annual retainer was pro-rated based on the days remaining in the 2021 with the pro-rated amount paid for the second quarter of 2021, and regular full quarterly payments thereafter. 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spacing w:after="0" w:line="2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initial one-time RSU grant payable to the Non-Employee Directors will have a target grant value of $400,000 and will vest in three equal annual installments over three years from the date of the Non-Employee Director’s initial election or appointment to be a Non-Employee Director.</w:t>
      </w:r>
    </w:p>
    <w:p>
      <w:pPr>
        <w:spacing w:after="0" w:line="20"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 the event of a change of control (as defined in the 2021 Plan), any unvested portion of an equity award granted to our Non-Employee Directors pursuant to the Non-Employee Director Compensation Policy shall be 100% vested immediately prior to the closing of such change of control, subject to the Non-Employee Director’s continuous service with us on the effective date of the change of control.</w:t>
      </w:r>
    </w:p>
    <w:p>
      <w:pPr>
        <w:spacing w:after="0" w:line="6" w:lineRule="exact"/>
        <w:rPr>
          <w:rFonts w:ascii="Arial" w:cs="Arial" w:eastAsia="Arial" w:hAnsi="Arial"/>
          <w:sz w:val="13"/>
          <w:szCs w:val="13"/>
          <w:color w:val="auto"/>
        </w:rPr>
      </w:pPr>
    </w:p>
    <w:p>
      <w:pPr>
        <w:jc w:val="both"/>
        <w:ind w:left="640" w:right="299" w:hanging="348"/>
        <w:spacing w:after="0" w:line="233"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At the close of business on the date of each annual meeting of our stockholders, each Non-Employee Director who will continue as a member of the Board following the date of such annual meeting of our stockholders will receive an annual RSU grant with a target grant value of $200,000 that vests, subject to change of control vesting acceleration, in full on the earlier of (i) the first anniversary of the grant date or (ii) the date of the next each annual meeting of our stockholders.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shows certain information with respect to the compensation of all non-employee directors of the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Company in 2021:</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Fees Earned or</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Equity Awards</w:t>
            </w:r>
          </w:p>
        </w:tc>
        <w:tc>
          <w:tcPr>
            <w:tcW w:w="240" w:type="dxa"/>
            <w:vAlign w:val="bottom"/>
          </w:tcPr>
          <w:p>
            <w:pPr>
              <w:spacing w:after="0"/>
              <w:rPr>
                <w:sz w:val="14"/>
                <w:szCs w:val="14"/>
                <w:color w:val="auto"/>
              </w:rPr>
            </w:pPr>
          </w:p>
        </w:tc>
        <w:tc>
          <w:tcPr>
            <w:tcW w:w="6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vMerge w:val="restart"/>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2"/>
              </w:rPr>
              <w:t>Paid in Cash</w:t>
            </w: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51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vMerge w:val="continue"/>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155"/>
              <w:spacing w:after="0" w:line="242"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(1)(2)</w:t>
            </w:r>
          </w:p>
        </w:tc>
        <w:tc>
          <w:tcPr>
            <w:tcW w:w="24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31"/>
        </w:trPr>
        <w:tc>
          <w:tcPr>
            <w:tcW w:w="544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Anthony Bay</w:t>
            </w:r>
            <w:r>
              <w:rPr>
                <w:rFonts w:ascii="Arial" w:cs="Arial" w:eastAsia="Arial" w:hAnsi="Arial"/>
                <w:sz w:val="29"/>
                <w:szCs w:val="29"/>
                <w:color w:val="auto"/>
                <w:vertAlign w:val="superscript"/>
              </w:rPr>
              <w:t>(3)</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Tony Aquila</w:t>
            </w: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33,803</w:t>
            </w:r>
          </w:p>
        </w:tc>
        <w:tc>
          <w:tcPr>
            <w:tcW w:w="240" w:type="dxa"/>
            <w:vAlign w:val="bottom"/>
          </w:tcPr>
          <w:p>
            <w:pPr>
              <w:spacing w:after="0"/>
              <w:rPr>
                <w:sz w:val="23"/>
                <w:szCs w:val="23"/>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390,915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424,718</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Douglas Francis</w:t>
            </w: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27,260</w:t>
            </w: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390,915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418,175</w:t>
            </w:r>
          </w:p>
        </w:tc>
        <w:tc>
          <w:tcPr>
            <w:tcW w:w="0" w:type="dxa"/>
            <w:vAlign w:val="bottom"/>
          </w:tcPr>
          <w:p>
            <w:pPr>
              <w:spacing w:after="0"/>
              <w:rPr>
                <w:sz w:val="1"/>
                <w:szCs w:val="1"/>
                <w:color w:val="auto"/>
              </w:rPr>
            </w:pP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Brenda Freeman</w:t>
            </w: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43,889</w:t>
            </w:r>
          </w:p>
        </w:tc>
        <w:tc>
          <w:tcPr>
            <w:tcW w:w="240" w:type="dxa"/>
            <w:vAlign w:val="bottom"/>
          </w:tcPr>
          <w:p>
            <w:pPr>
              <w:spacing w:after="0"/>
              <w:rPr>
                <w:sz w:val="23"/>
                <w:szCs w:val="23"/>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390,915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434,804</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Olga Gonzalez</w:t>
            </w: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38,164</w:t>
            </w: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390,915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429,079</w:t>
            </w:r>
          </w:p>
        </w:tc>
        <w:tc>
          <w:tcPr>
            <w:tcW w:w="0" w:type="dxa"/>
            <w:vAlign w:val="bottom"/>
          </w:tcPr>
          <w:p>
            <w:pPr>
              <w:spacing w:after="0"/>
              <w:rPr>
                <w:sz w:val="1"/>
                <w:szCs w:val="1"/>
                <w:color w:val="auto"/>
              </w:rPr>
            </w:pP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34,348</w:t>
            </w:r>
          </w:p>
        </w:tc>
        <w:tc>
          <w:tcPr>
            <w:tcW w:w="240" w:type="dxa"/>
            <w:vAlign w:val="bottom"/>
          </w:tcPr>
          <w:p>
            <w:pPr>
              <w:spacing w:after="0"/>
              <w:rPr>
                <w:sz w:val="23"/>
                <w:szCs w:val="23"/>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390,915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425,263</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Justin Hartfield</w:t>
            </w: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27,260</w:t>
            </w: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390,915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418,175</w:t>
            </w:r>
          </w:p>
        </w:tc>
        <w:tc>
          <w:tcPr>
            <w:tcW w:w="0" w:type="dxa"/>
            <w:vAlign w:val="bottom"/>
          </w:tcPr>
          <w:p>
            <w:pPr>
              <w:spacing w:after="0"/>
              <w:rPr>
                <w:sz w:val="1"/>
                <w:szCs w:val="1"/>
                <w:color w:val="auto"/>
              </w:rPr>
            </w:pP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Fiona Tan</w:t>
            </w: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29,168</w:t>
            </w:r>
          </w:p>
        </w:tc>
        <w:tc>
          <w:tcPr>
            <w:tcW w:w="240" w:type="dxa"/>
            <w:vAlign w:val="bottom"/>
          </w:tcPr>
          <w:p>
            <w:pPr>
              <w:spacing w:after="0"/>
              <w:rPr>
                <w:sz w:val="23"/>
                <w:szCs w:val="23"/>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390,915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420,083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-1628140</wp:posOffset>
            </wp:positionV>
            <wp:extent cx="1543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-1628140</wp:posOffset>
            </wp:positionV>
            <wp:extent cx="1543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-1628140</wp:posOffset>
            </wp:positionV>
            <wp:extent cx="1543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299" w:hanging="348"/>
        <w:spacing w:after="0" w:line="253"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following table shows, for each named individual, the aggregate shares under stock awards and the aggregate shares underlying option awards held by that individual as of December 31, 2021.</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Aggregate Stock</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Awards Outstanding</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400" w:type="dxa"/>
            <w:vAlign w:val="bottom"/>
            <w:gridSpan w:val="2"/>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53"/>
        </w:trPr>
        <w:tc>
          <w:tcPr>
            <w:tcW w:w="604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Anthony Bay</w:t>
            </w:r>
          </w:p>
        </w:tc>
        <w:tc>
          <w:tcPr>
            <w:tcW w:w="13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6400" w:type="dxa"/>
            <w:vAlign w:val="bottom"/>
            <w:gridSpan w:val="2"/>
          </w:tcPr>
          <w:p>
            <w:pPr>
              <w:spacing w:after="0"/>
              <w:rPr>
                <w:sz w:val="20"/>
                <w:szCs w:val="20"/>
                <w:color w:val="auto"/>
              </w:rPr>
            </w:pPr>
            <w:r>
              <w:rPr>
                <w:rFonts w:ascii="Arial" w:cs="Arial" w:eastAsia="Arial" w:hAnsi="Arial"/>
                <w:sz w:val="14"/>
                <w:szCs w:val="14"/>
                <w:color w:val="auto"/>
              </w:rPr>
              <w:t>Tony Aquila</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30,280</w:t>
            </w:r>
          </w:p>
        </w:tc>
        <w:tc>
          <w:tcPr>
            <w:tcW w:w="0" w:type="dxa"/>
            <w:vAlign w:val="bottom"/>
          </w:tcPr>
          <w:p>
            <w:pPr>
              <w:spacing w:after="0"/>
              <w:rPr>
                <w:sz w:val="1"/>
                <w:szCs w:val="1"/>
                <w:color w:val="auto"/>
              </w:rPr>
            </w:pPr>
          </w:p>
        </w:tc>
      </w:tr>
      <w:tr>
        <w:trPr>
          <w:trHeight w:val="39"/>
        </w:trPr>
        <w:tc>
          <w:tcPr>
            <w:tcW w:w="6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Douglas Francis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30,280</w:t>
            </w:r>
          </w:p>
        </w:tc>
        <w:tc>
          <w:tcPr>
            <w:tcW w:w="0" w:type="dxa"/>
            <w:vAlign w:val="bottom"/>
          </w:tcPr>
          <w:p>
            <w:pPr>
              <w:spacing w:after="0"/>
              <w:rPr>
                <w:sz w:val="1"/>
                <w:szCs w:val="1"/>
                <w:color w:val="auto"/>
              </w:rPr>
            </w:pPr>
          </w:p>
        </w:tc>
      </w:tr>
      <w:tr>
        <w:trPr>
          <w:trHeight w:val="218"/>
        </w:trPr>
        <w:tc>
          <w:tcPr>
            <w:tcW w:w="6400" w:type="dxa"/>
            <w:vAlign w:val="bottom"/>
            <w:gridSpan w:val="2"/>
          </w:tcPr>
          <w:p>
            <w:pPr>
              <w:spacing w:after="0"/>
              <w:rPr>
                <w:sz w:val="20"/>
                <w:szCs w:val="20"/>
                <w:color w:val="auto"/>
              </w:rPr>
            </w:pPr>
            <w:r>
              <w:rPr>
                <w:rFonts w:ascii="Arial" w:cs="Arial" w:eastAsia="Arial" w:hAnsi="Arial"/>
                <w:sz w:val="14"/>
                <w:szCs w:val="14"/>
                <w:color w:val="auto"/>
              </w:rPr>
              <w:t>Brenda Freeman</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30,280</w:t>
            </w:r>
          </w:p>
        </w:tc>
        <w:tc>
          <w:tcPr>
            <w:tcW w:w="0" w:type="dxa"/>
            <w:vAlign w:val="bottom"/>
          </w:tcPr>
          <w:p>
            <w:pPr>
              <w:spacing w:after="0"/>
              <w:rPr>
                <w:sz w:val="1"/>
                <w:szCs w:val="1"/>
                <w:color w:val="auto"/>
              </w:rPr>
            </w:pPr>
          </w:p>
        </w:tc>
      </w:tr>
      <w:tr>
        <w:trPr>
          <w:trHeight w:val="39"/>
        </w:trPr>
        <w:tc>
          <w:tcPr>
            <w:tcW w:w="6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Olga Gonzalez</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30,280</w:t>
            </w:r>
          </w:p>
        </w:tc>
        <w:tc>
          <w:tcPr>
            <w:tcW w:w="0" w:type="dxa"/>
            <w:vAlign w:val="bottom"/>
          </w:tcPr>
          <w:p>
            <w:pPr>
              <w:spacing w:after="0"/>
              <w:rPr>
                <w:sz w:val="1"/>
                <w:szCs w:val="1"/>
                <w:color w:val="auto"/>
              </w:rPr>
            </w:pPr>
          </w:p>
        </w:tc>
      </w:tr>
      <w:tr>
        <w:trPr>
          <w:trHeight w:val="218"/>
        </w:trPr>
        <w:tc>
          <w:tcPr>
            <w:tcW w:w="6400" w:type="dxa"/>
            <w:vAlign w:val="bottom"/>
            <w:gridSpan w:val="2"/>
          </w:tcPr>
          <w:p>
            <w:pPr>
              <w:spacing w:after="0"/>
              <w:rPr>
                <w:sz w:val="20"/>
                <w:szCs w:val="20"/>
                <w:color w:val="auto"/>
              </w:rPr>
            </w:pPr>
            <w:r>
              <w:rPr>
                <w:rFonts w:ascii="Arial" w:cs="Arial" w:eastAsia="Arial" w:hAnsi="Arial"/>
                <w:sz w:val="14"/>
                <w:szCs w:val="14"/>
                <w:color w:val="auto"/>
              </w:rPr>
              <w:t>Scott Gordon</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30,280</w:t>
            </w:r>
          </w:p>
        </w:tc>
        <w:tc>
          <w:tcPr>
            <w:tcW w:w="0" w:type="dxa"/>
            <w:vAlign w:val="bottom"/>
          </w:tcPr>
          <w:p>
            <w:pPr>
              <w:spacing w:after="0"/>
              <w:rPr>
                <w:sz w:val="1"/>
                <w:szCs w:val="1"/>
                <w:color w:val="auto"/>
              </w:rPr>
            </w:pPr>
          </w:p>
        </w:tc>
      </w:tr>
      <w:tr>
        <w:trPr>
          <w:trHeight w:val="39"/>
        </w:trPr>
        <w:tc>
          <w:tcPr>
            <w:tcW w:w="6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Justin Hartfield</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30,280</w:t>
            </w:r>
          </w:p>
        </w:tc>
        <w:tc>
          <w:tcPr>
            <w:tcW w:w="0" w:type="dxa"/>
            <w:vAlign w:val="bottom"/>
          </w:tcPr>
          <w:p>
            <w:pPr>
              <w:spacing w:after="0"/>
              <w:rPr>
                <w:sz w:val="1"/>
                <w:szCs w:val="1"/>
                <w:color w:val="auto"/>
              </w:rPr>
            </w:pPr>
          </w:p>
        </w:tc>
      </w:tr>
      <w:tr>
        <w:trPr>
          <w:trHeight w:val="218"/>
        </w:trPr>
        <w:tc>
          <w:tcPr>
            <w:tcW w:w="6400" w:type="dxa"/>
            <w:vAlign w:val="bottom"/>
            <w:gridSpan w:val="2"/>
          </w:tcPr>
          <w:p>
            <w:pPr>
              <w:spacing w:after="0"/>
              <w:rPr>
                <w:sz w:val="20"/>
                <w:szCs w:val="20"/>
                <w:color w:val="auto"/>
              </w:rPr>
            </w:pPr>
            <w:r>
              <w:rPr>
                <w:rFonts w:ascii="Arial" w:cs="Arial" w:eastAsia="Arial" w:hAnsi="Arial"/>
                <w:sz w:val="14"/>
                <w:szCs w:val="14"/>
                <w:color w:val="auto"/>
              </w:rPr>
              <w:t>Fiona Tan</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30,280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-1294765</wp:posOffset>
            </wp:positionV>
            <wp:extent cx="2317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54" w:lineRule="exact"/>
        <w:rPr>
          <w:sz w:val="20"/>
          <w:szCs w:val="20"/>
          <w:color w:val="auto"/>
        </w:rPr>
      </w:pPr>
    </w:p>
    <w:p>
      <w:pPr>
        <w:jc w:val="both"/>
        <w:ind w:left="640" w:right="319" w:hanging="348"/>
        <w:spacing w:after="0" w:line="233"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reflect the grant date fair value of all service-vesting RSU awards in accordance with ASC 718. The grant date fair value of each RSU award was measured based on the closing price of our shares of our Class A Common Stock on the date of grant. For information regarding assumptions underlying the value of equity awards, see Note 12 to our financial statements included in our Annual Report on Form 10-K for the year ended December 31, 2021.</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Bay was appointed a member and the Chairperson of the Board on March 7, 2022.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following is a summary of transactions since January 1, 2019,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Operating Company Agreement</w:t>
      </w:r>
    </w:p>
    <w:p>
      <w:pPr>
        <w:spacing w:after="0" w:line="117" w:lineRule="exact"/>
        <w:rPr>
          <w:sz w:val="20"/>
          <w:szCs w:val="20"/>
          <w:color w:val="auto"/>
        </w:rPr>
      </w:pPr>
    </w:p>
    <w:p>
      <w:pPr>
        <w:jc w:val="both"/>
        <w:ind w:left="300" w:right="319"/>
        <w:spacing w:after="0" w:line="279" w:lineRule="auto"/>
        <w:rPr>
          <w:sz w:val="20"/>
          <w:szCs w:val="20"/>
          <w:color w:val="auto"/>
        </w:rPr>
      </w:pPr>
      <w:r>
        <w:rPr>
          <w:rFonts w:ascii="Arial" w:cs="Arial" w:eastAsia="Arial" w:hAnsi="Arial"/>
          <w:sz w:val="17"/>
          <w:szCs w:val="17"/>
          <w:color w:val="auto"/>
        </w:rPr>
        <w:t>Concurrently with the Closing, the WMH LLC operating agreement was further amended and restated in its entirety to become the Fourth Amended and Restated Operating Agreement (the “Amended Operating Agreement”). Messrs. Beals, Camire, Dean, Feijoo, Lee, Francis and Hartfield and Ghost Media Group, LLC all own Paired Interests and Class P Units as described in the section titled “Principal Securityholders.”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of the Units</w:t>
      </w:r>
    </w:p>
    <w:p>
      <w:pPr>
        <w:spacing w:after="0" w:line="11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Management</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80"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w:t>
      </w:r>
    </w:p>
    <w:p>
      <w:pPr>
        <w:spacing w:after="0" w:line="3" w:lineRule="exact"/>
        <w:rPr>
          <w:sz w:val="20"/>
          <w:szCs w:val="20"/>
          <w:color w:val="auto"/>
        </w:rPr>
      </w:pPr>
    </w:p>
    <w:p>
      <w:pPr>
        <w:jc w:val="both"/>
        <w:ind w:left="300" w:right="299" w:hanging="8"/>
        <w:spacing w:after="0" w:line="255" w:lineRule="auto"/>
        <w:tabs>
          <w:tab w:leader="none" w:pos="6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use of an assumed tax rate in calculating WMH LLC’s distribution obligations, we may receive tax distributions significantly in excess of its tax liabilities and obligations to make payments under the Tax Receivable Agreement.</w:t>
      </w:r>
    </w:p>
    <w:p>
      <w:pPr>
        <w:spacing w:after="0" w:line="8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Agreement</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Concurrently with the Closing, we, WMH LLC and the Unit holders, including Messrs. Beals, Camire, Dean, Feijoo, Lee, Francis and Hartfield and Ghost Media Group, LLC, as described in the section titled “Principal Securityholders,” entered into an exchange agreement (the “Exchange Agreement”). The terms of the Exchange Agreement provide the Unit holders (or certain permitted transferees thereof) with the right from time to time at and after 180 days following the Business Combination to exchange their c)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7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Concurrently with the Closing, we, the Holder Representative and the Class A Unit holders, including Messrs. Beals, Francis and Hartfield and Ghost Media Group, LLC, as described in the section titled “Principal Securityholders,”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future redemptions or exchanges of Class A Units for shares of Class A Common Stock or cash, (ii) tax benefits related to imputed interest or (iii) tax attributes resulting from payments made under Tax Receivable Agreement. The payment obligations under Tax Receivable Agreement are our obligations and not obligations of WMH LLC.</w:t>
      </w:r>
    </w:p>
    <w:p>
      <w:pPr>
        <w:spacing w:after="0" w:line="58"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66"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 authority may challenge all or a part of the existing tax basis, tax basis increases, or other tax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80"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72"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Concurrently with the Closing, Silver Spike Sponsor, LLC (“Silver Spike Sponsor”) and certain Unit holders, including Messrs. Beals, Camire, Dean, Feijoo, Lee, Francis and Hartfield, Silver Spike Sponsor, LLC and Ghost Media Group, LLC, as described in the section titled “Principal Securityholders,”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also agreed to file within 45 days of the Closing a resale shelf registration statement covering the resale of all registrable securities.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Silver Spike Related Transactions and Agreements</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In June 2019, Silver Spike Sponsor purchased 7,187,500 founder shares for an aggregate purchase price of $25,000, or $0.004 per share. On September 23, 2019, in connection with the expiration of the underwriter’s over-allotment option, Silver Spike Sponsor surrendered 937,500 founder shares. In connection with the closing of Silver Spike’s IPO, Silver Spike Sponsor granted sponsor LLC equity interests to Silver Spike’s independent directors that collectively comprised approximately 1% of the outstanding equity interests in Silver Spike Sponsor.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7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Silver Spike entered into an Administrative Services Agreement pursuant to which Silver Spike paid Silver Spike Sponsor up to $20,000 per month for office space, administrative and support services. Upon completion of the Business Combination, Silver Spike ceased paying any of these monthly fees. As of the Closing Date, Silver Spike Sponsor was paid an aggregate of $79,074 for office space, administrative and support services and was entitled to be reimbursed for any out-of-pocket expenses.</w:t>
      </w:r>
    </w:p>
    <w:p>
      <w:pPr>
        <w:spacing w:after="0" w:line="80"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Silver Spike Sponsor, Silver Spike’s officers and directors, or any of their respective affiliates, were reimbursed for any out-of-pocket expenses incurred in connection with activities on Silver Spike’s behalf, such as identifying potential target businesses and performing due diligence on suitable business combinations. As of the Closing Date, Silver Spike Sponsor, and its respective affiliates were paid an aggregate of $88,252.</w:t>
      </w:r>
    </w:p>
    <w:p>
      <w:pPr>
        <w:spacing w:after="0" w:line="63"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Silver Spike Sponsor agreed to loan Silver Spike $250,000 under an unsecured promissory note to be used for Silver Spike’s working capital expenses. These loans are non-interest bearing and unsecured. The value of Silver Spike Sponsor’s interest in this loan transaction corresponded to the principal amount outstanding under any such loan. On February 18, 2021, Silver Spike Sponsor agreed to loan Silver Spike an additional $750,000 under an additional unsecured promissory note to be used for the payment of working capital expenses, including expenses incurred in connection with the Business Combination. The notes were non-interest bearing, unsecured and repaid on the Closing Date.</w:t>
      </w:r>
    </w:p>
    <w:p>
      <w:pPr>
        <w:spacing w:after="0" w:line="3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connection with the execution of the Merger Agreement, Silver Spike entered into a Subscription Agreement with</w:t>
      </w:r>
    </w:p>
    <w:p>
      <w:pPr>
        <w:spacing w:after="0" w:line="46" w:lineRule="exact"/>
        <w:rPr>
          <w:sz w:val="20"/>
          <w:szCs w:val="20"/>
          <w:color w:val="auto"/>
        </w:rPr>
      </w:pPr>
    </w:p>
    <w:p>
      <w:pPr>
        <w:jc w:val="both"/>
        <w:ind w:left="300" w:right="299" w:hanging="8"/>
        <w:spacing w:after="0" w:line="271" w:lineRule="auto"/>
        <w:tabs>
          <w:tab w:leader="none" w:pos="525" w:val="left"/>
        </w:tabs>
        <w:numPr>
          <w:ilvl w:val="0"/>
          <w:numId w:val="48"/>
        </w:numPr>
        <w:rPr>
          <w:rFonts w:ascii="Arial" w:cs="Arial" w:eastAsia="Arial" w:hAnsi="Arial"/>
          <w:sz w:val="17"/>
          <w:szCs w:val="17"/>
          <w:color w:val="auto"/>
        </w:rPr>
      </w:pPr>
      <w:r>
        <w:rPr>
          <w:rFonts w:ascii="Arial" w:cs="Arial" w:eastAsia="Arial" w:hAnsi="Arial"/>
          <w:sz w:val="17"/>
          <w:szCs w:val="17"/>
          <w:color w:val="auto"/>
        </w:rPr>
        <w:t>Silver Spike Opportunities I, LLC, an entity affiliated with certain directors and officers of Silver Spike, for the purchase of 3,500,000 shares of Silver Spike’s Class A ordinary shares for an aggregate purchase price of $35,000,000 and (ii) AFV Partners SPV-5 (WM) LLC, an entity affiliated with Tony Aquila, one of our directors, for the purchase of 5,000,000 PIPE Shares for an aggregate purchase price of $50.0 million, in each case on the same on the same terms and conditions as the form of Subscription Agreement.</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Legacy WMH Transactions and Agreements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Employment Relationships</w:t>
      </w:r>
    </w:p>
    <w:p>
      <w:pPr>
        <w:spacing w:after="0" w:line="117" w:lineRule="exact"/>
        <w:rPr>
          <w:sz w:val="20"/>
          <w:szCs w:val="20"/>
          <w:color w:val="auto"/>
        </w:rPr>
      </w:pPr>
    </w:p>
    <w:p>
      <w:pPr>
        <w:ind w:left="300" w:right="319"/>
        <w:spacing w:after="0" w:line="308" w:lineRule="auto"/>
        <w:rPr>
          <w:sz w:val="20"/>
          <w:szCs w:val="20"/>
          <w:color w:val="auto"/>
        </w:rPr>
      </w:pPr>
      <w:r>
        <w:rPr>
          <w:rFonts w:ascii="Arial" w:cs="Arial" w:eastAsia="Arial" w:hAnsi="Arial"/>
          <w:sz w:val="17"/>
          <w:szCs w:val="17"/>
          <w:color w:val="auto"/>
        </w:rPr>
        <w:t>Certain immediate family members of Douglas Francis, Legacy WMH’s former chief executive officer and a current member of our board of managers, provide services to us for compensation, as described below:</w:t>
      </w:r>
    </w:p>
    <w:p>
      <w:pPr>
        <w:spacing w:after="0" w:line="38" w:lineRule="exact"/>
        <w:rPr>
          <w:sz w:val="20"/>
          <w:szCs w:val="20"/>
          <w:color w:val="auto"/>
        </w:rPr>
      </w:pPr>
    </w:p>
    <w:p>
      <w:pPr>
        <w:jc w:val="both"/>
        <w:ind w:left="1000" w:right="31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Russell Francis was formerly employed as one of our UI/UX developers. Mr. R. Francis, who is a brother of Mr. Francis, earned $198,606 and $15,300 in compensation in 2019 and 2020, respectively, and no compensation in the year ended December 31, 2021.</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Troy Francis formerly provided services to us as an independent contractor. Mr. T. Francis, who is a brother of Mr. Francis, earned $151,320 and $4,602 in compensation in 2019 and 2020, respectively, and no compensation in the year ended December 31, 2021.</w:t>
      </w:r>
    </w:p>
    <w:p>
      <w:pPr>
        <w:spacing w:after="0" w:line="7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Kathleen Joosten was formerly employed as a corporate attorney in our legal department. Ms. Joosten, who is the sister-in-law of Mr. Francis, earned $163,462 and $167,427 in compensation in 2019 and 2020, respectively, and $151,889 in compensation in the year ended December 31, 2021.</w:t>
      </w:r>
    </w:p>
    <w:p>
      <w:pPr>
        <w:spacing w:after="0" w:line="57"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Len Townsend, who is Justin Hartfield’s father-in-law, formerly provided services to us as an independent contractor. Mr. Townsend earned $240,000 in 2019 and no compensation in 2020 and 2021, respectively, and no compensation in the year ended December 31,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Other Enterprises</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WCC MGMT, LLC is a business of which each of Messrs. Francis and Hartfield indirectly own a minority interest. WCC MGMT, LLC uses our listing products and has participated in other brand promotion opportunities. WCC MGMT, LLC paid us a total of $98,495, $536,750 and $507,935 in 2019, 2020 and 2021 respectively, for such products and services. Mr. Beals indirectly owned a minority interest in WCC MGMT, LLC, but relinquished his indirect interest in April 2019.</w:t>
      </w:r>
    </w:p>
    <w:p>
      <w:pPr>
        <w:spacing w:after="0" w:line="80"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DICA Distribution, LLC is a company of which Mr. Francis indirectly owned 47.5%, Mr. Hartfield indirectly owned 47.5% and Mr. Beals indirectly owned 5% of the equity interests. DICA Distribution, LLC leased premises pursuant to a lease, in connection with which we issued a guaranty in favor of the landlord. The value of the underlying lease was $502,272 and $171,505 in 2018 and 2019, respectively. In April 2019, Mr. Beals relinquished his indirect interest in DICA Distribution, LLC. In May 2019, DICA Distribution, LLC merged with and into WCC MGMT, LLC and our guaranty was released by the landlord.</w:t>
      </w:r>
    </w:p>
    <w:p>
      <w:pPr>
        <w:spacing w:after="0" w:line="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Glasir Group, LLC is a business owned by Messr. Francis and his spouse. We are contemplating a sublease of our offices located at 43 Discovery, Irvine, California 92618 to Glasir Group, LLC.</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Searchcore Payments</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August 2012, Searchcore, Inc., or Searchcore, purchased all of the equity ownership that Messrs. Francis and Hartfield held in Searchcore for an installment note in the amount of $1.6 million payable to each of Messrs. Francis and Hartfield. Pursuant to certain reorganization transactions, the notes were ultimately assigned to Weedmaps Media, LLC, one of our wholly owned subsidiaries.</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Pursuant to a note payable to Mr. Hartfield and that certain Global Securities Purchase, Consulting, and Resignation Agreement dated as of July 31, 2012, by and among Searchcore, Weedmaps Media, Inc. and Justin Hartfield, there were $205,324 of the remaining obligations to Mr. Hartfield, which were paid off in 2021. All obligations to Mr. Francis and Mr. Hartfield under these arrangements have been paid in full.</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We have entered into employment and other agreements with certain of our executive officers. For a description of agreements with our Named Executive Officers, see the sections entitled “Executive Compensation—Executive Employment Arrangements” and “—Outstanding Equity Awards at December 31, 2020.”</w:t>
      </w:r>
    </w:p>
    <w:p>
      <w:pPr>
        <w:spacing w:after="0" w:line="5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We have granted equity awards to certain of our executive officers. For a description of equity awards granted to our Named Executive Officers, see the section entitled “Executive Compensation.”</w:t>
      </w:r>
    </w:p>
    <w:p>
      <w:pPr>
        <w:spacing w:after="0" w:line="62"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entered into indemnification agreements with substantially all of our directors and executive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In considering related-person transactions, our audit committee takes into account the relevant available facts and circumstances, which may include, but are not limited to:</w:t>
      </w:r>
    </w:p>
    <w:p>
      <w:pPr>
        <w:spacing w:after="0" w:line="62" w:lineRule="exact"/>
        <w:rPr>
          <w:sz w:val="20"/>
          <w:szCs w:val="20"/>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risk, cost and benefits to us;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53"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A number of brokers with account holders who are our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WM Technology, Inc. Direct your written request to Investor Relations at investors@weedmaps.com. Stockholders who currently receive multiple copies of the Notices of Internet Availability of Proxy Materials at their addresses and would like to request “householding” of their communications should contact their brokers. In addition, we will promptly deliver, upon written or oral request to the address or telephone number above, a separate copy of the Notice of Internet Availability of Proxy Materials or the full set of proxy materials, as applicable, to a stockholder at a shared address to which a single copy of the documents was delivered.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Brian Camire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57785</wp:posOffset>
            </wp:positionV>
            <wp:extent cx="27603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Brian Camire</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General Counsel and Secretary</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29, 2022</w:t>
      </w:r>
    </w:p>
    <w:p>
      <w:pPr>
        <w:spacing w:after="0" w:line="113" w:lineRule="exact"/>
        <w:rPr>
          <w:sz w:val="20"/>
          <w:szCs w:val="20"/>
          <w:color w:val="auto"/>
        </w:rPr>
      </w:pPr>
    </w:p>
    <w:p>
      <w:pPr>
        <w:jc w:val="both"/>
        <w:ind w:left="300" w:right="299"/>
        <w:spacing w:after="0" w:line="266" w:lineRule="auto"/>
        <w:rPr>
          <w:sz w:val="20"/>
          <w:szCs w:val="20"/>
          <w:color w:val="auto"/>
        </w:rPr>
      </w:pPr>
      <w:r>
        <w:rPr>
          <w:rFonts w:ascii="Arial" w:cs="Arial" w:eastAsia="Arial" w:hAnsi="Arial"/>
          <w:sz w:val="18"/>
          <w:szCs w:val="18"/>
          <w:b w:val="1"/>
          <w:bCs w:val="1"/>
          <w:color w:val="auto"/>
        </w:rPr>
        <w:t>A copy of our Annual Report to the Securities and Exchange Commission on Form 10-K for the year ended December 31, 2021 is available without charge upon written request to: Brian Camire, 41 Discovery, Irvine, California 92618.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A—Supplemental Information About Financial Measures</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53"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80"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38" w:lineRule="exact"/>
        <w:rPr>
          <w:sz w:val="20"/>
          <w:szCs w:val="20"/>
          <w:color w:val="auto"/>
        </w:rPr>
      </w:pPr>
    </w:p>
    <w:p>
      <w:pPr>
        <w:jc w:val="both"/>
        <w:ind w:left="1000" w:right="319" w:hanging="348"/>
        <w:spacing w:after="0" w:line="311"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62"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Non-GAAP Reconciliations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EBITDA AND ADJUSTED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Years Ended</w:t>
            </w:r>
          </w:p>
        </w:tc>
      </w:tr>
      <w:tr>
        <w:trPr>
          <w:trHeight w:val="186"/>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53"/>
        </w:trPr>
        <w:tc>
          <w:tcPr>
            <w:tcW w:w="67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6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r>
      <w:tr>
        <w:trPr>
          <w:trHeight w:val="53"/>
        </w:trPr>
        <w:tc>
          <w:tcPr>
            <w:tcW w:w="67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152,218</w:t>
            </w: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$38,830</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30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6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6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156,042</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42,808</w:t>
            </w:r>
          </w:p>
        </w:tc>
        <w:tc>
          <w:tcPr>
            <w:tcW w:w="20" w:type="dxa"/>
            <w:vAlign w:val="bottom"/>
          </w:tcPr>
          <w:p>
            <w:pPr>
              <w:spacing w:after="0"/>
              <w:rPr>
                <w:sz w:val="24"/>
                <w:szCs w:val="24"/>
                <w:color w:val="auto"/>
              </w:rPr>
            </w:pPr>
          </w:p>
        </w:tc>
      </w:tr>
      <w:tr>
        <w:trPr>
          <w:trHeight w:val="54"/>
        </w:trPr>
        <w:tc>
          <w:tcPr>
            <w:tcW w:w="6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29,324</w:t>
            </w: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(166,518)</w:t>
            </w:r>
          </w:p>
        </w:tc>
        <w:tc>
          <w:tcPr>
            <w:tcW w:w="30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6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transaction costs</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Impairment of right-of-use asset</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6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related bonus expense</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2,583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6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settlement</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61"/>
        </w:trPr>
        <w:tc>
          <w:tcPr>
            <w:tcW w:w="67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31,698</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42,808</w:t>
            </w:r>
          </w:p>
        </w:tc>
      </w:tr>
      <w:tr>
        <w:trPr>
          <w:trHeight w:val="20"/>
        </w:trPr>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-2510790</wp:posOffset>
            </wp:positionV>
            <wp:extent cx="1885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-2510790</wp:posOffset>
            </wp:positionV>
            <wp:extent cx="946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Definition of Key Operating and Financial Metrics</w:t>
      </w:r>
    </w:p>
    <w:p>
      <w:pPr>
        <w:spacing w:after="0" w:line="117" w:lineRule="exact"/>
        <w:rPr>
          <w:sz w:val="20"/>
          <w:szCs w:val="20"/>
          <w:color w:val="auto"/>
        </w:rPr>
      </w:pPr>
    </w:p>
    <w:p>
      <w:pPr>
        <w:jc w:val="both"/>
        <w:ind w:left="1000" w:right="319" w:hanging="348"/>
        <w:spacing w:after="0" w:line="294"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Average Monthly Revenue Per Paying Client</w:t>
      </w:r>
      <w:r>
        <w:rPr>
          <w:rFonts w:ascii="Arial" w:cs="Arial" w:eastAsia="Arial" w:hAnsi="Arial"/>
          <w:sz w:val="16"/>
          <w:szCs w:val="16"/>
          <w:color w:val="auto"/>
        </w:rPr>
        <w:t>: Average monthly revenue per paying client measures</w:t>
      </w:r>
      <w:r>
        <w:rPr>
          <w:rFonts w:ascii="Arial" w:cs="Arial" w:eastAsia="Arial" w:hAnsi="Arial"/>
          <w:sz w:val="16"/>
          <w:szCs w:val="16"/>
          <w:b w:val="1"/>
          <w:bCs w:val="1"/>
          <w:color w:val="auto"/>
        </w:rPr>
        <w:t xml:space="preserve"> </w:t>
      </w:r>
      <w:r>
        <w:rPr>
          <w:rFonts w:ascii="Arial" w:cs="Arial" w:eastAsia="Arial" w:hAnsi="Arial"/>
          <w:sz w:val="16"/>
          <w:szCs w:val="16"/>
          <w:color w:val="auto"/>
        </w:rPr>
        <w:t>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calculation of monthly revenue includes revenue from any clients that cease to be paying clients during the applicable month.</w:t>
      </w:r>
    </w:p>
    <w:p>
      <w:pPr>
        <w:spacing w:after="0" w:line="51" w:lineRule="exact"/>
        <w:rPr>
          <w:rFonts w:ascii="Arial" w:cs="Arial" w:eastAsia="Arial" w:hAnsi="Arial"/>
          <w:sz w:val="16"/>
          <w:szCs w:val="16"/>
          <w:color w:val="auto"/>
        </w:rPr>
      </w:pPr>
    </w:p>
    <w:p>
      <w:pPr>
        <w:ind w:left="1000" w:right="319" w:hanging="348"/>
        <w:spacing w:after="0" w:line="312"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Average Monthly Paying Clients</w:t>
      </w:r>
      <w:r>
        <w:rPr>
          <w:rFonts w:ascii="Arial" w:cs="Arial" w:eastAsia="Arial" w:hAnsi="Arial"/>
          <w:sz w:val="17"/>
          <w:szCs w:val="17"/>
          <w:color w:val="auto"/>
        </w:rPr>
        <w:t>: We define average monthly paying clients as the monthly average of</w:t>
      </w:r>
      <w:r>
        <w:rPr>
          <w:rFonts w:ascii="Arial" w:cs="Arial" w:eastAsia="Arial" w:hAnsi="Arial"/>
          <w:sz w:val="17"/>
          <w:szCs w:val="17"/>
          <w:b w:val="1"/>
          <w:bCs w:val="1"/>
          <w:color w:val="auto"/>
        </w:rPr>
        <w:t xml:space="preserve"> </w:t>
      </w:r>
      <w:r>
        <w:rPr>
          <w:rFonts w:ascii="Arial" w:cs="Arial" w:eastAsia="Arial" w:hAnsi="Arial"/>
          <w:sz w:val="17"/>
          <w:szCs w:val="17"/>
          <w:color w:val="auto"/>
        </w:rPr>
        <w:t>clients billed each month over a particular period (and for which services were provided).</w:t>
      </w:r>
    </w:p>
    <w:p>
      <w:pPr>
        <w:spacing w:after="0" w:line="31" w:lineRule="exact"/>
        <w:rPr>
          <w:rFonts w:ascii="Arial" w:cs="Arial" w:eastAsia="Arial" w:hAnsi="Arial"/>
          <w:sz w:val="17"/>
          <w:szCs w:val="17"/>
          <w:color w:val="auto"/>
        </w:rPr>
      </w:pPr>
    </w:p>
    <w:p>
      <w:pPr>
        <w:jc w:val="both"/>
        <w:ind w:left="1000" w:right="319" w:hanging="348"/>
        <w:spacing w:after="0" w:line="261"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MAUs</w:t>
      </w:r>
      <w:r>
        <w:rPr>
          <w:rFonts w:ascii="Arial" w:cs="Arial" w:eastAsia="Arial" w:hAnsi="Arial"/>
          <w:sz w:val="18"/>
          <w:szCs w:val="18"/>
          <w:color w:val="auto"/>
        </w:rPr>
        <w:t>: We define MAUs as the number of unique users opening our Weedmaps mobile app or accessing</w:t>
      </w:r>
      <w:r>
        <w:rPr>
          <w:rFonts w:ascii="Arial" w:cs="Arial" w:eastAsia="Arial" w:hAnsi="Arial"/>
          <w:sz w:val="18"/>
          <w:szCs w:val="18"/>
          <w:b w:val="1"/>
          <w:bCs w:val="1"/>
          <w:color w:val="auto"/>
        </w:rPr>
        <w:t xml:space="preserve"> </w:t>
      </w:r>
      <w:r>
        <w:rPr>
          <w:rFonts w:ascii="Arial" w:cs="Arial" w:eastAsia="Arial" w:hAnsi="Arial"/>
          <w:sz w:val="18"/>
          <w:szCs w:val="18"/>
          <w:color w:val="auto"/>
        </w:rPr>
        <w:t>our Weedmaps.com website over the course of a calendar month. In any particular period, we determine our number of MAUs by counting the total number of users who have engaged with the weedmaps.com site during the final calendar month of the given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4270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42708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92075</wp:posOffset>
            </wp:positionV>
            <wp:extent cx="6300470" cy="81521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00470" cy="815213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lvl w:ilvl="1">
      <w:lvlJc w:val="left"/>
      <w:lvlText w:val="☐"/>
      <w:numFmt w:val="bullet"/>
      <w:start w:val="1"/>
    </w:lvl>
  </w:abstractNum>
  <w:abstractNum w:abstractNumId="1">
    <w:nsid w:val="54E49EB4"/>
    <w:multiLevelType w:val="hybridMultilevel"/>
    <w:lvl w:ilvl="0">
      <w:lvlJc w:val="left"/>
      <w:lvlText w:val="☒"/>
      <w:numFmt w:val="bullet"/>
      <w:start w:val="1"/>
    </w:lvl>
    <w:lvl w:ilvl="1">
      <w:lvlJc w:val="left"/>
      <w:lvlText w:val="☐"/>
      <w:numFmt w:val="bullet"/>
      <w:start w:val="1"/>
    </w:lvl>
  </w:abstractNum>
  <w:abstractNum w:abstractNumId="2">
    <w:nsid w:val="71F32454"/>
    <w:multiLevelType w:val="hybridMultilevel"/>
    <w:lvl w:ilvl="0">
      <w:lvlJc w:val="left"/>
      <w:lvlText w:val="%1"/>
      <w:numFmt w:val="decimal"/>
      <w:start w:val="4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lvl w:ilvl="1">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lowerRoman"/>
      <w:start w:val="2"/>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3"/>
    </w:lvl>
  </w:abstractNum>
  <w:abstractNum w:abstractNumId="21">
    <w:nsid w:val="77465F01"/>
    <w:multiLevelType w:val="hybridMultilevel"/>
    <w:lvl w:ilvl="0">
      <w:lvlJc w:val="left"/>
      <w:lvlText w:val="*"/>
      <w:numFmt w:val="bullet"/>
      <w:start w:val="1"/>
    </w:lvl>
    <w:lvl w:ilvl="1">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lvl>
    <w:lvl w:ilvl="1">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lowerRoman"/>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2"/>
    </w:lvl>
  </w:abstractNum>
  <w:abstractNum w:abstractNumId="46">
    <w:nsid w:val="579478FE"/>
    <w:multiLevelType w:val="hybridMultilevel"/>
    <w:lvl w:ilvl="0">
      <w:lvlJc w:val="left"/>
      <w:lvlText w:val="(%1)"/>
      <w:numFmt w:val="lowerRoman"/>
      <w:start w:val="3"/>
    </w:lvl>
  </w:abstractNum>
  <w:abstractNum w:abstractNumId="47">
    <w:nsid w:val="749ABB43"/>
    <w:multiLevelType w:val="hybridMultilevel"/>
    <w:lvl w:ilvl="0">
      <w:lvlJc w:val="left"/>
      <w:lvlText w:val="(%1)"/>
      <w:numFmt w:val="lowerRoman"/>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2022-04-29T19:56:23Z</dcterms:created>
  <dcterms:modified xsi:type="dcterms:W3CDTF">2022-04-29T19:56:23Z</dcterms:modified>
</cp:coreProperties>
</file>