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28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28180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Jung Steven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WM TECHNOLOGY,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Silver Spike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MAPS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06/16/2021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51"/>
        <w:spacing w:after="0"/>
        <w:rPr>
          <w:sz w:val="20"/>
          <w:szCs w:val="20"/>
          <w:color w:val="auto"/>
        </w:rPr>
      </w:pPr>
      <w:r>
        <w:rPr>
          <w:rFonts w:ascii="Arial" w:cs="Arial" w:eastAsia="Arial" w:hAnsi="Arial"/>
          <w:sz w:val="16"/>
          <w:szCs w:val="16"/>
          <w:color w:val="0000FF"/>
        </w:rPr>
        <w:t>President and COO</w:t>
      </w:r>
    </w:p>
    <w:p>
      <w:pPr>
        <w:spacing w:after="0" w:line="504" w:lineRule="exact"/>
        <w:rPr>
          <w:sz w:val="24"/>
          <w:szCs w:val="24"/>
          <w:color w:val="auto"/>
        </w:rPr>
      </w:pPr>
    </w:p>
    <w:p>
      <w:pPr>
        <w:sectPr>
          <w:pgSz w:w="11900" w:h="16838" w:orient="portrait"/>
          <w:cols w:equalWidth="0" w:num="3">
            <w:col w:w="3180" w:space="720"/>
            <w:col w:w="3200" w:space="629"/>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9A9A9A"/>
            </w:tcBorders>
          </w:tcPr>
          <w:p>
            <w:pPr>
              <w:spacing w:after="0"/>
              <w:rPr>
                <w:sz w:val="11"/>
                <w:szCs w:val="11"/>
                <w:color w:val="auto"/>
              </w:rPr>
            </w:pPr>
          </w:p>
        </w:tc>
        <w:tc>
          <w:tcPr>
            <w:tcW w:w="740" w:type="dxa"/>
            <w:vAlign w:val="bottom"/>
            <w:tcBorders>
              <w:top w:val="single" w:sz="8" w:color="9A9A9A"/>
            </w:tcBorders>
          </w:tcPr>
          <w:p>
            <w:pPr>
              <w:spacing w:after="0"/>
              <w:rPr>
                <w:sz w:val="11"/>
                <w:szCs w:val="11"/>
                <w:color w:val="auto"/>
              </w:rPr>
            </w:pPr>
          </w:p>
        </w:tc>
        <w:tc>
          <w:tcPr>
            <w:tcW w:w="1040" w:type="dxa"/>
            <w:vAlign w:val="bottom"/>
            <w:tcBorders>
              <w:top w:val="single" w:sz="8" w:color="9A9A9A"/>
            </w:tcBorders>
          </w:tcPr>
          <w:p>
            <w:pPr>
              <w:spacing w:after="0"/>
              <w:rPr>
                <w:sz w:val="11"/>
                <w:szCs w:val="11"/>
                <w:color w:val="auto"/>
              </w:rPr>
            </w:pPr>
          </w:p>
        </w:tc>
        <w:tc>
          <w:tcPr>
            <w:tcW w:w="1060" w:type="dxa"/>
            <w:vAlign w:val="bottom"/>
            <w:tcBorders>
              <w:top w:val="single" w:sz="8" w:color="9A9A9A"/>
            </w:tcBorders>
          </w:tcPr>
          <w:p>
            <w:pPr>
              <w:spacing w:after="0"/>
              <w:rPr>
                <w:sz w:val="11"/>
                <w:szCs w:val="11"/>
                <w:color w:val="auto"/>
              </w:rPr>
            </w:pPr>
          </w:p>
        </w:tc>
        <w:tc>
          <w:tcPr>
            <w:tcW w:w="220" w:type="dxa"/>
            <w:vAlign w:val="bottom"/>
            <w:tcBorders>
              <w:top w:val="single" w:sz="8" w:color="9A9A9A"/>
            </w:tcBorders>
          </w:tcPr>
          <w:p>
            <w:pPr>
              <w:spacing w:after="0"/>
              <w:rPr>
                <w:sz w:val="11"/>
                <w:szCs w:val="11"/>
                <w:color w:val="auto"/>
              </w:rPr>
            </w:pPr>
          </w:p>
        </w:tc>
        <w:tc>
          <w:tcPr>
            <w:tcW w:w="3600" w:type="dxa"/>
            <w:vAlign w:val="bottom"/>
            <w:gridSpan w:val="7"/>
          </w:tcPr>
          <w:p>
            <w:pPr>
              <w:jc w:val="center"/>
              <w:ind w:right="82"/>
              <w:spacing w:after="0" w:line="138" w:lineRule="exact"/>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tcPr>
          <w:p>
            <w:pPr>
              <w:ind w:left="36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0000FF"/>
              </w:rPr>
              <w:t>IRVINE</w:t>
            </w:r>
          </w:p>
        </w:tc>
        <w:tc>
          <w:tcPr>
            <w:tcW w:w="1780" w:type="dxa"/>
            <w:vAlign w:val="bottom"/>
            <w:gridSpan w:val="2"/>
          </w:tcPr>
          <w:p>
            <w:pPr>
              <w:ind w:left="640"/>
              <w:spacing w:after="0"/>
              <w:rPr>
                <w:sz w:val="20"/>
                <w:szCs w:val="20"/>
                <w:color w:val="auto"/>
              </w:rPr>
            </w:pPr>
            <w:r>
              <w:rPr>
                <w:rFonts w:ascii="Arial" w:cs="Arial" w:eastAsia="Arial" w:hAnsi="Arial"/>
                <w:sz w:val="16"/>
                <w:szCs w:val="16"/>
                <w:color w:val="0000FF"/>
              </w:rPr>
              <w:t>CA</w:t>
            </w:r>
          </w:p>
        </w:tc>
        <w:tc>
          <w:tcPr>
            <w:tcW w:w="1060" w:type="dxa"/>
            <w:vAlign w:val="bottom"/>
          </w:tcPr>
          <w:p>
            <w:pPr>
              <w:ind w:left="80"/>
              <w:spacing w:after="0"/>
              <w:rPr>
                <w:sz w:val="20"/>
                <w:szCs w:val="20"/>
                <w:color w:val="auto"/>
              </w:rPr>
            </w:pPr>
            <w:r>
              <w:rPr>
                <w:rFonts w:ascii="Arial" w:cs="Arial" w:eastAsia="Arial" w:hAnsi="Arial"/>
                <w:sz w:val="16"/>
                <w:szCs w:val="16"/>
                <w:color w:val="0000FF"/>
              </w:rPr>
              <w:t>92618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ind w:left="580"/>
              <w:spacing w:after="0"/>
              <w:rPr>
                <w:sz w:val="20"/>
                <w:szCs w:val="20"/>
                <w:color w:val="auto"/>
              </w:rPr>
            </w:pPr>
            <w:r>
              <w:rPr>
                <w:rFonts w:ascii="Arial" w:cs="Arial" w:eastAsia="Arial" w:hAnsi="Arial"/>
                <w:sz w:val="16"/>
                <w:szCs w:val="16"/>
                <w:color w:val="0000FF"/>
              </w:rPr>
              <w:t>X</w:t>
            </w: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Post-</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3"/>
                <w:szCs w:val="13"/>
                <w:color w:val="0000FF"/>
                <w:w w:val="84"/>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Merger</w:t>
            </w:r>
          </w:p>
        </w:tc>
        <w:tc>
          <w:tcPr>
            <w:tcW w:w="740" w:type="dxa"/>
            <w:vAlign w:val="bottom"/>
            <w:vMerge w:val="restart"/>
          </w:tcPr>
          <w:p>
            <w:pPr>
              <w:ind w:left="240"/>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245"/>
              <w:spacing w:after="0"/>
              <w:rPr>
                <w:sz w:val="20"/>
                <w:szCs w:val="20"/>
                <w:color w:val="auto"/>
              </w:rPr>
            </w:pPr>
            <w:r>
              <w:rPr>
                <w:rFonts w:ascii="Arial" w:cs="Arial" w:eastAsia="Arial" w:hAnsi="Arial"/>
                <w:sz w:val="10"/>
                <w:szCs w:val="10"/>
                <w:color w:val="008000"/>
              </w:rPr>
              <w:t>(1)</w:t>
            </w:r>
          </w:p>
        </w:tc>
        <w:tc>
          <w:tcPr>
            <w:tcW w:w="66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1,531,332</w:t>
            </w:r>
          </w:p>
        </w:tc>
        <w:tc>
          <w:tcPr>
            <w:tcW w:w="40" w:type="dxa"/>
            <w:vAlign w:val="bottom"/>
          </w:tcPr>
          <w:p>
            <w:pPr>
              <w:spacing w:after="0"/>
              <w:rPr>
                <w:sz w:val="5"/>
                <w:szCs w:val="5"/>
                <w:color w:val="auto"/>
              </w:rPr>
            </w:pPr>
          </w:p>
        </w:tc>
        <w:tc>
          <w:tcPr>
            <w:tcW w:w="700" w:type="dxa"/>
            <w:vAlign w:val="bottom"/>
            <w:vMerge w:val="restart"/>
          </w:tcPr>
          <w:p>
            <w:pPr>
              <w:ind w:left="100"/>
              <w:spacing w:after="0" w:line="20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(2)</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restart"/>
          </w:tcPr>
          <w:p>
            <w:pPr>
              <w:jc w:val="right"/>
              <w:ind w:right="177"/>
              <w:spacing w:after="0" w:line="138" w:lineRule="exact"/>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6"/>
                <w:szCs w:val="6"/>
                <w:color w:val="auto"/>
              </w:rPr>
            </w:pPr>
          </w:p>
        </w:tc>
        <w:tc>
          <w:tcPr>
            <w:tcW w:w="80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rPr>
              <w:t>1,531,332</w:t>
            </w: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restart"/>
          </w:tcPr>
          <w:p>
            <w:pPr>
              <w:ind w:left="140"/>
              <w:spacing w:after="0" w:line="138" w:lineRule="exact"/>
              <w:rPr>
                <w:sz w:val="20"/>
                <w:szCs w:val="20"/>
                <w:color w:val="auto"/>
              </w:rPr>
            </w:pPr>
            <w:r>
              <w:rPr>
                <w:rFonts w:ascii="Arial" w:cs="Arial" w:eastAsia="Arial" w:hAnsi="Arial"/>
                <w:sz w:val="13"/>
                <w:szCs w:val="13"/>
                <w:color w:val="0000FF"/>
              </w:rPr>
              <w:t>1,531,332</w:t>
            </w:r>
          </w:p>
        </w:tc>
        <w:tc>
          <w:tcPr>
            <w:tcW w:w="620" w:type="dxa"/>
            <w:vAlign w:val="bottom"/>
            <w:vMerge w:val="restart"/>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Class P</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-1719580</wp:posOffset>
            </wp:positionV>
            <wp:extent cx="28575" cy="172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246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0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Post-Merger WMH Class P Units represent non-voting limited liability company interests of WMH. Pursuant to the terms of an exchange agreement, each of these Class P units, upon vesting, is exchangeable into up to one share of Class A Common Stock at a variable exchange ratio that accounts for the participation threshold of the exchanged post-merger Class P Units. These exchange rights do not expire.</w:t>
      </w:r>
    </w:p>
    <w:p>
      <w:pPr>
        <w:ind w:left="40" w:right="140" w:hanging="2"/>
        <w:spacing w:after="0" w:line="228"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3"/>
          </w:tcPr>
          <w:p>
            <w:pPr>
              <w:spacing w:after="0"/>
              <w:rPr>
                <w:sz w:val="20"/>
                <w:szCs w:val="20"/>
                <w:color w:val="auto"/>
              </w:rPr>
            </w:pPr>
            <w:r>
              <w:rPr>
                <w:rFonts w:ascii="Arial" w:cs="Arial" w:eastAsia="Arial" w:hAnsi="Arial"/>
                <w:sz w:val="16"/>
                <w:szCs w:val="16"/>
                <w:color w:val="0000FF"/>
              </w:rPr>
              <w:t>Steven Jung, by /s/ Ron A&gt;</w:t>
            </w:r>
          </w:p>
        </w:tc>
        <w:tc>
          <w:tcPr>
            <w:tcW w:w="940" w:type="dxa"/>
            <w:vAlign w:val="bottom"/>
            <w:gridSpan w:val="2"/>
            <w:vMerge w:val="restart"/>
          </w:tcPr>
          <w:p>
            <w:pPr>
              <w:ind w:left="200"/>
              <w:spacing w:after="0"/>
              <w:rPr>
                <w:sz w:val="20"/>
                <w:szCs w:val="20"/>
                <w:color w:val="auto"/>
              </w:rPr>
            </w:pPr>
            <w:r>
              <w:rPr>
                <w:rFonts w:ascii="Arial" w:cs="Arial" w:eastAsia="Arial" w:hAnsi="Arial"/>
                <w:sz w:val="16"/>
                <w:szCs w:val="16"/>
                <w:color w:val="0000FF"/>
                <w:w w:val="89"/>
              </w:rPr>
              <w:t>06/21/2021</w:t>
            </w:r>
          </w:p>
        </w:tc>
        <w:tc>
          <w:tcPr>
            <w:tcW w:w="0" w:type="dxa"/>
            <w:vAlign w:val="bottom"/>
          </w:tcPr>
          <w:p>
            <w:pPr>
              <w:spacing w:after="0"/>
              <w:rPr>
                <w:sz w:val="1"/>
                <w:szCs w:val="1"/>
                <w:color w:val="auto"/>
              </w:rPr>
            </w:pPr>
          </w:p>
        </w:tc>
      </w:tr>
      <w:tr>
        <w:trPr>
          <w:trHeight w:val="80"/>
        </w:trPr>
        <w:tc>
          <w:tcPr>
            <w:tcW w:w="170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3"/>
              </w:rPr>
              <w:t>Metzger, Attorney-in-Fact</w:t>
            </w:r>
          </w:p>
        </w:tc>
        <w:tc>
          <w:tcPr>
            <w:tcW w:w="80" w:type="dxa"/>
            <w:vAlign w:val="bottom"/>
            <w:tcBorders>
              <w:top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00" w:type="dxa"/>
            <w:vAlign w:val="bottom"/>
            <w:tcBorders>
              <w:top w:val="single" w:sz="8" w:color="auto"/>
              <w:bottom w:val="single" w:sz="8" w:color="auto"/>
            </w:tcBorders>
            <w:vMerge w:val="continue"/>
          </w:tcPr>
          <w:p>
            <w:pPr>
              <w:spacing w:after="0"/>
              <w:rPr>
                <w:sz w:val="6"/>
                <w:szCs w:val="6"/>
                <w:color w:val="auto"/>
              </w:rPr>
            </w:pPr>
          </w:p>
        </w:tc>
        <w:tc>
          <w:tcPr>
            <w:tcW w:w="80" w:type="dxa"/>
            <w:vAlign w:val="bottom"/>
            <w:tcBorders>
              <w:top w:val="single" w:sz="8" w:color="auto"/>
            </w:tcBorders>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27"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2021-06-21T15:28:52Z</dcterms:created>
  <dcterms:modified xsi:type="dcterms:W3CDTF">2021-06-21T15:28:52Z</dcterms:modified>
</cp:coreProperties>
</file>