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0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50"/>
        </w:trPr>
        <w:tc>
          <w:tcPr>
            <w:tcW w:w="900" w:type="dxa"/>
            <w:vAlign w:val="bottom"/>
          </w:tcPr>
          <w:p>
            <w:pPr>
              <w:spacing w:after="0"/>
              <w:rPr>
                <w:sz w:val="21"/>
                <w:szCs w:val="21"/>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402"/>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19"/>
        </w:trPr>
        <w:tc>
          <w:tcPr>
            <w:tcW w:w="900" w:type="dxa"/>
            <w:vAlign w:val="bottom"/>
          </w:tcPr>
          <w:p>
            <w:pPr>
              <w:spacing w:after="0"/>
              <w:rPr>
                <w:sz w:val="19"/>
                <w:szCs w:val="19"/>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29" w:right="339" w:bottom="1440" w:gutter="0" w:footer="0" w:header="0"/>
          <w:type w:val="continuous"/>
        </w:sect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7"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13, 2024, there were 95,051,735 shares of the registrant’s Class A common stock outstanding and 55,486,361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0"/>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0"/>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9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2024 and 2023</w:t>
            </w:r>
          </w:p>
        </w:tc>
        <w:tc>
          <w:tcPr>
            <w:tcW w:w="1600" w:type="dxa"/>
            <w:vAlign w:val="bottom"/>
          </w:tcPr>
          <w:p>
            <w:pPr>
              <w:spacing w:after="0"/>
              <w:rPr>
                <w:sz w:val="17"/>
                <w:szCs w:val="17"/>
                <w:color w:val="auto"/>
              </w:rPr>
            </w:pPr>
          </w:p>
        </w:tc>
        <w:tc>
          <w:tcPr>
            <w:tcW w:w="48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Months Ended March 31, 2024 and 2023</w:t>
            </w:r>
          </w:p>
        </w:tc>
        <w:tc>
          <w:tcPr>
            <w:tcW w:w="1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Cash Flows for the Three Months Ended March 31, 2024 and 2023</w:t>
            </w:r>
          </w:p>
        </w:tc>
        <w:tc>
          <w:tcPr>
            <w:tcW w:w="1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640" w:type="dxa"/>
            <w:vAlign w:val="bottom"/>
            <w:gridSpan w:val="7"/>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27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gridSpan w:val="2"/>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18"/>
                <w:szCs w:val="18"/>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8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40" w:lineRule="exact"/>
        <w:rPr>
          <w:rFonts w:ascii="Times New Roman" w:cs="Times New Roman" w:eastAsia="Times New Roman" w:hAnsi="Times New Roman"/>
          <w:sz w:val="18"/>
          <w:szCs w:val="18"/>
          <w:color w:val="auto"/>
        </w:rPr>
      </w:pPr>
    </w:p>
    <w:p>
      <w:pPr>
        <w:ind w:left="660" w:hanging="328"/>
        <w:spacing w:after="0" w:line="227"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occurrence of a catastrophic event, including but not limited to severe weather, war, or terrorist attack;</w:t>
      </w:r>
    </w:p>
    <w:p>
      <w:pPr>
        <w:spacing w:after="0" w:line="3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2023, filed with the SEC on May 24, 2024. Moreover, we operate in a very competitive and rapidly changing environment. New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2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95,051,735</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March 31, 2024 and 94,383,053 shares issued and</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55,486,361 shares</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March 31, 2024 and December 31, 2023</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80,884</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(64,518)</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23"/>
        </w:trPr>
        <w:tc>
          <w:tcPr>
            <w:tcW w:w="7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103,151</w:t>
            </w:r>
          </w:p>
        </w:tc>
      </w:tr>
      <w:tr>
        <w:trPr>
          <w:trHeight w:val="248"/>
        </w:trPr>
        <w:tc>
          <w:tcPr>
            <w:tcW w:w="7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50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98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92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92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spacing w:after="0"/>
              <w:rPr>
                <w:sz w:val="21"/>
                <w:szCs w:val="21"/>
                <w:color w:val="auto"/>
              </w:rPr>
            </w:pPr>
          </w:p>
        </w:tc>
        <w:tc>
          <w:tcPr>
            <w:tcW w:w="59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1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57"/>
        </w:trPr>
        <w:tc>
          <w:tcPr>
            <w:tcW w:w="7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0" w:type="dxa"/>
            <w:vAlign w:val="bottom"/>
          </w:tcPr>
          <w:p>
            <w:pPr>
              <w:spacing w:after="0"/>
              <w:rPr>
                <w:sz w:val="1"/>
                <w:szCs w:val="1"/>
                <w:color w:val="auto"/>
              </w:rPr>
            </w:pPr>
          </w:p>
        </w:tc>
      </w:tr>
      <w:tr>
        <w:trPr>
          <w:trHeight w:val="229"/>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0"/>
        </w:trPr>
        <w:tc>
          <w:tcPr>
            <w:tcW w:w="720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94,704,164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92,323,757</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96,023,352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92,323,757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-4053840</wp:posOffset>
            </wp:positionV>
            <wp:extent cx="60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7" w:lineRule="exact"/>
        <w:rPr>
          <w:sz w:val="20"/>
          <w:szCs w:val="20"/>
          <w:color w:val="auto"/>
        </w:rPr>
      </w:pPr>
    </w:p>
    <w:p>
      <w:pPr>
        <w:ind w:right="520" w:firstLine="8"/>
        <w:spacing w:after="0" w:line="242" w:lineRule="auto"/>
        <w:tabs>
          <w:tab w:leader="none" w:pos="132"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March 31,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8"/>
                <w:szCs w:val="18"/>
                <w:color w:val="auto"/>
              </w:rPr>
            </w:pPr>
          </w:p>
        </w:tc>
        <w:tc>
          <w:tcPr>
            <w:tcW w:w="16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20" w:type="dxa"/>
            <w:vAlign w:val="bottom"/>
          </w:tcPr>
          <w:p>
            <w:pPr>
              <w:spacing w:after="0"/>
              <w:rPr>
                <w:sz w:val="12"/>
                <w:szCs w:val="12"/>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8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94,383,053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80,884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103,151</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50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5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628,941</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withheld for taxes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50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Issuance of common stock - Class P Unit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39,741</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95,051,735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86,036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8"/>
                <w:szCs w:val="18"/>
                <w:color w:val="auto"/>
              </w:rPr>
            </w:pPr>
          </w:p>
        </w:tc>
        <w:tc>
          <w:tcPr>
            <w:tcW w:w="16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20" w:type="dxa"/>
            <w:vAlign w:val="bottom"/>
          </w:tcPr>
          <w:p>
            <w:pPr>
              <w:spacing w:after="0"/>
              <w:rPr>
                <w:sz w:val="12"/>
                <w:szCs w:val="12"/>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92,062,468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13,380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101,397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475,510</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withheld for taxes</w:t>
            </w: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 Class P Unit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35,488</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92,573,466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72,444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15,363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99,876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58"/>
        </w:trPr>
        <w:tc>
          <w:tcPr>
            <w:tcW w:w="79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539"/>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9"/>
              <w:spacing w:after="0" w:line="216" w:lineRule="exact"/>
              <w:rPr>
                <w:sz w:val="20"/>
                <w:szCs w:val="20"/>
                <w:color w:val="auto"/>
              </w:rPr>
            </w:pPr>
            <w:r>
              <w:rPr>
                <w:rFonts w:ascii="Times New Roman" w:cs="Times New Roman" w:eastAsia="Times New Roman" w:hAnsi="Times New Roman"/>
                <w:sz w:val="16"/>
                <w:szCs w:val="16"/>
                <w:b w:val="1"/>
                <w:bCs w:val="1"/>
                <w:color w:val="auto"/>
              </w:rPr>
              <w:t>As Restated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36"/>
        </w:trPr>
        <w:tc>
          <w:tcPr>
            <w:tcW w:w="7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tax receivable agreement liability</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lease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0" w:type="dxa"/>
            <w:vAlign w:val="bottom"/>
          </w:tcPr>
          <w:p>
            <w:pPr>
              <w:spacing w:after="0"/>
              <w:rPr>
                <w:sz w:val="1"/>
                <w:szCs w:val="1"/>
                <w:color w:val="auto"/>
              </w:rPr>
            </w:pPr>
          </w:p>
        </w:tc>
      </w:tr>
      <w:tr>
        <w:trPr>
          <w:trHeight w:val="253"/>
        </w:trPr>
        <w:tc>
          <w:tcPr>
            <w:tcW w:w="7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Capitalized software and expenditures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0" w:type="dxa"/>
            <w:vAlign w:val="bottom"/>
          </w:tcPr>
          <w:p>
            <w:pPr>
              <w:spacing w:after="0"/>
              <w:rPr>
                <w:sz w:val="1"/>
                <w:szCs w:val="1"/>
                <w:color w:val="auto"/>
              </w:rPr>
            </w:pPr>
          </w:p>
        </w:tc>
      </w:tr>
      <w:tr>
        <w:trPr>
          <w:trHeight w:val="199"/>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Repayments of insurance premium financing</w:t>
            </w:r>
          </w:p>
        </w:tc>
        <w:tc>
          <w:tcPr>
            <w:tcW w:w="10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repayment of related party note</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-4071620</wp:posOffset>
            </wp:positionV>
            <wp:extent cx="59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beginning of period</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(2,681)</w:t>
            </w:r>
          </w:p>
        </w:tc>
      </w:tr>
      <w:tr>
        <w:trPr>
          <w:trHeight w:val="219"/>
        </w:trPr>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28,583</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25,902</w:t>
            </w:r>
          </w:p>
        </w:tc>
      </w:tr>
      <w:tr>
        <w:trPr>
          <w:trHeight w:val="23"/>
        </w:trPr>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-316865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146050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229" w:right="339" w:bottom="1440" w:gutter="0" w:footer="0" w:header="0"/>
          <w:type w:val="continuous"/>
        </w:sect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capitalized for software development</w:t>
            </w: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7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firstLine="8"/>
        <w:spacing w:after="0" w:line="226" w:lineRule="auto"/>
        <w:tabs>
          <w:tab w:leader="none" w:pos="13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2023, provision (benefit)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WHM was reorganized into an Up-C structure, in which substantially all of the assets and business of Legacy WHM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an accumulated deficit of $63.3 million. The Company has funded its operations primarily with customer payments for its services and proceeds from the issuance of common stock in connection with its initial public offering and follow-on offering. As of March 31, 2024, the Company had cash of $35.7 million. The Company believes that its existing sources of liquidity will satisfy its working capital and capital requirements for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March 31, 2024, and results of its operations and its cash flows for the interim periods presented. Certain prior period amounts have been reclassified to conform to the current period presentation. The results of operations for the three months ended March 31,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until cash was collected for the services that were provided. The Company refers to the 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w:t>
      </w:r>
    </w:p>
    <w:p>
      <w:pPr>
        <w:spacing w:after="0" w:line="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effected by this restatement.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 March 31, 2023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r>
      <w:tr>
        <w:trPr>
          <w:trHeight w:val="223"/>
        </w:trPr>
        <w:tc>
          <w:tcPr>
            <w:tcW w:w="57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26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 March 31, 2023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7"/>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r>
      <w:tr>
        <w:trPr>
          <w:trHeight w:val="223"/>
        </w:trPr>
        <w:tc>
          <w:tcPr>
            <w:tcW w:w="57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26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156"/>
        </w:trPr>
        <w:tc>
          <w:tcPr>
            <w:tcW w:w="5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6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56"/>
        </w:trPr>
        <w:tc>
          <w:tcPr>
            <w:tcW w:w="57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2024 and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permits use of cannabis was to change their laws or the federal government was to actively enforce the CSA or other laws related to the federal prohibition on cannabis, the Company’s business could be adversely affected.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$6.6 million and $8.7 million as of March 31, 2024 and December 31,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no customer accounted for more than 10% of the total gross accounts receivable outstanding.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0" w:type="dxa"/>
            <w:vAlign w:val="bottom"/>
          </w:tcPr>
          <w:p>
            <w:pPr>
              <w:spacing w:after="0"/>
              <w:rPr>
                <w:sz w:val="24"/>
                <w:szCs w:val="24"/>
                <w:color w:val="auto"/>
              </w:rPr>
            </w:pPr>
          </w:p>
        </w:tc>
        <w:tc>
          <w:tcPr>
            <w:tcW w:w="404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69"/>
        </w:trPr>
        <w:tc>
          <w:tcPr>
            <w:tcW w:w="7200" w:type="dxa"/>
            <w:vAlign w:val="bottom"/>
          </w:tcPr>
          <w:p>
            <w:pPr>
              <w:spacing w:after="0"/>
              <w:rPr>
                <w:sz w:val="14"/>
                <w:szCs w:val="14"/>
                <w:color w:val="auto"/>
              </w:rPr>
            </w:pPr>
          </w:p>
        </w:tc>
        <w:tc>
          <w:tcPr>
            <w:tcW w:w="1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1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 w:lineRule="exact"/>
        <w:rPr>
          <w:sz w:val="20"/>
          <w:szCs w:val="20"/>
          <w:color w:val="auto"/>
        </w:rPr>
      </w:pPr>
    </w:p>
    <w:p>
      <w:pPr>
        <w:jc w:val="both"/>
        <w:ind w:firstLine="8"/>
        <w:spacing w:after="0" w:line="232"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Provision (benefit) for credit losses for the three months ended March 31, 2023 and related allowance at the end of the period March 31, 2023, has been retrospectively adjusted to reflect the restatement of previously reported credit losses. See Note 2, “Summary of Significant Accounting Policies,” for further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March 31, 2024 and December 31, 2023, the carrying value of the Company’s investments in equity securities without a readily determinable fair value was nil, which is recorded within other assets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asset impairment charges in the accompanying condensed consolidated statements of operations. No impairments to investments in equity securities were recorded during the three months ended March 31,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months ended March 31,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has $24.2 million and $23.1 million in capitalized software costs, net, respectively which are recorded within property and equipment, net on the Company’s condensed consolidated balance sheets. During the three months ended March 31, 2024 and 2023, the Company amortized $2.5 million and $1.5 million, respectively, of internal-use software development costs included in depreciation and amortization expense in the accompanying condensed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6, “Intangible Assets,” to these condensed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Net rent expense for the three months ended March 31, 2024 and 2023 was $2.2 million and $2.2 million, respectively and is included in general and administrative expense in the accompanying condensed consolidated statements of operations.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13, “Related Party Transactions,” to these condensed consolidated financial statements for additional information.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March 31, 2024 and 2023, the Company recorded rent income related to a sublease of $0.5 million and $0.5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2024,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 See Note 9, “Warrant Liability,” to these consolidated financial statements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March 31, 2024 and December 31, 2023, tax receivable agreement liability was $2.3 million and $1.8 million, respectively. During the three months ended March 31, 2024 and 2023, the Company recognized a loss of $0.5 million and $0.1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During the three months ended March 31, 2024 and 2023, total discount issued was $0.2 million and $1.1 million, respectively. For clients that pay in advance for listing and other services, the Company records deferred revenue and recognizes revenue over the applicable subscription term.</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$2.5 million and $1.0 million for the three months ended March 31, 2024 and 2023, respectively, and are included in sales and marketing expense in the accompanying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March 31, 2024 and 2023, the Company expensed $0.5 million and $0.6 million, respectively, related to employer contributions for the 401(k) saving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and other tax related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2023 and for three months ended March 31, 2024, the Company conducted similar analyses, and determined that a full valuation allowance was still required. As of March 31, 2024 and December 31, 2023, tax receivable agreement liability $2.3 million and $1.8 million,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$9 thousand in income tax provisions due to the impact of the full valuation allowance on its net deferred assets. For the three months ended March 31, 2023, the Company recorded zero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March 31, 2024, the Company had cash balances that exceeded the deposit insurance limit with four financial institutions. Management believes that the risk of loss is not significant and has not experienced any losses in such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requiring enhancements and further transparency to certain income tax disclosures, most notably the tax rate reconciliation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This ASU is effective for fiscal years beginning after December 15, 2024 on a prospective basis and retrospective application is permitted. We are currently evaluating the impact of the adoption of this standard.</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54"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26" w:lineRule="exact"/>
        <w:rPr>
          <w:sz w:val="20"/>
          <w:szCs w:val="20"/>
          <w:color w:val="auto"/>
        </w:rPr>
      </w:pPr>
    </w:p>
    <w:p>
      <w:pPr>
        <w:ind w:left="1300" w:hanging="320"/>
        <w:spacing w:after="0" w:line="281"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04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00" w:type="dxa"/>
            <w:vAlign w:val="bottom"/>
          </w:tcPr>
          <w:p>
            <w:pPr>
              <w:spacing w:after="0"/>
              <w:rPr>
                <w:sz w:val="14"/>
                <w:szCs w:val="14"/>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1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w:t>
            </w:r>
          </w:p>
        </w:tc>
        <w:tc>
          <w:tcPr>
            <w:tcW w:w="0" w:type="dxa"/>
            <w:vAlign w:val="bottom"/>
          </w:tcPr>
          <w:p>
            <w:pPr>
              <w:spacing w:after="0"/>
              <w:rPr>
                <w:sz w:val="1"/>
                <w:szCs w:val="1"/>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 solutions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23"/>
        </w:trPr>
        <w:tc>
          <w:tcPr>
            <w:tcW w:w="72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3"/>
                <w:szCs w:val="23"/>
                <w:color w:val="auto"/>
                <w:vertAlign w:val="superscript"/>
              </w:rPr>
              <w:t>1</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100" w:hanging="92"/>
        <w:spacing w:after="0" w:line="212" w:lineRule="auto"/>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revenues are net of discounts of $0.2 million and $1.1 million, respectively, for three months ended March 31, 2024 and 2023.</w:t>
      </w:r>
    </w:p>
    <w:p>
      <w:pPr>
        <w:ind w:firstLine="8"/>
        <w:spacing w:after="0" w:line="224" w:lineRule="auto"/>
        <w:tabs>
          <w:tab w:leader="none" w:pos="8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2023, net revenue has been retrospectively adjusted to reflect the restatement of previously reported 2023 revenue. See Note 2, “Summary of Significant Accounting Policies,” for further information.</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March 31,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months ended March 31, 2024 and 2023. For three months ended March 31, 2024, approximately 52% of the Company’s net revenue originated in California compared with 53% of the for the three months ended March 31, 2023.</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$5.3 million for the remaining nine months in 2024, $7.3 million in 2025 and $7.5 million in 2026, due under software license agreements, of which the majority relates to the Company’s three-year AWS Enterprise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indicates the fair value hierarchy of the valuation inputs the Company utilized to determine such fair value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-625475</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-625475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-625475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changes in the fair value of the warrant liabilities (in thousands):</w:t>
      </w:r>
    </w:p>
    <w:p>
      <w:pPr>
        <w:spacing w:after="0" w:line="14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Private Placement</w:t>
            </w:r>
          </w:p>
        </w:tc>
        <w:tc>
          <w:tcPr>
            <w:tcW w:w="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Warrant Liabilities</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-488315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Private Placement</w:t>
            </w:r>
          </w:p>
        </w:tc>
        <w:tc>
          <w:tcPr>
            <w:tcW w:w="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Warrant Liabilities</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840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-487680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-487680</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$0.9 million and $0.4 million as of March 31, 2024 and December 31,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was $0.6 million and $0.2 million as of March 31, 2024 and December 31, 2023, respectively. There were no transfers in or out of Level 3 from other levels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March 31, 2024 and December 31, 2023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5"/>
                <w:szCs w:val="15"/>
                <w:color w:val="auto"/>
              </w:rPr>
            </w:pPr>
          </w:p>
        </w:tc>
        <w:tc>
          <w:tcPr>
            <w:tcW w:w="14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Intangible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5"/>
                <w:szCs w:val="15"/>
                <w:color w:val="auto"/>
              </w:rPr>
            </w:pPr>
          </w:p>
        </w:tc>
        <w:tc>
          <w:tcPr>
            <w:tcW w:w="14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Intangible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$0.6 million, respectively, for the three months ended March 31, 2024 and 2023. The estimated future amortization expense of intangible assets as of March 31, 2024 is as follows (in thousands):</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Remaining period in 2024 (nine months)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-1062355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-770890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-479425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-187960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March 31, 2024 and December 31, 2023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marketing</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8"/>
        </w:trPr>
        <w:tc>
          <w:tcPr>
            <w:tcW w:w="7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-779145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-779145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68"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as of March 31, 2024 and December 31, 2023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-487680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-487680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$2.7 million and $7.4 million as of March 31, 2024 and December 31, 2023 respectively. The decrease in accrued bonuses and commission as of March 31, 2024 compared to December 31, 2023 is primarily due to payment of accrued bonus and commission related to the year ended December 31, 2023.</w:t>
      </w:r>
    </w:p>
    <w:p>
      <w:pPr>
        <w:spacing w:after="0" w:line="64"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there were 12,499,973 Public Warrants outstanding and 7,000,000 Private Placement Warrants outstanding.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are remeasured as of each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balance sheet date, which resulted in a non-cash loss of $0.9 million and non-cash gain of $0.7 million on the condensed consolidated statements of operations for the three months ended March 31, 2024 and 2023, respectively. For additional information, see Note 5, “Fair Value Measurements.”</w:t>
      </w:r>
    </w:p>
    <w:p>
      <w:pPr>
        <w:spacing w:after="0" w:line="5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alter or change the powers, preferences or special rights of such class of common stock in a manner that is disproportionately adverse as compared to the Class A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2024, there were no shares of preferred stock issued or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March 31, 2024, the noncontrolling interests owned 38.2%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68"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Class P Unit activity for the three months ended March 31, 2024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March 31, 2024</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14,679,507</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March 31,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14,619,079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for non-vested Class P Units was $0.2 million, which is expected to be recognized over a weighted-average period of 0.7 years. For the three months ended March 31, 2024 and 2023, the Company recorded stock-based compensation expense for the Class P Units of $0.1 million and $0.3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2024,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2024, 22,446,927 shares of Class A Common Stock are available for future issuance.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three months ended March 31, 2024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22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7,683,598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151,516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9"/>
              </w:rPr>
              <w:t>(629,884)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w w:val="99"/>
              </w:rPr>
              <w:t>(710,060)</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22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99"/>
              </w:rPr>
              <w:t>6,495,170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for non-vested RSUs was $16.0 million, which is expected to be recognized over a weighted-average period of 1.6 years. For the three months ended March 31, 2024 and 2023, the Company recorded stock-based compensation expense for the RSUs of $2.7 million and $4.0 million,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period for PRSUs ended at December 31, 2023 and the estimated attainment is 25.0%. For the three months ended March 31, 2024 and 2023, the Company recorded stock-based compensation expense for the PRSUs of $0.0 million and $0.1 million,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RSUs, PRSUs, and Class P Units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23"/>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0"/>
        </w:trPr>
        <w:tc>
          <w:tcPr>
            <w:tcW w:w="7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-933450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months ended March 31, 2024 and 2023 (amounts in thousands, except for share and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 Stock - 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fair value change of Public and Private Placement Warrants, net of amounts attributable to</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 Stock - diluted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94,704,164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92,323,757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Public warrants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Private warrants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diluted</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96,023,352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92,323,757</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 Calculated using the treasury stock method.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0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Units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14,679,507</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15,024,862</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6,495,170</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5,909,464</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r>
    </w:tbl>
    <w:p>
      <w:pPr>
        <w:spacing w:after="0" w:line="275"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March 31, 2024 and December 31, 2023, rent receivable was $0.8 million and $0.7 million, respectively, and these amounts are included in prepaid expenses and other current assets on the accompanying condensed balance sheets. Rent receivable of $0.7 million was subsequently collected in April 2024. For the three months ended March 31, 2024 and 2023, income on the sublease with related party were $0.2 million. The income on sublease is netted with rent expense and included in general and administrative expenses on the consolidated statements of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remaining balance of the promissory note receivable was $0.6 million of which $0.3 million was included in prepaid expenses and other current assets and $0.3 million was included in other assets on the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During the three months ended March 31, 2024, interest income on the promissory note was less than $0.1 million, which is included in other income (expense),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b w:val="1"/>
          <w:bCs w:val="1"/>
          <w:color w:val="auto"/>
        </w:rPr>
        <w:t>irst Quarter 2024 Financial Highlights</w:t>
      </w:r>
    </w:p>
    <w:p>
      <w:pPr>
        <w:spacing w:after="0" w:line="6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$44.4 million as compared to $46.4 million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4,937, as compared to 5,641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paying clients was $2,997, as compared to $2,743 in the prior year.</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income was $2.0 million as compared to net loss of $4.0 million in the prior year.</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$9.6 million.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4,937 average monthly paying business clients during the three months ended March 31, 2024 on the supply-side of our marketplace. These paying clients include retailers, brands and other client types (such as doctors). Further, these clients, who can choose to purchase multiple listings solutions for each business, had purchased approximately 7,800 listing pages as of March 31,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March 31,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table summarize our financial performance for three months ended March 31, 2024 compared with the same period in 2023. For a detailed discussion of our results of operations, see “Results of Operations”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36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7200" w:type="dxa"/>
            <w:vAlign w:val="bottom"/>
          </w:tcPr>
          <w:p>
            <w:pPr>
              <w:spacing w:after="0"/>
              <w:rPr>
                <w:sz w:val="19"/>
                <w:szCs w:val="19"/>
                <w:color w:val="auto"/>
              </w:rPr>
            </w:pPr>
          </w:p>
        </w:tc>
        <w:tc>
          <w:tcPr>
            <w:tcW w:w="1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r>
      <w:tr>
        <w:trPr>
          <w:trHeight w:val="169"/>
        </w:trPr>
        <w:tc>
          <w:tcPr>
            <w:tcW w:w="7200" w:type="dxa"/>
            <w:vAlign w:val="bottom"/>
          </w:tcPr>
          <w:p>
            <w:pPr>
              <w:spacing w:after="0"/>
              <w:rPr>
                <w:sz w:val="14"/>
                <w:szCs w:val="14"/>
                <w:color w:val="auto"/>
              </w:rPr>
            </w:pPr>
          </w:p>
        </w:tc>
        <w:tc>
          <w:tcPr>
            <w:tcW w:w="404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(dollars in thousands, except for revenue per paying</w:t>
            </w:r>
          </w:p>
        </w:tc>
      </w:tr>
      <w:tr>
        <w:trPr>
          <w:trHeight w:val="241"/>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8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client)</w:t>
            </w:r>
          </w:p>
        </w:tc>
        <w:tc>
          <w:tcPr>
            <w:tcW w:w="680" w:type="dxa"/>
            <w:vAlign w:val="bottom"/>
          </w:tcPr>
          <w:p>
            <w:pPr>
              <w:spacing w:after="0"/>
              <w:rPr>
                <w:sz w:val="20"/>
                <w:szCs w:val="20"/>
                <w:color w:val="auto"/>
              </w:rPr>
            </w:pPr>
          </w:p>
        </w:tc>
      </w:tr>
      <w:tr>
        <w:trPr>
          <w:trHeight w:val="232"/>
        </w:trPr>
        <w:tc>
          <w:tcPr>
            <w:tcW w:w="720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3"/>
                <w:szCs w:val="23"/>
                <w:color w:val="auto"/>
                <w:vertAlign w:val="superscript"/>
              </w:rPr>
              <w:t>(4)</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44,389</w:t>
            </w:r>
          </w:p>
        </w:tc>
        <w:tc>
          <w:tcPr>
            <w:tcW w:w="1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1,959</w:t>
            </w:r>
          </w:p>
        </w:tc>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3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4,894</w:t>
            </w:r>
          </w:p>
        </w:tc>
        <w:tc>
          <w:tcPr>
            <w:tcW w:w="1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3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9,599</w:t>
            </w:r>
          </w:p>
        </w:tc>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r>
      <w:tr>
        <w:trPr>
          <w:trHeight w:val="33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(2)(4)</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2,997</w:t>
            </w:r>
          </w:p>
        </w:tc>
        <w:tc>
          <w:tcPr>
            <w:tcW w:w="1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42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(3)</w:t>
            </w:r>
          </w:p>
        </w:tc>
        <w:tc>
          <w:tcPr>
            <w:tcW w:w="128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4,937</w:t>
            </w:r>
          </w:p>
        </w:tc>
        <w:tc>
          <w:tcPr>
            <w:tcW w:w="1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6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ind w:left="340" w:right="20" w:hanging="332"/>
        <w:spacing w:after="0" w:line="262"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(loss), see “Net income (loss) to EBITDA and Adjusted EBITDA” below.</w:t>
      </w:r>
    </w:p>
    <w:p>
      <w:pPr>
        <w:spacing w:after="0" w:line="16" w:lineRule="exact"/>
        <w:rPr>
          <w:rFonts w:ascii="Times New Roman" w:cs="Times New Roman" w:eastAsia="Times New Roman" w:hAnsi="Times New Roman"/>
          <w:sz w:val="16"/>
          <w:szCs w:val="16"/>
          <w:color w:val="auto"/>
        </w:rPr>
      </w:pPr>
    </w:p>
    <w:p>
      <w:pPr>
        <w:ind w:left="340" w:right="20" w:hanging="332"/>
        <w:spacing w:after="0" w:line="290"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revenue per paying client is defined as the average monthly revenue for any particular period divided by the average monthly paying clients in the same respective period.</w:t>
      </w:r>
    </w:p>
    <w:p>
      <w:pPr>
        <w:ind w:left="340" w:hanging="332"/>
        <w:spacing w:after="0" w:line="290"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ind w:left="340" w:right="20" w:hanging="332"/>
        <w:spacing w:after="0" w:line="280"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2023, net revenues has been retrospectively adjusted to reflect the restatement of previously reported revenue. See Note 2, “Summary of Significant Accounting Policies,” for further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March 31, 2024 was $2.0 million compared to net loss of $4.0 million for the three months ended March 31, 2023. The increase in net income was primarily due to decrease in operating expenses of $9.9 million, which was partially offset by a decrease in revenue of $2.0 million and unfavorable change in fair value of warrant liability of $1.6 million. For more information regarding the components of our net income (loss), see “Components of Our Results of Operations” below.</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reduction in force, asset impairment charges,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35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6960" w:type="dxa"/>
            <w:vAlign w:val="bottom"/>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23"/>
        </w:trPr>
        <w:tc>
          <w:tcPr>
            <w:tcW w:w="6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8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29"/>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1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1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r>
      <w:tr>
        <w:trPr>
          <w:trHeight w:val="21"/>
        </w:trPr>
        <w:tc>
          <w:tcPr>
            <w:tcW w:w="6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 Per Paying Client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increase in our average monthly revenue per paying client for the three months ended March 31, 2024 compared to the same period in 2023 was due to sunset of certain products, which had lower average monthly spending clients, in the fourth quarter of 2023.</w:t>
      </w:r>
    </w:p>
    <w:p>
      <w:pPr>
        <w:spacing w:after="0" w:line="12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36830</wp:posOffset>
            </wp:positionV>
            <wp:extent cx="27171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3" w:lineRule="exact"/>
        <w:rPr>
          <w:sz w:val="20"/>
          <w:szCs w:val="20"/>
          <w:color w:val="auto"/>
        </w:rPr>
      </w:pPr>
    </w:p>
    <w:p>
      <w:pPr>
        <w:ind w:left="7820"/>
        <w:spacing w:after="0"/>
        <w:tabs>
          <w:tab w:leader="none" w:pos="100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6960" w:val="left"/>
          <w:tab w:leader="none" w:pos="8560" w:val="left"/>
          <w:tab w:leader="none" w:pos="9140" w:val="left"/>
          <w:tab w:leader="none" w:pos="10740" w:val="left"/>
        </w:tabs>
        <w:rPr>
          <w:sz w:val="20"/>
          <w:szCs w:val="20"/>
          <w:color w:val="auto"/>
        </w:rPr>
      </w:pPr>
      <w:r>
        <w:rPr>
          <w:rFonts w:ascii="Times New Roman" w:cs="Times New Roman" w:eastAsia="Times New Roman" w:hAnsi="Times New Roman"/>
          <w:sz w:val="18"/>
          <w:szCs w:val="18"/>
          <w:color w:val="auto"/>
        </w:rPr>
        <w:t>Average monthly revenue per paying client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2,997</w:t>
        <w:tab/>
        <w:t>$</w:t>
      </w:r>
      <w:r>
        <w:rPr>
          <w:sz w:val="20"/>
          <w:szCs w:val="20"/>
          <w:color w:val="auto"/>
        </w:rPr>
        <w:tab/>
      </w:r>
      <w:r>
        <w:rPr>
          <w:rFonts w:ascii="Times New Roman" w:cs="Times New Roman" w:eastAsia="Times New Roman" w:hAnsi="Times New Roman"/>
          <w:sz w:val="17"/>
          <w:szCs w:val="17"/>
          <w:color w:val="auto"/>
        </w:rPr>
        <w:t>2,743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Average monthly paying clients for the three months ended March 31, 2024 decreased 12% to 4,937 average monthly paying clients from 5,641 average monthly paying clients in the same period in 2023. The decrease in average monthly paying clients in the three months ended March 31, 2024 as compared to the same period in 2023 was primarily due to elevated churn as a result of the cannabis industry facing price deflation.</w:t>
      </w:r>
    </w:p>
    <w:p>
      <w:pPr>
        <w:spacing w:after="0" w:line="118"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1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legal settlements and other legal costs, interest income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5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3"/>
                <w:szCs w:val="23"/>
                <w:b w:val="1"/>
                <w:bCs w:val="1"/>
                <w:color w:val="auto"/>
                <w:vertAlign w:val="superscript"/>
              </w:rPr>
              <w:t>1</w:t>
            </w:r>
          </w:p>
        </w:tc>
        <w:tc>
          <w:tcPr>
            <w:tcW w:w="1180" w:type="dxa"/>
            <w:vAlign w:val="bottom"/>
            <w:tcBorders>
              <w:bottom w:val="single" w:sz="8" w:color="auto"/>
            </w:tcBorders>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Revenue</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 Revenue</w:t>
            </w:r>
          </w:p>
        </w:tc>
      </w:tr>
      <w:tr>
        <w:trPr>
          <w:trHeight w:val="223"/>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18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5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7" w:lineRule="exact"/>
        <w:rPr>
          <w:sz w:val="20"/>
          <w:szCs w:val="20"/>
          <w:color w:val="auto"/>
        </w:rPr>
      </w:pPr>
    </w:p>
    <w:p>
      <w:pPr>
        <w:ind w:right="20" w:firstLine="8"/>
        <w:spacing w:after="0" w:line="229" w:lineRule="auto"/>
        <w:tabs>
          <w:tab w:leader="none" w:pos="155"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3"/>
                <w:szCs w:val="23"/>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44,389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7" w:lineRule="exact"/>
        <w:rPr>
          <w:sz w:val="20"/>
          <w:szCs w:val="20"/>
          <w:color w:val="auto"/>
        </w:rPr>
      </w:pPr>
    </w:p>
    <w:p>
      <w:pPr>
        <w:ind w:firstLine="8"/>
        <w:spacing w:after="0" w:line="229" w:lineRule="auto"/>
        <w:tabs>
          <w:tab w:leader="none" w:pos="136"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2023, net revenues has been retrospectively adjusted to reflect the restatement of previously reported revenue. See Note 2, “Summary of Significant Accounting Policies,” for further information.</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decreased by $2.0 million or 4% for the three months ended March 31, 2024 compared to the same period in 2023. The decrease was primarily due to a decrease in revenue from our Featured Listing and WM Deal products of $4.1 million, partially offset by an increase in revenue from our Weedmaps for Business of $2.0 million and an increase in revenue from other WM Ad solutions of $0.1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Featured Listing and WM Deal products, Weedmaps for Business and other ad solutions represented approximately 63%, 30% and 7% our total net revenues,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Pr>
          <w:p>
            <w:pPr>
              <w:spacing w:after="0"/>
              <w:rPr>
                <w:sz w:val="24"/>
                <w:szCs w:val="24"/>
                <w:color w:val="auto"/>
              </w:rPr>
            </w:pPr>
          </w:p>
        </w:tc>
        <w:tc>
          <w:tcPr>
            <w:tcW w:w="11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3"/>
                <w:szCs w:val="23"/>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40,628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7" w:lineRule="exact"/>
        <w:rPr>
          <w:sz w:val="20"/>
          <w:szCs w:val="20"/>
          <w:color w:val="auto"/>
        </w:rPr>
      </w:pPr>
    </w:p>
    <w:p>
      <w:pPr>
        <w:ind w:firstLine="8"/>
        <w:spacing w:after="0" w:line="229" w:lineRule="auto"/>
        <w:tabs>
          <w:tab w:leader="none" w:pos="165"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2023, general and administrative expenses have been retrospectively adjusted to reflect the restatement of previously reported credit losses. See Note 2, “Summary of Significant Accounting Policies,” for further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was $2.3 million or 5% of net revenues, for the three months ended March 31, 2024 compared to $3.5 million, or 8% of net revenues, for the same period in 2023. The decrease of $1.2 million was primarily related to a decrease of $0.9 million for cost of revenues associated with multi-channel marketing and cloud communication platforms primarily due to the sunset of WM CRM, WM Screens and WM AdSuite and a decrease of $0.3 million in server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$3.6 million, outside services expense of $0.3 million, branding and advertising expenses of $0.3 million, partially offset by an increase in web advertising of $1.0 million, an increase in print and products expense of $0.4 million and an increase in events expense of $0.2 million. The decrease in personnel-related costs was primarily related to a decrease in transaction related bonuses of $1.8 million and the impact of a reduction in workforce, including decreases in salaries and wages of $1.0 million and stock-based compensation expense of $0.5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a decrease in personnel-related costs of $2.0 million, partially offset by an increase in outside services expense of $0.2 million. The decrease in personnel-related costs was primarily related to the impact of a reduction in workforce, including decreases in salaries and wages of $1.1 million and stock-based compensation expense of $0.3 million and a decrease in transaction related bonuses of $1.0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(benefit) for credit losses of $1.1 million, stock-based compensation expense of $0.7 million, salaries and wages of $0.7 million, insurance expense of $0.5 million, software expense of $0.5 million, employee benefits expense of $0.3 million, professional fees of $0.2 million and facilities expense of $0.2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lower amortization expense related to intangible assets that have been fully amortized of 0.5 million, partially offset by an increase in depreciation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4820" w:type="dxa"/>
            <w:vAlign w:val="bottom"/>
          </w:tcPr>
          <w:p>
            <w:pPr>
              <w:spacing w:after="0"/>
              <w:rPr>
                <w:sz w:val="24"/>
                <w:szCs w:val="24"/>
                <w:color w:val="auto"/>
              </w:rPr>
            </w:pPr>
          </w:p>
        </w:tc>
        <w:tc>
          <w:tcPr>
            <w:tcW w:w="32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Pr>
          <w:p>
            <w:pPr>
              <w:spacing w:after="0"/>
              <w:rPr>
                <w:sz w:val="24"/>
                <w:szCs w:val="24"/>
                <w:color w:val="auto"/>
              </w:rPr>
            </w:pPr>
          </w:p>
        </w:tc>
        <w:tc>
          <w:tcPr>
            <w:tcW w:w="11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725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(446)</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179</w:t>
            </w:r>
          </w:p>
        </w:tc>
        <w:tc>
          <w:tcPr>
            <w:tcW w:w="8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other income (expense) net was primarily due to comparatively unfavorable changes in fair value of warrant liability of $1.6 million.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80" w:type="dxa"/>
            <w:vAlign w:val="bottom"/>
          </w:tcPr>
          <w:p>
            <w:pPr>
              <w:spacing w:after="0"/>
              <w:rPr>
                <w:sz w:val="24"/>
                <w:szCs w:val="24"/>
                <w:color w:val="auto"/>
              </w:rPr>
            </w:pPr>
          </w:p>
        </w:tc>
        <w:tc>
          <w:tcPr>
            <w:tcW w:w="2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23"/>
        </w:trPr>
        <w:tc>
          <w:tcPr>
            <w:tcW w:w="4980" w:type="dxa"/>
            <w:vAlign w:val="bottom"/>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the Company recorded $9 thousand in income tax provisions due to the impact of the full valuation allowance on its net deferred assets. See Note 2, “Summary of Significant Accounting Policies,”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the Wednesday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20,266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w:t>
            </w: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we had cash of $35.7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March 31,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804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9"/>
                <w:szCs w:val="19"/>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7,402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2,157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(4,540)</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(3,226)</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(1,495)</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(1,612)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stock-based compensation, deferred taxes, provision (benefit) for credit losses, net of recoveries and the effect of changes in working capital.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$7.4 million, which resulted from net income of $2.0 million, together with net cash outflows of $2.2 million from changes in operating assets and liabilities, and non-cash items of $7.7 million, consisting of depreciation and amortization of $2.9 million, fair value of warrant liability of $0.9 million, stock-based compensation of $2.8 million, amortization of right-of-use lease assets of $1.2 million, and change in tax receivable agreement of $0.5 million, partially offset by provision (benefit) for credit losses, net of recoveries of $0.7 million. Net cash outflows from changes in operating assets and liabilities was primarily due to a decrease in accounts payable and accrued expenses of $3.7 million, a decrease in operating lease liabilities of $1.7 million, an increase in prepaid expenses and other current assets of $0.7 million, a decrease in deferred revenue of $0.1 million, partially offset by a decrease in accounts receivable of $3.9 million. The changes in operating assets and liabilities are mostly due to fluctuations in timing of cash receipts and payments.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was $2.2 million, which resulted from net loss of approximately $4.0 million, together with net cash outflows of approximately $2.4 million from changes in operating assets and liabilities, and non-cash items of $8.5 million, consisting of depreciation and amortization of $3.2 million, fair value of warrant liability of $0.7 million, stock-based compensation of $4.4 million, amortization of right-of-use lease assets of $1.2 million, provision (benefit) for credit losses of $0.4 million and change in tax receivable agreement of $0.1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outflows from changes in operating assets and liabilities were primarily due to a decrease in accounts payable and accrued expenses of $5.1 million and a decrease in operating lease liabilities of $1.5 million, offset by a decrease in accounts receivables of $1.7 million, an increase in deferred revenue of $0.1 million and a decrease in prepaid expenses and other current assets of $2.4 million. The changes in operating assets and liabilities are mostly due to fluctuations in timing of cash receipts and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was $4.5 million, which resulted from $4.5 million cash paid for capital expenditures which include purchases of property and equipment and capitalized software development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2023 was $3.2 million, which resulted from $3.2 million cash paid for purchases of property and equipment, which includes capitalized software development cost.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outflows from financing activities for the three months ended March 31, 2024 was $1.5 million, which primarily consists of $1.6 million in distributions payments to members of WMH LLC and $0.1 million in proceeds from collection of related party note receivable.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outflows from financing activities for three months ended March 31, 2023 was $1.6 million, which primarily consists of $1.5 million in repayments of insurance premium financing, $0.3 million in distributions payments to members of WMH LLC, and $0.1 million in proceeds from collection of related party note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condensed consolidated financial statements included herein.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“Restatement of Previously Reported 2023 Quarterly Revenue and Credit Losses” of Note 2, “Summary of Significant Accounting Policies and Note 3, “Revenue from Contracts with Customers,” to our condensed consolidated financial statements for further discussion.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significant changes to our critical accounting estimates from those disclosed in “Part I. Item 7. Management’s Discussion and Analysis of Financial Condition and Results of Operations” in our Annual Report on Form 10-K for the year ended December 31, 2023 that was filed with the SEC on May 24,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2024 and 2023. For all periods presented, we believe the exposure to foreign currency fluctuation from operating expenses is immaterial as the related costs do not constitute a significant portion of our total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As of March 31, 2024, we did not have any cash equivalents.</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March 31, 2024, we had cash balances that exceeded the deposit insurance limit with five financial institutions. Management believes that the risk of loss is not significant and has not experienced any losses in such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three months ended March 31, 2024.</w:t>
      </w:r>
    </w:p>
    <w:p>
      <w:pPr>
        <w:spacing w:after="0" w:line="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foregoing in mind, our executive chair and chief financial officer (“Certifying Officers”) evaluated the effectiveness of our disclosure controls and procedures as of March 31, 2024, pursuant to Rule 13a-15(b) under the Exchange Act. Based on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evaluation, our executive chair and chief financial officer have concluded that as of March 31, 2024, our disclosure controls and procedures were not effective due to the material weaknesses in internal control over financial reporting described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117" w:lineRule="exact"/>
        <w:rPr>
          <w:sz w:val="20"/>
          <w:szCs w:val="20"/>
          <w:color w:val="auto"/>
        </w:rPr>
      </w:pPr>
    </w:p>
    <w:p>
      <w:pPr>
        <w:jc w:val="both"/>
        <w:ind w:left="660" w:hanging="328"/>
        <w:spacing w:after="0" w:line="27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w:t>
      </w:r>
    </w:p>
    <w:p>
      <w:pPr>
        <w:spacing w:after="0" w:line="1" w:lineRule="exact"/>
        <w:rPr>
          <w:rFonts w:ascii="Times New Roman" w:cs="Times New Roman" w:eastAsia="Times New Roman" w:hAnsi="Times New Roman"/>
          <w:sz w:val="17"/>
          <w:szCs w:val="17"/>
          <w:color w:val="auto"/>
        </w:rPr>
      </w:pPr>
    </w:p>
    <w:p>
      <w:pPr>
        <w:jc w:val="both"/>
        <w:ind w:left="6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78"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assets.The material weakness related to the order-to-cash cycle resulted in an inadequate policy associated with our revenue recognition policies related to the cash collection of a certain subset of our customers that had been placed on a cash basis and,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identified a material weakness in internal control related to ineffective IT general controls in the areas of user access and program change-management over certain information technology systems that support our financial reporting processes. We took measures to remediate this material weakness, specifically by undertaking the following measures:</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developers’ administrative access from production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ability for certain users, including developers, to access other users’ accounts;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audit trails to log and monitor system configuration and data changes made by users to detect erroneous or unauthorized changes.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remediation efforts concluded as of June 30, 2023 when we determined that the above measures had been implemented.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fiscal 2023. The lack of successful completion of our remediation efforts related to this material weakness identified for the year ended December 31, 2022 is reflected in the first bullet of our 2023 material weaknesses discussed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begun the process of evaluating the material weaknesses and developing our full remediation plan. Until the remediation plan is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condensed consolidated financial statements included in Part I, Item 1 of this Quarterly Report on Form 10-Q is incorporated by reference into this Item 1.</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the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 their testimony occurred in July and August of 2023. We have been fully cooperating with the SEC’s investigation. Such investigations are inherently uncertain and their results cannot be predicted with certainty, but could result in penalties or other sanctions against us, as well as negative publicity and reputational harm. Regardless of the outcome, such proceedings can have an adverse impact on us because of legal costs, diversion of management resources and other factors.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under the caption “Risk Factors” in Part I, Item 1A of our Annual Report on Form 10-K for the year ended December 31, 2023 (our “2023 Form 10-K”) when making investment decisions regarding our securities. The risk factors that were disclosed in our 2023 Form 10-K have not materially changed since the date of our 2023 Form 10-K was filed.</w:t>
      </w:r>
    </w:p>
    <w:p>
      <w:pPr>
        <w:spacing w:after="0" w:line="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20"/>
          </w:cols>
          <w:pgMar w:left="320" w:top="229" w:right="359" w:bottom="1440" w:gutter="0" w:footer="0" w:header="0"/>
        </w:sectPr>
      </w:pP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8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3.2</w:t>
        </w:r>
      </w:hyperlink>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299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0"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Certificate of Incorporation of the Company, dated June 15, 2021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Amended and Restated Bylaws of the Company, dated June 16, 2021 (incorporated by reference to Exhibit 3.2 to the Current report on</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Form 8-K filed on June 21, 2021).</w:t>
        </w:r>
      </w:hyperlink>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Rules 13a-14(a) and 15d-14(a) under the Securities Exchange Act of 1934, as adopted pursuant to Section 302 of the Sarbanes-Oxley Act of 2002</w:t>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900" w:space="320"/>
            <w:col w:w="10000"/>
          </w:cols>
          <w:pgMar w:left="320" w:top="229" w:right="3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9" w:lineRule="exact"/>
        <w:rPr>
          <w:sz w:val="20"/>
          <w:szCs w:val="20"/>
          <w:color w:val="auto"/>
        </w:rPr>
      </w:pPr>
    </w:p>
    <w:p>
      <w:pPr>
        <w:jc w:val="both"/>
        <w:ind w:left="1220" w:hanging="226"/>
        <w:spacing w:after="0" w:line="245" w:lineRule="auto"/>
        <w:tabs>
          <w:tab w:leader="none" w:pos="1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60" w:type="dxa"/>
            <w:vAlign w:val="bottom"/>
            <w:gridSpan w:val="3"/>
          </w:tcPr>
          <w:p>
            <w:pPr>
              <w:ind w:left="238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24, 2024</w:t>
            </w:r>
          </w:p>
        </w:tc>
        <w:tc>
          <w:tcPr>
            <w:tcW w:w="28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Douglas Francis</w:t>
            </w:r>
          </w:p>
        </w:tc>
      </w:tr>
      <w:tr>
        <w:trPr>
          <w:trHeight w:val="21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Douglas Francis</w:t>
            </w:r>
          </w:p>
        </w:tc>
      </w:tr>
      <w:tr>
        <w:trPr>
          <w:trHeight w:val="228"/>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236"/>
        </w:trPr>
        <w:tc>
          <w:tcPr>
            <w:tcW w:w="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24, 2024</w:t>
            </w:r>
          </w:p>
        </w:tc>
        <w:tc>
          <w:tcPr>
            <w:tcW w:w="28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Susan Echard</w:t>
            </w:r>
          </w:p>
        </w:tc>
      </w:tr>
      <w:tr>
        <w:trPr>
          <w:trHeight w:val="21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Susan Echard</w:t>
            </w:r>
          </w:p>
        </w:tc>
      </w:tr>
      <w:tr>
        <w:trPr>
          <w:trHeight w:val="228"/>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182"/>
        </w:trPr>
        <w:tc>
          <w:tcPr>
            <w:tcW w:w="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1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911"/>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1220"/>
          </w:cols>
          <w:pgMar w:left="320" w:top="229"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Francis, certify that: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jc w:val="both"/>
        <w:ind w:left="340" w:hanging="332"/>
        <w:spacing w:after="0" w:line="266"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340" w:hanging="332"/>
        <w:spacing w:after="0" w:line="282" w:lineRule="auto"/>
        <w:tabs>
          <w:tab w:leader="none" w:pos="4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Executive Chair</w:t>
      </w:r>
    </w:p>
    <w:p>
      <w:pPr>
        <w:sectPr>
          <w:pgSz w:w="11900" w:h="16838" w:orient="portrait"/>
          <w:cols w:equalWidth="0" w:num="1">
            <w:col w:w="11240"/>
          </w:cols>
          <w:pgMar w:left="320" w:top="1413" w:right="339" w:bottom="164" w:gutter="0" w:footer="0" w:header="0"/>
        </w:sectPr>
      </w:pPr>
    </w:p>
    <w:p>
      <w:pPr>
        <w:spacing w:after="0" w:line="200" w:lineRule="exact"/>
        <w:rPr>
          <w:sz w:val="20"/>
          <w:szCs w:val="20"/>
          <w:color w:val="auto"/>
        </w:rPr>
      </w:pPr>
    </w:p>
    <w:p>
      <w:pPr>
        <w:spacing w:after="0" w:line="36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164" w:gutter="0" w:footer="0" w:header="0"/>
          <w:type w:val="continuous"/>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Echard, certify that: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jc w:val="both"/>
        <w:ind w:left="340" w:hanging="332"/>
        <w:spacing w:after="0" w:line="266" w:lineRule="auto"/>
        <w:tabs>
          <w:tab w:leader="none" w:pos="3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340" w:hanging="332"/>
        <w:spacing w:after="0" w:line="282" w:lineRule="auto"/>
        <w:tabs>
          <w:tab w:leader="none" w:pos="4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Susan Echard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413" w:right="339" w:bottom="982" w:gutter="0" w:footer="0" w:header="0"/>
        </w:sectPr>
      </w:pP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1413" w:right="339" w:bottom="982" w:gutter="0" w:footer="0" w:header="0"/>
          <w:type w:val="continuous"/>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EXECUTIVE CHAIR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Douglas Francis, the Executive Chair of WM Technology, Inc., certify, pursuant to 18 U.S.C. Section 1350, as adopted pursuant to Section 906 of the Sarbanes-Oxley Act of 2002, that the Quarterly Report on Form 10-Q of WM Technology, Inc. for the quarterly period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68580</wp:posOffset>
            </wp:positionV>
            <wp:extent cx="23317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Executive Chair</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Susan Echard, the Chief Financial Officer of WM Technology, Inc., certify, pursuant to 18 U.S.C. Section 1350, as adopted pursuant to Section 906 of the Sarbanes-Oxley Act of 2002, that the Quarterly Report on Form 10-Q of WM Technology, Inc. for the quarterly period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61" w:lineRule="exact"/>
        <w:rPr>
          <w:sz w:val="20"/>
          <w:szCs w:val="20"/>
          <w:color w:val="auto"/>
        </w:rPr>
      </w:pPr>
    </w:p>
    <w:p>
      <w:pPr>
        <w:ind w:left="60"/>
        <w:spacing w:after="0"/>
        <w:tabs>
          <w:tab w:leader="none" w:pos="820" w:val="left"/>
          <w:tab w:leader="none" w:pos="68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68580</wp:posOffset>
            </wp:positionV>
            <wp:extent cx="234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Susan Echard</w:t>
      </w:r>
    </w:p>
    <w:p>
      <w:pPr>
        <w:spacing w:after="0" w:line="10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10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lvl w:ilvl="1">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
      <w:numFmt w:val="bullet"/>
      <w:start w:val="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2"/>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1."/>
      <w:numFmt w:val="decimal"/>
      <w:start w:val="7"/>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9"/>
    </w:lvl>
  </w:abstractNum>
  <w:abstractNum w:abstractNumId="14">
    <w:nsid w:val="6763845E"/>
    <w:multiLevelType w:val="hybridMultilevel"/>
    <w:lvl w:ilvl="0">
      <w:lvlJc w:val="left"/>
      <w:lvlText w:val="%1."/>
      <w:numFmt w:val="decimal"/>
      <w:start w:val="10"/>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decimal"/>
      <w:start w:val="12"/>
    </w:lvl>
  </w:abstractNum>
  <w:abstractNum w:abstractNumId="17">
    <w:nsid w:val="79838CB2"/>
    <w:multiLevelType w:val="hybridMultilevel"/>
    <w:lvl w:ilvl="0">
      <w:lvlJc w:val="left"/>
      <w:lvlText w:val="%1."/>
      <w:numFmt w:val="decimal"/>
      <w:start w:val="13"/>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77" Type="http://schemas.openxmlformats.org/officeDocument/2006/relationships/hyperlink" Target="https://www.sec.gov/Archives/edgar/data/0001779474/000114036121021785/brhc10025756_ex3-1.htm" TargetMode="External"/><Relationship Id="rId78" Type="http://schemas.openxmlformats.org/officeDocument/2006/relationships/hyperlink" Target="https://www.sec.gov/Archives/edgar/data/0001779474/000114036121021785/brhc1002575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2024-05-24T17:01:55Z</dcterms:created>
  <dcterms:modified xsi:type="dcterms:W3CDTF">2024-05-24T17:01:55Z</dcterms:modified>
</cp:coreProperties>
</file>