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Gordon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WM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MAPS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07/24/2024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566,037</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824,258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in three equal annual installments on the date of the next three annual meeting of stockholders, beginning with the Issuer's next annual meeting of stockholders subsequent to the effectiveness of this RSU grant, subject to acceleration, and subject to the Reporting Person's Continuous Service (as defined in the Issuer's 2021 Equity Incentive Plan) through such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Ron A. Metzger, Attorney-  </w:t>
      </w:r>
      <w:r>
        <w:rPr>
          <w:rFonts w:ascii="Times New Roman" w:cs="Times New Roman" w:eastAsia="Times New Roman" w:hAnsi="Times New Roman"/>
          <w:sz w:val="33"/>
          <w:szCs w:val="33"/>
          <w:color w:val="0000FF"/>
          <w:vertAlign w:val="subscript"/>
        </w:rPr>
        <w:t>07/26/2024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445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2024-07-26T15:58:23Z</dcterms:created>
  <dcterms:modified xsi:type="dcterms:W3CDTF">2024-07-26T15:58:23Z</dcterms:modified>
</cp:coreProperties>
</file>