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right="-7"/>
        <w:spacing w:after="0"/>
        <w:rPr>
          <w:sz w:val="20"/>
          <w:szCs w:val="20"/>
          <w:color w:val="auto"/>
        </w:rPr>
      </w:pPr>
      <w:r>
        <w:rPr>
          <w:rFonts w:ascii="Arial" w:cs="Arial" w:eastAsia="Arial" w:hAnsi="Arial"/>
          <w:sz w:val="12"/>
          <w:szCs w:val="12"/>
          <w:b w:val="1"/>
          <w:bCs w:val="1"/>
          <w:color w:val="auto"/>
        </w:rPr>
        <w:t>As filed with the Securities and Exchange Commission on December 2, 2021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23"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47625</wp:posOffset>
            </wp:positionV>
            <wp:extent cx="21488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118"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S-1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REGISTRATION STATEMENT</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UNDER</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43815</wp:posOffset>
            </wp:positionV>
            <wp:extent cx="21488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102"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WM Technology, Inc.</w:t>
      </w:r>
    </w:p>
    <w:p>
      <w:pPr>
        <w:spacing w:after="0" w:line="28" w:lineRule="exact"/>
        <w:rPr>
          <w:sz w:val="24"/>
          <w:szCs w:val="24"/>
          <w:color w:val="auto"/>
        </w:rPr>
      </w:pPr>
    </w:p>
    <w:tbl>
      <w:tblPr>
        <w:tblLayout w:type="fixed"/>
        <w:tblInd w:w="8" w:type="dxa"/>
        <w:tblCellMar>
          <w:top w:w="0" w:type="dxa"/>
          <w:left w:w="0" w:type="dxa"/>
          <w:bottom w:w="0" w:type="dxa"/>
          <w:right w:w="0" w:type="dxa"/>
        </w:tblCellMar>
      </w:tblPr>
      <w:tr>
        <w:trPr>
          <w:trHeight w:val="143"/>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gridSpan w:val="3"/>
          </w:tcPr>
          <w:p>
            <w:pPr>
              <w:jc w:val="center"/>
              <w:ind w:right="1360"/>
              <w:spacing w:after="0"/>
              <w:rPr>
                <w:sz w:val="20"/>
                <w:szCs w:val="20"/>
                <w:color w:val="auto"/>
              </w:rPr>
            </w:pPr>
            <w:r>
              <w:rPr>
                <w:rFonts w:ascii="Arial" w:cs="Arial" w:eastAsia="Arial" w:hAnsi="Arial"/>
                <w:sz w:val="12"/>
                <w:szCs w:val="12"/>
                <w:color w:val="auto"/>
                <w:w w:val="91"/>
              </w:rPr>
              <w:t>(Exact Name of Registrant as Specified in its Charter)</w:t>
            </w:r>
          </w:p>
        </w:tc>
        <w:tc>
          <w:tcPr>
            <w:tcW w:w="2500" w:type="dxa"/>
            <w:vAlign w:val="bottom"/>
          </w:tcPr>
          <w:p>
            <w:pPr>
              <w:spacing w:after="0"/>
              <w:rPr>
                <w:sz w:val="12"/>
                <w:szCs w:val="12"/>
                <w:color w:val="auto"/>
              </w:rPr>
            </w:pPr>
          </w:p>
        </w:tc>
      </w:tr>
      <w:tr>
        <w:trPr>
          <w:trHeight w:val="153"/>
        </w:trPr>
        <w:tc>
          <w:tcPr>
            <w:tcW w:w="2640" w:type="dxa"/>
            <w:vAlign w:val="bottom"/>
          </w:tcPr>
          <w:p>
            <w:pPr>
              <w:jc w:val="center"/>
              <w:ind w:left="920"/>
              <w:spacing w:after="0"/>
              <w:rPr>
                <w:sz w:val="20"/>
                <w:szCs w:val="20"/>
                <w:color w:val="auto"/>
              </w:rPr>
            </w:pPr>
            <w:r>
              <w:rPr>
                <w:rFonts w:ascii="Arial" w:cs="Arial" w:eastAsia="Arial" w:hAnsi="Arial"/>
                <w:sz w:val="12"/>
                <w:szCs w:val="12"/>
                <w:color w:val="auto"/>
                <w:w w:val="90"/>
              </w:rPr>
              <w:t>Delaware</w:t>
            </w:r>
          </w:p>
        </w:tc>
        <w:tc>
          <w:tcPr>
            <w:tcW w:w="4820" w:type="dxa"/>
            <w:vAlign w:val="bottom"/>
            <w:gridSpan w:val="3"/>
          </w:tcPr>
          <w:p>
            <w:pPr>
              <w:jc w:val="center"/>
              <w:ind w:left="1160"/>
              <w:spacing w:after="0"/>
              <w:rPr>
                <w:sz w:val="20"/>
                <w:szCs w:val="20"/>
                <w:color w:val="auto"/>
              </w:rPr>
            </w:pPr>
            <w:r>
              <w:rPr>
                <w:rFonts w:ascii="Arial" w:cs="Arial" w:eastAsia="Arial" w:hAnsi="Arial"/>
                <w:sz w:val="12"/>
                <w:szCs w:val="12"/>
                <w:color w:val="auto"/>
                <w:w w:val="89"/>
              </w:rPr>
              <w:t>7374</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00" w:type="dxa"/>
            <w:vAlign w:val="bottom"/>
          </w:tcPr>
          <w:p>
            <w:pPr>
              <w:jc w:val="center"/>
              <w:ind w:right="1060"/>
              <w:spacing w:after="0"/>
              <w:rPr>
                <w:sz w:val="20"/>
                <w:szCs w:val="20"/>
                <w:color w:val="auto"/>
              </w:rPr>
            </w:pPr>
            <w:r>
              <w:rPr>
                <w:rFonts w:ascii="Arial" w:cs="Arial" w:eastAsia="Arial" w:hAnsi="Arial"/>
                <w:sz w:val="12"/>
                <w:szCs w:val="12"/>
                <w:color w:val="auto"/>
                <w:w w:val="90"/>
              </w:rPr>
              <w:t>98-1605615</w:t>
            </w:r>
          </w:p>
        </w:tc>
      </w:tr>
      <w:tr>
        <w:trPr>
          <w:trHeight w:val="133"/>
        </w:trPr>
        <w:tc>
          <w:tcPr>
            <w:tcW w:w="2640" w:type="dxa"/>
            <w:vAlign w:val="bottom"/>
            <w:tcBorders>
              <w:top w:val="single" w:sz="8" w:color="auto"/>
            </w:tcBorders>
          </w:tcPr>
          <w:p>
            <w:pPr>
              <w:jc w:val="center"/>
              <w:ind w:left="900"/>
              <w:spacing w:after="0" w:line="133" w:lineRule="exact"/>
              <w:rPr>
                <w:sz w:val="20"/>
                <w:szCs w:val="20"/>
                <w:color w:val="auto"/>
              </w:rPr>
            </w:pPr>
            <w:r>
              <w:rPr>
                <w:rFonts w:ascii="Arial" w:cs="Arial" w:eastAsia="Arial" w:hAnsi="Arial"/>
                <w:sz w:val="12"/>
                <w:szCs w:val="12"/>
                <w:color w:val="auto"/>
                <w:w w:val="92"/>
              </w:rPr>
              <w:t>(State or Other Jurisdiction of</w:t>
            </w: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(Primary Standard Industrial</w:t>
            </w:r>
          </w:p>
        </w:tc>
        <w:tc>
          <w:tcPr>
            <w:tcW w:w="2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500" w:type="dxa"/>
            <w:vAlign w:val="bottom"/>
            <w:tcBorders>
              <w:top w:val="single" w:sz="8" w:color="auto"/>
            </w:tcBorders>
          </w:tcPr>
          <w:p>
            <w:pPr>
              <w:jc w:val="center"/>
              <w:ind w:right="1060"/>
              <w:spacing w:after="0" w:line="133" w:lineRule="exact"/>
              <w:rPr>
                <w:sz w:val="20"/>
                <w:szCs w:val="20"/>
                <w:color w:val="auto"/>
              </w:rPr>
            </w:pPr>
            <w:r>
              <w:rPr>
                <w:rFonts w:ascii="Arial" w:cs="Arial" w:eastAsia="Arial" w:hAnsi="Arial"/>
                <w:sz w:val="12"/>
                <w:szCs w:val="12"/>
                <w:color w:val="auto"/>
                <w:w w:val="93"/>
              </w:rPr>
              <w:t>(I.R.S. Employer</w:t>
            </w:r>
          </w:p>
        </w:tc>
      </w:tr>
      <w:tr>
        <w:trPr>
          <w:trHeight w:val="153"/>
        </w:trPr>
        <w:tc>
          <w:tcPr>
            <w:tcW w:w="2640" w:type="dxa"/>
            <w:vAlign w:val="bottom"/>
          </w:tcPr>
          <w:p>
            <w:pPr>
              <w:jc w:val="center"/>
              <w:ind w:left="900"/>
              <w:spacing w:after="0"/>
              <w:rPr>
                <w:sz w:val="20"/>
                <w:szCs w:val="20"/>
                <w:color w:val="auto"/>
              </w:rPr>
            </w:pPr>
            <w:r>
              <w:rPr>
                <w:rFonts w:ascii="Arial" w:cs="Arial" w:eastAsia="Arial" w:hAnsi="Arial"/>
                <w:sz w:val="12"/>
                <w:szCs w:val="12"/>
                <w:color w:val="auto"/>
                <w:w w:val="92"/>
              </w:rPr>
              <w:t>Incorporation or Organization)</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60" w:type="dxa"/>
            <w:vAlign w:val="bottom"/>
            <w:gridSpan w:val="3"/>
          </w:tcPr>
          <w:p>
            <w:pPr>
              <w:jc w:val="center"/>
              <w:ind w:right="1340"/>
              <w:spacing w:after="0"/>
              <w:rPr>
                <w:sz w:val="20"/>
                <w:szCs w:val="20"/>
                <w:color w:val="auto"/>
              </w:rPr>
            </w:pPr>
            <w:r>
              <w:rPr>
                <w:rFonts w:ascii="Arial" w:cs="Arial" w:eastAsia="Arial" w:hAnsi="Arial"/>
                <w:sz w:val="12"/>
                <w:szCs w:val="12"/>
                <w:color w:val="auto"/>
                <w:w w:val="91"/>
              </w:rPr>
              <w:t>Classification Code No.)</w:t>
            </w:r>
          </w:p>
        </w:tc>
        <w:tc>
          <w:tcPr>
            <w:tcW w:w="2500" w:type="dxa"/>
            <w:vAlign w:val="bottom"/>
          </w:tcPr>
          <w:p>
            <w:pPr>
              <w:jc w:val="center"/>
              <w:ind w:right="106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2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960" w:type="dxa"/>
            <w:vAlign w:val="bottom"/>
            <w:gridSpan w:val="3"/>
          </w:tcPr>
          <w:p>
            <w:pPr>
              <w:jc w:val="center"/>
              <w:ind w:right="1340"/>
              <w:spacing w:after="0"/>
              <w:rPr>
                <w:sz w:val="20"/>
                <w:szCs w:val="20"/>
                <w:color w:val="auto"/>
              </w:rPr>
            </w:pPr>
            <w:r>
              <w:rPr>
                <w:rFonts w:ascii="Arial" w:cs="Arial" w:eastAsia="Arial" w:hAnsi="Arial"/>
                <w:sz w:val="12"/>
                <w:szCs w:val="12"/>
                <w:b w:val="1"/>
                <w:bCs w:val="1"/>
                <w:color w:val="auto"/>
                <w:w w:val="89"/>
              </w:rPr>
              <w:t>41 Discovery</w:t>
            </w:r>
          </w:p>
        </w:tc>
        <w:tc>
          <w:tcPr>
            <w:tcW w:w="2500" w:type="dxa"/>
            <w:vAlign w:val="bottom"/>
          </w:tcPr>
          <w:p>
            <w:pPr>
              <w:spacing w:after="0"/>
              <w:rPr>
                <w:sz w:val="23"/>
                <w:szCs w:val="23"/>
                <w:color w:val="auto"/>
              </w:rPr>
            </w:pPr>
          </w:p>
        </w:tc>
      </w:tr>
      <w:tr>
        <w:trPr>
          <w:trHeight w:val="144"/>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gridSpan w:val="3"/>
          </w:tcPr>
          <w:p>
            <w:pPr>
              <w:jc w:val="center"/>
              <w:ind w:right="1360"/>
              <w:spacing w:after="0"/>
              <w:rPr>
                <w:sz w:val="20"/>
                <w:szCs w:val="20"/>
                <w:color w:val="auto"/>
              </w:rPr>
            </w:pPr>
            <w:r>
              <w:rPr>
                <w:rFonts w:ascii="Arial" w:cs="Arial" w:eastAsia="Arial" w:hAnsi="Arial"/>
                <w:sz w:val="12"/>
                <w:szCs w:val="12"/>
                <w:b w:val="1"/>
                <w:bCs w:val="1"/>
                <w:color w:val="auto"/>
                <w:w w:val="94"/>
              </w:rPr>
              <w:t>Irvine, California 92618</w:t>
            </w:r>
          </w:p>
        </w:tc>
        <w:tc>
          <w:tcPr>
            <w:tcW w:w="2500" w:type="dxa"/>
            <w:vAlign w:val="bottom"/>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960" w:type="dxa"/>
            <w:vAlign w:val="bottom"/>
            <w:gridSpan w:val="3"/>
          </w:tcPr>
          <w:p>
            <w:pPr>
              <w:jc w:val="center"/>
              <w:ind w:right="1340"/>
              <w:spacing w:after="0"/>
              <w:rPr>
                <w:sz w:val="20"/>
                <w:szCs w:val="20"/>
                <w:color w:val="auto"/>
              </w:rPr>
            </w:pPr>
            <w:r>
              <w:rPr>
                <w:rFonts w:ascii="Arial" w:cs="Arial" w:eastAsia="Arial" w:hAnsi="Arial"/>
                <w:sz w:val="12"/>
                <w:szCs w:val="12"/>
                <w:b w:val="1"/>
                <w:bCs w:val="1"/>
                <w:color w:val="auto"/>
                <w:w w:val="91"/>
              </w:rPr>
              <w:t>Tel: (844) 933-3627</w:t>
            </w:r>
          </w:p>
        </w:tc>
        <w:tc>
          <w:tcPr>
            <w:tcW w:w="2500" w:type="dxa"/>
            <w:vAlign w:val="bottom"/>
          </w:tcPr>
          <w:p>
            <w:pPr>
              <w:spacing w:after="0"/>
              <w:rPr>
                <w:sz w:val="12"/>
                <w:szCs w:val="12"/>
                <w:color w:val="auto"/>
              </w:rPr>
            </w:pPr>
          </w:p>
        </w:tc>
      </w:tr>
      <w:tr>
        <w:trPr>
          <w:trHeight w:val="153"/>
        </w:trPr>
        <w:tc>
          <w:tcPr>
            <w:tcW w:w="2640" w:type="dxa"/>
            <w:vAlign w:val="bottom"/>
          </w:tcPr>
          <w:p>
            <w:pPr>
              <w:spacing w:after="0"/>
              <w:rPr>
                <w:sz w:val="13"/>
                <w:szCs w:val="13"/>
                <w:color w:val="auto"/>
              </w:rPr>
            </w:pPr>
          </w:p>
        </w:tc>
        <w:tc>
          <w:tcPr>
            <w:tcW w:w="6160" w:type="dxa"/>
            <w:vAlign w:val="bottom"/>
            <w:gridSpan w:val="5"/>
          </w:tcPr>
          <w:p>
            <w:pPr>
              <w:jc w:val="center"/>
              <w:ind w:right="160"/>
              <w:spacing w:after="0"/>
              <w:rPr>
                <w:sz w:val="20"/>
                <w:szCs w:val="20"/>
                <w:color w:val="auto"/>
              </w:rPr>
            </w:pPr>
            <w:r>
              <w:rPr>
                <w:rFonts w:ascii="Arial" w:cs="Arial" w:eastAsia="Arial" w:hAnsi="Arial"/>
                <w:sz w:val="12"/>
                <w:szCs w:val="12"/>
                <w:color w:val="auto"/>
                <w:w w:val="91"/>
              </w:rPr>
              <w:t>(Address, Including Zip Code, and Telephone Number, Including Area Code, of Registrant’s Principal Executive Offices)</w:t>
            </w:r>
          </w:p>
        </w:tc>
        <w:tc>
          <w:tcPr>
            <w:tcW w:w="25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34290</wp:posOffset>
            </wp:positionV>
            <wp:extent cx="21488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10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Brian Camire</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General Counsel</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WM Technology, Inc.</w:t>
      </w:r>
    </w:p>
    <w:p>
      <w:pPr>
        <w:spacing w:after="0" w:line="6" w:lineRule="exact"/>
        <w:rPr>
          <w:sz w:val="24"/>
          <w:szCs w:val="24"/>
          <w:color w:val="auto"/>
        </w:rPr>
      </w:pPr>
    </w:p>
    <w:p>
      <w:pPr>
        <w:ind w:left="5468" w:hanging="144"/>
        <w:spacing w:after="0"/>
        <w:tabs>
          <w:tab w:leader="none" w:pos="546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Discovery</w:t>
      </w:r>
    </w:p>
    <w:p>
      <w:pPr>
        <w:spacing w:after="0" w:line="6" w:lineRule="exact"/>
        <w:rPr>
          <w:rFonts w:ascii="Arial" w:cs="Arial" w:eastAsia="Arial" w:hAnsi="Arial"/>
          <w:sz w:val="12"/>
          <w:szCs w:val="12"/>
          <w:b w:val="1"/>
          <w:bCs w:val="1"/>
          <w:color w:val="auto"/>
        </w:rPr>
      </w:pPr>
    </w:p>
    <w:p>
      <w:pPr>
        <w:ind w:left="502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Irvine, California 92618</w:t>
      </w:r>
    </w:p>
    <w:p>
      <w:pPr>
        <w:spacing w:after="0" w:line="6" w:lineRule="exact"/>
        <w:rPr>
          <w:rFonts w:ascii="Arial" w:cs="Arial" w:eastAsia="Arial" w:hAnsi="Arial"/>
          <w:sz w:val="12"/>
          <w:szCs w:val="12"/>
          <w:b w:val="1"/>
          <w:bCs w:val="1"/>
          <w:color w:val="auto"/>
        </w:rPr>
      </w:pPr>
    </w:p>
    <w:p>
      <w:pPr>
        <w:ind w:left="516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Tel: (844) 933-3627</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43815</wp:posOffset>
            </wp:positionV>
            <wp:extent cx="21488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10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Copies to:</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Dave Peinsipp</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Garth Osterman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Kristin VanderPas</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Peter Byrne</w:t>
      </w:r>
    </w:p>
    <w:p>
      <w:pPr>
        <w:spacing w:after="0" w:line="4"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Cooley LLP</w:t>
      </w:r>
    </w:p>
    <w:p>
      <w:pPr>
        <w:jc w:val="center"/>
        <w:ind w:right="-7"/>
        <w:spacing w:after="0" w:line="188" w:lineRule="auto"/>
        <w:rPr>
          <w:sz w:val="20"/>
          <w:szCs w:val="20"/>
          <w:color w:val="auto"/>
        </w:rPr>
      </w:pPr>
      <w:r>
        <w:rPr>
          <w:rFonts w:ascii="Arial" w:cs="Arial" w:eastAsia="Arial" w:hAnsi="Arial"/>
          <w:sz w:val="11"/>
          <w:szCs w:val="11"/>
          <w:b w:val="1"/>
          <w:bCs w:val="1"/>
          <w:color w:val="auto"/>
        </w:rPr>
        <w:t>101 California Street, 5</w:t>
      </w:r>
      <w:r>
        <w:rPr>
          <w:rFonts w:ascii="Arial" w:cs="Arial" w:eastAsia="Arial" w:hAnsi="Arial"/>
          <w:sz w:val="17"/>
          <w:szCs w:val="17"/>
          <w:b w:val="1"/>
          <w:bCs w:val="1"/>
          <w:color w:val="auto"/>
          <w:vertAlign w:val="superscript"/>
        </w:rPr>
        <w:t>th</w:t>
      </w:r>
      <w:r>
        <w:rPr>
          <w:rFonts w:ascii="Arial" w:cs="Arial" w:eastAsia="Arial" w:hAnsi="Arial"/>
          <w:sz w:val="11"/>
          <w:szCs w:val="11"/>
          <w:b w:val="1"/>
          <w:bCs w:val="1"/>
          <w:color w:val="auto"/>
        </w:rPr>
        <w:t xml:space="preserve"> Floor</w:t>
      </w:r>
    </w:p>
    <w:p>
      <w:pPr>
        <w:jc w:val="center"/>
        <w:ind w:right="-7"/>
        <w:spacing w:after="0"/>
        <w:rPr>
          <w:sz w:val="20"/>
          <w:szCs w:val="20"/>
          <w:color w:val="auto"/>
        </w:rPr>
      </w:pPr>
      <w:r>
        <w:rPr>
          <w:rFonts w:ascii="Arial" w:cs="Arial" w:eastAsia="Arial" w:hAnsi="Arial"/>
          <w:sz w:val="12"/>
          <w:szCs w:val="12"/>
          <w:b w:val="1"/>
          <w:bCs w:val="1"/>
          <w:color w:val="auto"/>
        </w:rPr>
        <w:t>San Francisco, California 94111</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Tel: (415) 693-2177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43815</wp:posOffset>
            </wp:positionV>
            <wp:extent cx="21488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117" w:lineRule="exact"/>
        <w:rPr>
          <w:sz w:val="24"/>
          <w:szCs w:val="24"/>
          <w:color w:val="auto"/>
        </w:rPr>
      </w:pPr>
    </w:p>
    <w:p>
      <w:pPr>
        <w:ind w:left="248"/>
        <w:spacing w:after="0"/>
        <w:rPr>
          <w:sz w:val="20"/>
          <w:szCs w:val="20"/>
          <w:color w:val="auto"/>
        </w:rPr>
      </w:pPr>
      <w:r>
        <w:rPr>
          <w:rFonts w:ascii="Arial" w:cs="Arial" w:eastAsia="Arial" w:hAnsi="Arial"/>
          <w:sz w:val="12"/>
          <w:szCs w:val="12"/>
          <w:b w:val="1"/>
          <w:bCs w:val="1"/>
          <w:color w:val="auto"/>
        </w:rPr>
        <w:t>Approximate date of commencement of proposed sale to the public: From time to time after the effective date of this registration statement.</w:t>
      </w:r>
    </w:p>
    <w:p>
      <w:pPr>
        <w:spacing w:after="0" w:line="16" w:lineRule="exact"/>
        <w:rPr>
          <w:sz w:val="24"/>
          <w:szCs w:val="24"/>
          <w:color w:val="auto"/>
        </w:rPr>
      </w:pPr>
    </w:p>
    <w:p>
      <w:pPr>
        <w:ind w:left="248"/>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0" w:lineRule="exact"/>
        <w:rPr>
          <w:sz w:val="24"/>
          <w:szCs w:val="24"/>
          <w:color w:val="auto"/>
        </w:rPr>
      </w:pPr>
    </w:p>
    <w:p>
      <w:pPr>
        <w:ind w:left="8" w:firstLine="240"/>
        <w:spacing w:after="0" w:line="144"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8" w:firstLine="240"/>
        <w:spacing w:after="0" w:line="144"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8" w:firstLine="240"/>
        <w:spacing w:after="0" w:line="144"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248"/>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w:t>
      </w:r>
    </w:p>
    <w:tbl>
      <w:tblPr>
        <w:tblLayout w:type="fixed"/>
        <w:tblInd w:w="8" w:type="dxa"/>
        <w:tblCellMar>
          <w:top w:w="0" w:type="dxa"/>
          <w:left w:w="0" w:type="dxa"/>
          <w:bottom w:w="0" w:type="dxa"/>
          <w:right w:w="0" w:type="dxa"/>
        </w:tblCellMar>
      </w:tblPr>
      <w:tr>
        <w:trPr>
          <w:trHeight w:val="129"/>
        </w:trPr>
        <w:tc>
          <w:tcPr>
            <w:tcW w:w="7720" w:type="dxa"/>
            <w:vAlign w:val="bottom"/>
            <w:gridSpan w:val="3"/>
          </w:tcPr>
          <w:p>
            <w:pPr>
              <w:spacing w:after="0" w:line="129" w:lineRule="exact"/>
              <w:rPr>
                <w:sz w:val="20"/>
                <w:szCs w:val="20"/>
                <w:color w:val="auto"/>
              </w:rPr>
            </w:pPr>
            <w:r>
              <w:rPr>
                <w:rFonts w:ascii="Arial" w:cs="Arial" w:eastAsia="Arial" w:hAnsi="Arial"/>
                <w:sz w:val="12"/>
                <w:szCs w:val="12"/>
                <w:color w:val="auto"/>
              </w:rPr>
              <w:t>“accelerated filer,” “smaller reporting company” and “emerging growth company” in Rule 12b-2 under the Securities Exchange Act of 1934:</w:t>
            </w:r>
          </w:p>
        </w:tc>
        <w:tc>
          <w:tcPr>
            <w:tcW w:w="860" w:type="dxa"/>
            <w:vAlign w:val="bottom"/>
            <w:vMerge w:val="restart"/>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360" w:type="dxa"/>
            <w:vAlign w:val="bottom"/>
          </w:tcPr>
          <w:p>
            <w:pPr>
              <w:ind w:left="880"/>
              <w:spacing w:after="0" w:line="121" w:lineRule="exact"/>
              <w:rPr>
                <w:sz w:val="20"/>
                <w:szCs w:val="20"/>
                <w:color w:val="auto"/>
              </w:rPr>
            </w:pPr>
            <w:r>
              <w:rPr>
                <w:rFonts w:ascii="MS PGothic" w:cs="MS PGothic" w:eastAsia="MS PGothic" w:hAnsi="MS PGothic"/>
                <w:sz w:val="12"/>
                <w:szCs w:val="12"/>
                <w:color w:val="auto"/>
              </w:rPr>
              <w:t>☐</w:t>
            </w:r>
          </w:p>
        </w:tc>
        <w:tc>
          <w:tcPr>
            <w:tcW w:w="3420" w:type="dxa"/>
            <w:vAlign w:val="bottom"/>
          </w:tcPr>
          <w:p>
            <w:pPr>
              <w:ind w:left="1360"/>
              <w:spacing w:after="0"/>
              <w:rPr>
                <w:sz w:val="20"/>
                <w:szCs w:val="20"/>
                <w:color w:val="auto"/>
              </w:rPr>
            </w:pPr>
            <w:r>
              <w:rPr>
                <w:rFonts w:ascii="Arial" w:cs="Arial" w:eastAsia="Arial" w:hAnsi="Arial"/>
                <w:sz w:val="12"/>
                <w:szCs w:val="12"/>
                <w:color w:val="auto"/>
              </w:rPr>
              <w:t>Accelerated filer</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20"/>
                <w:szCs w:val="20"/>
                <w:color w:val="auto"/>
              </w:rPr>
            </w:pPr>
            <w:r>
              <w:rPr>
                <w:rFonts w:ascii="Arial" w:cs="Arial" w:eastAsia="Arial" w:hAnsi="Arial"/>
                <w:sz w:val="12"/>
                <w:szCs w:val="12"/>
                <w:color w:val="auto"/>
              </w:rPr>
              <w:t>Non-accelerated filer</w:t>
            </w:r>
          </w:p>
        </w:tc>
        <w:tc>
          <w:tcPr>
            <w:tcW w:w="2360" w:type="dxa"/>
            <w:vAlign w:val="bottom"/>
          </w:tcPr>
          <w:p>
            <w:pPr>
              <w:ind w:left="880"/>
              <w:spacing w:after="0" w:line="121" w:lineRule="exact"/>
              <w:rPr>
                <w:sz w:val="20"/>
                <w:szCs w:val="20"/>
                <w:color w:val="auto"/>
              </w:rPr>
            </w:pPr>
            <w:r>
              <w:rPr>
                <w:rFonts w:ascii="MS PGothic" w:cs="MS PGothic" w:eastAsia="MS PGothic" w:hAnsi="MS PGothic"/>
                <w:sz w:val="12"/>
                <w:szCs w:val="12"/>
                <w:color w:val="auto"/>
              </w:rPr>
              <w:t>☒</w:t>
            </w:r>
          </w:p>
        </w:tc>
        <w:tc>
          <w:tcPr>
            <w:tcW w:w="3420" w:type="dxa"/>
            <w:vAlign w:val="bottom"/>
          </w:tcPr>
          <w:p>
            <w:pPr>
              <w:ind w:left="1360"/>
              <w:spacing w:after="0"/>
              <w:rPr>
                <w:sz w:val="20"/>
                <w:szCs w:val="20"/>
                <w:color w:val="auto"/>
              </w:rPr>
            </w:pPr>
            <w:r>
              <w:rPr>
                <w:rFonts w:ascii="Arial" w:cs="Arial" w:eastAsia="Arial" w:hAnsi="Arial"/>
                <w:sz w:val="12"/>
                <w:szCs w:val="12"/>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20" w:type="dxa"/>
            <w:vAlign w:val="bottom"/>
          </w:tcPr>
          <w:p>
            <w:pPr>
              <w:ind w:left="1360"/>
              <w:spacing w:after="0"/>
              <w:rPr>
                <w:sz w:val="20"/>
                <w:szCs w:val="20"/>
                <w:color w:val="auto"/>
              </w:rPr>
            </w:pPr>
            <w:r>
              <w:rPr>
                <w:rFonts w:ascii="Arial" w:cs="Arial" w:eastAsia="Arial" w:hAnsi="Arial"/>
                <w:sz w:val="12"/>
                <w:szCs w:val="12"/>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ind w:left="248"/>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7(a)</w:t>
      </w:r>
    </w:p>
    <w:p>
      <w:pPr>
        <w:spacing w:after="0" w:line="25"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(2)(B) of the Securities Act. </w:t>
      </w:r>
      <w:r>
        <w:rPr>
          <w:rFonts w:ascii="MS PGothic" w:cs="MS PGothic" w:eastAsia="MS PGothic" w:hAnsi="MS PGothic"/>
          <w:sz w:val="12"/>
          <w:szCs w:val="12"/>
          <w:color w:val="auto"/>
        </w:rPr>
        <w:t>☐</w:t>
      </w:r>
    </w:p>
    <w:p>
      <w:pPr>
        <w:spacing w:after="0" w:line="144" w:lineRule="exact"/>
        <w:rPr>
          <w:sz w:val="24"/>
          <w:szCs w:val="24"/>
          <w:color w:val="auto"/>
        </w:rPr>
      </w:pPr>
    </w:p>
    <w:p>
      <w:pPr>
        <w:ind w:left="208"/>
        <w:spacing w:after="0"/>
        <w:rPr>
          <w:sz w:val="20"/>
          <w:szCs w:val="20"/>
          <w:color w:val="auto"/>
        </w:rPr>
      </w:pPr>
      <w:r>
        <w:rPr>
          <w:rFonts w:ascii="Arial" w:cs="Arial" w:eastAsia="Arial" w:hAnsi="Arial"/>
          <w:sz w:val="12"/>
          <w:szCs w:val="12"/>
          <w:color w:val="auto"/>
        </w:rPr>
        <w:t>CALCULATION OF REGISTRATION FEE</w:t>
      </w:r>
    </w:p>
    <w:p>
      <w:pPr>
        <w:spacing w:after="0" w:line="139" w:lineRule="exact"/>
        <w:rPr>
          <w:sz w:val="24"/>
          <w:szCs w:val="24"/>
          <w:color w:val="auto"/>
        </w:rPr>
      </w:pPr>
    </w:p>
    <w:tbl>
      <w:tblPr>
        <w:tblLayout w:type="fixed"/>
        <w:tblInd w:w="8" w:type="dxa"/>
        <w:tblCellMar>
          <w:top w:w="0" w:type="dxa"/>
          <w:left w:w="0" w:type="dxa"/>
          <w:bottom w:w="0" w:type="dxa"/>
          <w:right w:w="0" w:type="dxa"/>
        </w:tblCellMar>
      </w:tblPr>
      <w:tr>
        <w:trPr>
          <w:trHeight w:val="149"/>
        </w:trPr>
        <w:tc>
          <w:tcPr>
            <w:tcW w:w="3380" w:type="dxa"/>
            <w:vAlign w:val="bottom"/>
            <w:tcBorders>
              <w:top w:val="single" w:sz="8" w:color="auto"/>
            </w:tcBorders>
          </w:tcPr>
          <w:p>
            <w:pPr>
              <w:spacing w:after="0"/>
              <w:rPr>
                <w:sz w:val="12"/>
                <w:szCs w:val="12"/>
                <w:color w:val="auto"/>
              </w:rPr>
            </w:pPr>
          </w:p>
        </w:tc>
        <w:tc>
          <w:tcPr>
            <w:tcW w:w="250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86"/>
              </w:rPr>
              <w:t>Proposed</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6"/>
              </w:rPr>
              <w:t>Proposed</w:t>
            </w: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93"/>
              </w:rPr>
              <w:t>Maximum</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7"/>
              </w:rPr>
              <w:t>Maximum</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9"/>
        </w:trPr>
        <w:tc>
          <w:tcPr>
            <w:tcW w:w="338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94"/>
              </w:rPr>
              <w:t>Offering</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7"/>
              </w:rPr>
              <w:t>Aggregate</w:t>
            </w:r>
          </w:p>
        </w:tc>
        <w:tc>
          <w:tcPr>
            <w:tcW w:w="200" w:type="dxa"/>
            <w:vAlign w:val="bottom"/>
          </w:tcPr>
          <w:p>
            <w:pPr>
              <w:spacing w:after="0"/>
              <w:rPr>
                <w:sz w:val="12"/>
                <w:szCs w:val="12"/>
                <w:color w:val="auto"/>
              </w:rPr>
            </w:pPr>
          </w:p>
        </w:tc>
        <w:tc>
          <w:tcPr>
            <w:tcW w:w="1140" w:type="dxa"/>
            <w:vAlign w:val="bottom"/>
          </w:tcPr>
          <w:p>
            <w:pPr>
              <w:jc w:val="right"/>
              <w:ind w:right="340"/>
              <w:spacing w:after="0"/>
              <w:rPr>
                <w:sz w:val="20"/>
                <w:szCs w:val="20"/>
                <w:color w:val="auto"/>
              </w:rPr>
            </w:pPr>
            <w:r>
              <w:rPr>
                <w:rFonts w:ascii="Arial" w:cs="Arial" w:eastAsia="Arial" w:hAnsi="Arial"/>
                <w:sz w:val="12"/>
                <w:szCs w:val="12"/>
                <w:b w:val="1"/>
                <w:bCs w:val="1"/>
                <w:color w:val="auto"/>
              </w:rPr>
              <w:t>Amount of</w:t>
            </w:r>
          </w:p>
        </w:tc>
      </w:tr>
      <w:tr>
        <w:trPr>
          <w:trHeight w:val="162"/>
        </w:trPr>
        <w:tc>
          <w:tcPr>
            <w:tcW w:w="5880" w:type="dxa"/>
            <w:vAlign w:val="bottom"/>
            <w:tcBorders>
              <w:bottom w:val="single" w:sz="8" w:color="auto"/>
              <w:right w:val="single" w:sz="8" w:color="auto"/>
            </w:tcBorders>
            <w:gridSpan w:val="2"/>
          </w:tcPr>
          <w:p>
            <w:pPr>
              <w:ind w:left="168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380" w:type="dxa"/>
            <w:vAlign w:val="bottom"/>
            <w:tcBorders>
              <w:bottom w:val="single" w:sz="8" w:color="auto"/>
              <w:right w:val="single" w:sz="8" w:color="auto"/>
            </w:tcBorders>
          </w:tcPr>
          <w:p>
            <w:pPr>
              <w:jc w:val="right"/>
              <w:ind w:right="161"/>
              <w:spacing w:after="0" w:line="162" w:lineRule="exact"/>
              <w:rPr>
                <w:sz w:val="20"/>
                <w:szCs w:val="20"/>
                <w:color w:val="auto"/>
              </w:rPr>
            </w:pPr>
            <w:r>
              <w:rPr>
                <w:rFonts w:ascii="Arial" w:cs="Arial" w:eastAsia="Arial" w:hAnsi="Arial"/>
                <w:sz w:val="11"/>
                <w:szCs w:val="11"/>
                <w:b w:val="1"/>
                <w:bCs w:val="1"/>
                <w:color w:val="auto"/>
              </w:rPr>
              <w:t>to be Registered</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jc w:val="center"/>
              <w:ind w:right="161"/>
              <w:spacing w:after="0"/>
              <w:rPr>
                <w:sz w:val="20"/>
                <w:szCs w:val="20"/>
                <w:color w:val="auto"/>
              </w:rPr>
            </w:pPr>
            <w:r>
              <w:rPr>
                <w:rFonts w:ascii="Arial" w:cs="Arial" w:eastAsia="Arial" w:hAnsi="Arial"/>
                <w:sz w:val="12"/>
                <w:szCs w:val="12"/>
                <w:b w:val="1"/>
                <w:bCs w:val="1"/>
                <w:color w:val="auto"/>
                <w:w w:val="90"/>
              </w:rPr>
              <w:t>Price Per Share</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3"/>
              </w:rPr>
              <w:t>Offering Price</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1"/>
              </w:rPr>
              <w:t>Registration Fee</w:t>
            </w:r>
          </w:p>
        </w:tc>
      </w:tr>
      <w:tr>
        <w:trPr>
          <w:trHeight w:val="142"/>
        </w:trPr>
        <w:tc>
          <w:tcPr>
            <w:tcW w:w="588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Class A Common Stock, $0.0001 par value per share</w:t>
            </w:r>
          </w:p>
        </w:tc>
        <w:tc>
          <w:tcPr>
            <w:tcW w:w="1380" w:type="dxa"/>
            <w:vAlign w:val="bottom"/>
            <w:tcBorders>
              <w:right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1,938,798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shd w:val="clear" w:color="auto" w:fill="CCEEFF"/>
          </w:tcPr>
          <w:p>
            <w:pPr>
              <w:jc w:val="right"/>
              <w:ind w:right="61"/>
              <w:spacing w:after="0" w:line="142" w:lineRule="exact"/>
              <w:rPr>
                <w:sz w:val="20"/>
                <w:szCs w:val="20"/>
                <w:color w:val="auto"/>
              </w:rPr>
            </w:pPr>
            <w:r>
              <w:rPr>
                <w:rFonts w:ascii="Arial" w:cs="Arial" w:eastAsia="Arial" w:hAnsi="Arial"/>
                <w:sz w:val="10"/>
                <w:szCs w:val="10"/>
                <w:color w:val="auto"/>
              </w:rPr>
              <w:t>7.05</w:t>
            </w:r>
            <w:r>
              <w:rPr>
                <w:rFonts w:ascii="Arial" w:cs="Arial" w:eastAsia="Arial" w:hAnsi="Arial"/>
                <w:sz w:val="16"/>
                <w:szCs w:val="16"/>
                <w:color w:val="auto"/>
                <w:vertAlign w:val="superscript"/>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13,668,526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1,268</w:t>
            </w:r>
          </w:p>
        </w:tc>
      </w:tr>
      <w:tr>
        <w:trPr>
          <w:trHeight w:val="144"/>
        </w:trPr>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1,938,798</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2"/>
                <w:szCs w:val="12"/>
                <w:color w:val="auto"/>
              </w:rPr>
              <w:t>13,668,526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1,268</w:t>
            </w:r>
          </w:p>
        </w:tc>
      </w:tr>
      <w:tr>
        <w:trPr>
          <w:trHeight w:val="142"/>
        </w:trPr>
        <w:tc>
          <w:tcPr>
            <w:tcW w:w="3380" w:type="dxa"/>
            <w:vAlign w:val="bottom"/>
            <w:tcBorders>
              <w:bottom w:val="single" w:sz="8" w:color="auto"/>
            </w:tcBorders>
          </w:tcPr>
          <w:p>
            <w:pPr>
              <w:spacing w:after="0"/>
              <w:rPr>
                <w:sz w:val="12"/>
                <w:szCs w:val="12"/>
                <w:color w:val="auto"/>
              </w:rPr>
            </w:pPr>
          </w:p>
        </w:tc>
        <w:tc>
          <w:tcPr>
            <w:tcW w:w="2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135" w:lineRule="exact"/>
        <w:rPr>
          <w:sz w:val="24"/>
          <w:szCs w:val="24"/>
          <w:color w:val="auto"/>
        </w:rPr>
      </w:pPr>
    </w:p>
    <w:p>
      <w:pPr>
        <w:ind w:left="208" w:hanging="208"/>
        <w:spacing w:after="0"/>
        <w:tabs>
          <w:tab w:leader="none" w:pos="208" w:val="left"/>
        </w:tabs>
        <w:numPr>
          <w:ilvl w:val="0"/>
          <w:numId w:val="2"/>
        </w:numPr>
        <w:rPr>
          <w:rFonts w:ascii="Arial" w:cs="Arial" w:eastAsia="Arial" w:hAnsi="Arial"/>
          <w:sz w:val="11"/>
          <w:szCs w:val="11"/>
          <w:color w:val="auto"/>
        </w:rPr>
      </w:pPr>
      <w:r>
        <w:rPr>
          <w:rFonts w:ascii="Arial" w:cs="Arial" w:eastAsia="Arial" w:hAnsi="Arial"/>
          <w:sz w:val="11"/>
          <w:szCs w:val="11"/>
          <w:color w:val="auto"/>
        </w:rPr>
        <w:t>Pursuant to Rule 416(a), there are also being registered an indeterminable number of additional securities as may be issued to prevent dilution resulting from share splits, share dividends or similar transactions.</w:t>
      </w:r>
    </w:p>
    <w:p>
      <w:pPr>
        <w:spacing w:after="0" w:line="161" w:lineRule="exact"/>
        <w:rPr>
          <w:rFonts w:ascii="Arial" w:cs="Arial" w:eastAsia="Arial" w:hAnsi="Arial"/>
          <w:sz w:val="11"/>
          <w:szCs w:val="11"/>
          <w:color w:val="auto"/>
        </w:rPr>
      </w:pPr>
    </w:p>
    <w:p>
      <w:pPr>
        <w:ind w:left="208" w:right="60" w:hanging="208"/>
        <w:spacing w:after="0" w:line="276" w:lineRule="auto"/>
        <w:tabs>
          <w:tab w:leader="none" w:pos="208" w:val="left"/>
        </w:tabs>
        <w:numPr>
          <w:ilvl w:val="0"/>
          <w:numId w:val="2"/>
        </w:numPr>
        <w:rPr>
          <w:rFonts w:ascii="Arial" w:cs="Arial" w:eastAsia="Arial" w:hAnsi="Arial"/>
          <w:sz w:val="12"/>
          <w:szCs w:val="12"/>
          <w:color w:val="auto"/>
        </w:rPr>
      </w:pPr>
      <w:r>
        <w:rPr>
          <w:rFonts w:ascii="Arial" w:cs="Arial" w:eastAsia="Arial" w:hAnsi="Arial"/>
          <w:sz w:val="12"/>
          <w:szCs w:val="12"/>
          <w:color w:val="auto"/>
        </w:rPr>
        <w:t>Pursuant to Rule 457(c) under the Securities Act, and solely for the purpose of calculating the registration fee, the proposed maximum offering price per share is $7.05, which is the average of the high and low prices of the Class A Common Stock on November 30, 2021 on The Nasdaq Global Select Market.</w:t>
      </w:r>
    </w:p>
    <w:p>
      <w:pPr>
        <w:spacing w:after="0" w:line="115" w:lineRule="exact"/>
        <w:rPr>
          <w:sz w:val="24"/>
          <w:szCs w:val="24"/>
          <w:color w:val="auto"/>
        </w:rPr>
      </w:pPr>
    </w:p>
    <w:p>
      <w:pPr>
        <w:jc w:val="both"/>
        <w:ind w:left="8" w:firstLine="240"/>
        <w:spacing w:after="0" w:line="263" w:lineRule="auto"/>
        <w:rPr>
          <w:sz w:val="20"/>
          <w:szCs w:val="20"/>
          <w:color w:val="auto"/>
        </w:rPr>
      </w:pPr>
      <w:r>
        <w:rPr>
          <w:rFonts w:ascii="Arial" w:cs="Arial" w:eastAsia="Arial" w:hAnsi="Arial"/>
          <w:sz w:val="12"/>
          <w:szCs w:val="12"/>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780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97" w:right="299" w:bottom="1440" w:gutter="0" w:footer="0" w:header="0"/>
        </w:sectPr>
      </w:pPr>
    </w:p>
    <w:bookmarkStart w:id="1" w:name="page2"/>
    <w:bookmarkEnd w:id="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tabs>
          <w:tab w:leader="none" w:pos="8200" w:val="left"/>
        </w:tabs>
        <w:rPr>
          <w:sz w:val="20"/>
          <w:szCs w:val="20"/>
          <w:color w:val="auto"/>
        </w:rPr>
      </w:pPr>
      <w:r>
        <w:rPr>
          <w:rFonts w:ascii="Arial" w:cs="Arial" w:eastAsia="Arial" w:hAnsi="Arial"/>
          <w:sz w:val="12"/>
          <w:szCs w:val="12"/>
          <w:color w:val="FC0014"/>
        </w:rPr>
        <w:t>PRELIMINARY PROSPECTUS</w:t>
      </w:r>
      <w:r>
        <w:rPr>
          <w:sz w:val="20"/>
          <w:szCs w:val="20"/>
          <w:color w:val="auto"/>
        </w:rPr>
        <w:tab/>
      </w:r>
      <w:r>
        <w:rPr>
          <w:rFonts w:ascii="Arial" w:cs="Arial" w:eastAsia="Arial" w:hAnsi="Arial"/>
          <w:sz w:val="11"/>
          <w:szCs w:val="11"/>
          <w:color w:val="FC0014"/>
        </w:rPr>
        <w:t>SUBJECT TO COMPLETION—DATED DECEMBER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3810</wp:posOffset>
            </wp:positionV>
            <wp:extent cx="1754505" cy="525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4505"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Up to 1,938,798 Shares of Class A Common Stock</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Offered by the Selling Securityholders</w:t>
      </w:r>
    </w:p>
    <w:p>
      <w:pPr>
        <w:spacing w:after="0" w:line="15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2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Class A Common Stock is listed on The Nasdaq Global Select Market (“Nasdaq”) under the symbol “MAPS.” On December 1, 2021, the closing price of our Class A Common Stock was $6.77.</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the section entitled “Risk Factors” beginning on page 5 of this prospectus to read about factors you should consider before buying our securities.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20" w:type="dxa"/>
            <w:vAlign w:val="bottom"/>
          </w:tcPr>
          <w:p>
            <w:pPr>
              <w:ind w:left="4280"/>
              <w:spacing w:after="0"/>
              <w:rPr>
                <w:sz w:val="20"/>
                <w:szCs w:val="20"/>
                <w:color w:val="auto"/>
              </w:rPr>
            </w:pPr>
            <w:r>
              <w:rPr>
                <w:rFonts w:ascii="Arial" w:cs="Arial" w:eastAsia="Arial" w:hAnsi="Arial"/>
                <w:sz w:val="12"/>
                <w:szCs w:val="12"/>
                <w:b w:val="1"/>
                <w:bCs w:val="1"/>
                <w:color w:val="auto"/>
              </w:rPr>
              <w:t>The date of this prospectus is</w:t>
            </w:r>
          </w:p>
        </w:tc>
        <w:tc>
          <w:tcPr>
            <w:tcW w:w="5080" w:type="dxa"/>
            <w:vAlign w:val="bottom"/>
          </w:tcPr>
          <w:p>
            <w:pPr>
              <w:jc w:val="right"/>
              <w:ind w:right="4240"/>
              <w:spacing w:after="0"/>
              <w:rPr>
                <w:sz w:val="20"/>
                <w:szCs w:val="20"/>
                <w:color w:val="auto"/>
              </w:rPr>
            </w:pPr>
            <w:r>
              <w:rPr>
                <w:rFonts w:ascii="Arial" w:cs="Arial" w:eastAsia="Arial" w:hAnsi="Arial"/>
                <w:sz w:val="12"/>
                <w:szCs w:val="12"/>
                <w:b w:val="1"/>
                <w:bCs w:val="1"/>
                <w:color w:val="auto"/>
              </w:rPr>
              <w:t>, 2021.</w:t>
            </w:r>
          </w:p>
        </w:tc>
      </w:tr>
      <w:tr>
        <w:trPr>
          <w:trHeight w:val="270"/>
        </w:trPr>
        <w:tc>
          <w:tcPr>
            <w:tcW w:w="622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128" w:right="2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gridSpan w:val="21"/>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60" w:type="dxa"/>
            <w:vAlign w:val="bottom"/>
            <w:gridSpan w:val="2"/>
          </w:tcPr>
          <w:p>
            <w:pPr>
              <w:ind w:left="1000"/>
              <w:spacing w:after="0"/>
              <w:rPr>
                <w:sz w:val="20"/>
                <w:szCs w:val="20"/>
                <w:color w:val="auto"/>
              </w:rPr>
            </w:pPr>
            <w:r>
              <w:rPr>
                <w:rFonts w:ascii="Arial" w:cs="Arial" w:eastAsia="Arial" w:hAnsi="Arial"/>
                <w:sz w:val="12"/>
                <w:szCs w:val="12"/>
                <w:b w:val="1"/>
                <w:bCs w:val="1"/>
                <w:color w:val="auto"/>
              </w:rPr>
              <w:t>TABLE OF CONTENTS</w:t>
            </w:r>
          </w:p>
        </w:tc>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24"/>
        </w:trPr>
        <w:tc>
          <w:tcPr>
            <w:tcW w:w="14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92"/>
              </w:rPr>
            </w:pPr>
            <w:hyperlink w:anchor="page4">
              <w:r>
                <w:rPr>
                  <w:rFonts w:ascii="Arial" w:cs="Arial" w:eastAsia="Arial" w:hAnsi="Arial"/>
                  <w:sz w:val="12"/>
                  <w:szCs w:val="12"/>
                  <w:color w:val="0000EE"/>
                  <w:w w:val="92"/>
                </w:rPr>
                <w:t>ABOUT THIS PROSPECTUS</w:t>
              </w:r>
            </w:hyperlink>
          </w:p>
        </w:tc>
        <w:tc>
          <w:tcPr>
            <w:tcW w:w="7180" w:type="dxa"/>
            <w:vAlign w:val="bottom"/>
            <w:tcBorders>
              <w:bottom w:val="single" w:sz="8" w:color="CCEEFF"/>
            </w:tcBorders>
            <w:gridSpan w:val="12"/>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60" w:type="dxa"/>
            <w:vAlign w:val="bottom"/>
            <w:gridSpan w:val="21"/>
          </w:tcPr>
          <w:p>
            <w:pPr>
              <w:spacing w:after="0" w:line="117" w:lineRule="exact"/>
              <w:rPr>
                <w:rFonts w:ascii="Arial" w:cs="Arial" w:eastAsia="Arial" w:hAnsi="Arial"/>
                <w:sz w:val="12"/>
                <w:szCs w:val="12"/>
                <w:color w:val="0000EE"/>
              </w:rPr>
            </w:pPr>
            <w:hyperlink w:anchor="page5">
              <w:r>
                <w:rPr>
                  <w:rFonts w:ascii="Arial" w:cs="Arial" w:eastAsia="Arial" w:hAnsi="Arial"/>
                  <w:sz w:val="12"/>
                  <w:szCs w:val="12"/>
                  <w:color w:val="0000EE"/>
                </w:rPr>
                <w:t>CAUTIONARY NOTE REGARDING FORWARD-LOOKING STATEMENTS</w:t>
              </w:r>
            </w:hyperlink>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40" w:type="dxa"/>
            <w:vAlign w:val="bottom"/>
            <w:tcBorders>
              <w:top w:val="single" w:sz="8" w:color="0000EE"/>
            </w:tcBorders>
            <w:gridSpan w:val="18"/>
            <w:shd w:val="clear" w:color="auto" w:fill="CCEEFF"/>
          </w:tcPr>
          <w:p>
            <w:pPr>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PROSPECTUS SUMMARY</w:t>
              </w:r>
            </w:hyperlink>
          </w:p>
        </w:tc>
        <w:tc>
          <w:tcPr>
            <w:tcW w:w="4820" w:type="dxa"/>
            <w:vAlign w:val="bottom"/>
            <w:gridSpan w:val="3"/>
            <w:shd w:val="clear" w:color="auto" w:fill="CCEEFF"/>
          </w:tcPr>
          <w:p>
            <w:pPr>
              <w:spacing w:after="0"/>
              <w:rPr>
                <w:sz w:val="10"/>
                <w:szCs w:val="10"/>
                <w:color w:val="auto"/>
              </w:rPr>
            </w:pPr>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80" w:type="dxa"/>
            <w:vAlign w:val="bottom"/>
            <w:tcBorders>
              <w:top w:val="single" w:sz="8" w:color="0000EE"/>
            </w:tcBorders>
            <w:gridSpan w:val="8"/>
          </w:tcPr>
          <w:p>
            <w:pPr>
              <w:spacing w:after="0" w:line="117" w:lineRule="exact"/>
              <w:rPr>
                <w:rFonts w:ascii="Arial" w:cs="Arial" w:eastAsia="Arial" w:hAnsi="Arial"/>
                <w:sz w:val="12"/>
                <w:szCs w:val="12"/>
                <w:color w:val="0000EE"/>
              </w:rPr>
            </w:pPr>
            <w:hyperlink w:anchor="page10">
              <w:r>
                <w:rPr>
                  <w:rFonts w:ascii="Arial" w:cs="Arial" w:eastAsia="Arial" w:hAnsi="Arial"/>
                  <w:sz w:val="12"/>
                  <w:szCs w:val="12"/>
                  <w:color w:val="0000EE"/>
                </w:rPr>
                <w:t>THE OFFERING</w:t>
              </w:r>
            </w:hyperlink>
          </w:p>
        </w:tc>
        <w:tc>
          <w:tcPr>
            <w:tcW w:w="7280" w:type="dxa"/>
            <w:vAlign w:val="bottom"/>
            <w:tcBorders>
              <w:top w:val="single" w:sz="8" w:color="CCEEFF"/>
            </w:tcBorders>
            <w:gridSpan w:val="13"/>
          </w:tcPr>
          <w:p>
            <w:pPr>
              <w:spacing w:after="0"/>
              <w:rPr>
                <w:sz w:val="10"/>
                <w:szCs w:val="10"/>
                <w:color w:val="auto"/>
              </w:rPr>
            </w:pPr>
          </w:p>
        </w:tc>
        <w:tc>
          <w:tcPr>
            <w:tcW w:w="2640" w:type="dxa"/>
            <w:vAlign w:val="bottom"/>
            <w:tcBorders>
              <w:top w:val="single" w:sz="8" w:color="CCEEFF"/>
            </w:tcBorders>
          </w:tcPr>
          <w:p>
            <w:pPr>
              <w:jc w:val="right"/>
              <w:spacing w:after="0" w:line="117" w:lineRule="exact"/>
              <w:rPr>
                <w:sz w:val="20"/>
                <w:szCs w:val="20"/>
                <w:color w:val="auto"/>
              </w:rPr>
            </w:pPr>
            <w:r>
              <w:rPr>
                <w:rFonts w:ascii="Arial" w:cs="Arial" w:eastAsia="Arial" w:hAnsi="Arial"/>
                <w:sz w:val="12"/>
                <w:szCs w:val="12"/>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Borders>
              <w:top w:val="single" w:sz="8" w:color="0000EE"/>
              <w:right w:val="single" w:sz="8" w:color="CCEEFF"/>
            </w:tcBorders>
            <w:gridSpan w:val="3"/>
            <w:shd w:val="clear" w:color="auto" w:fill="CCEEFF"/>
          </w:tcPr>
          <w:p>
            <w:pPr>
              <w:spacing w:after="0" w:line="117" w:lineRule="exact"/>
              <w:rPr>
                <w:rFonts w:ascii="Arial" w:cs="Arial" w:eastAsia="Arial" w:hAnsi="Arial"/>
                <w:sz w:val="12"/>
                <w:szCs w:val="12"/>
                <w:color w:val="0000EE"/>
                <w:w w:val="92"/>
              </w:rPr>
            </w:pPr>
            <w:hyperlink w:anchor="page11">
              <w:r>
                <w:rPr>
                  <w:rFonts w:ascii="Arial" w:cs="Arial" w:eastAsia="Arial" w:hAnsi="Arial"/>
                  <w:sz w:val="12"/>
                  <w:szCs w:val="12"/>
                  <w:color w:val="0000EE"/>
                  <w:w w:val="92"/>
                </w:rPr>
                <w:t>RISK FACTORS</w:t>
              </w:r>
            </w:hyperlink>
          </w:p>
        </w:tc>
        <w:tc>
          <w:tcPr>
            <w:tcW w:w="7800" w:type="dxa"/>
            <w:vAlign w:val="bottom"/>
            <w:gridSpan w:val="18"/>
            <w:shd w:val="clear" w:color="auto" w:fill="CCEEFF"/>
          </w:tcPr>
          <w:p>
            <w:pPr>
              <w:spacing w:after="0"/>
              <w:rPr>
                <w:sz w:val="10"/>
                <w:szCs w:val="10"/>
                <w:color w:val="auto"/>
              </w:rPr>
            </w:pPr>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660" w:type="dxa"/>
            <w:vAlign w:val="bottom"/>
            <w:gridSpan w:val="21"/>
          </w:tcPr>
          <w:p>
            <w:pPr>
              <w:spacing w:after="0" w:line="117" w:lineRule="exact"/>
              <w:rPr>
                <w:rFonts w:ascii="Arial" w:cs="Arial" w:eastAsia="Arial" w:hAnsi="Arial"/>
                <w:sz w:val="12"/>
                <w:szCs w:val="12"/>
                <w:color w:val="0000EE"/>
              </w:rPr>
            </w:pPr>
            <w:hyperlink w:anchor="page48">
              <w:r>
                <w:rPr>
                  <w:rFonts w:ascii="Arial" w:cs="Arial" w:eastAsia="Arial" w:hAnsi="Arial"/>
                  <w:sz w:val="12"/>
                  <w:szCs w:val="12"/>
                  <w:color w:val="0000EE"/>
                </w:rPr>
                <w:t>USE OF PROCEEDS</w:t>
              </w:r>
            </w:hyperlink>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42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660" w:type="dxa"/>
            <w:vAlign w:val="bottom"/>
            <w:gridSpan w:val="21"/>
            <w:shd w:val="clear" w:color="auto" w:fill="CCEEFF"/>
          </w:tcPr>
          <w:p>
            <w:pPr>
              <w:spacing w:after="0" w:line="117" w:lineRule="exact"/>
              <w:rPr>
                <w:rFonts w:ascii="Arial" w:cs="Arial" w:eastAsia="Arial" w:hAnsi="Arial"/>
                <w:sz w:val="12"/>
                <w:szCs w:val="12"/>
                <w:color w:val="0000EE"/>
              </w:rPr>
            </w:pPr>
            <w:hyperlink w:anchor="page49">
              <w:r>
                <w:rPr>
                  <w:rFonts w:ascii="Arial" w:cs="Arial" w:eastAsia="Arial" w:hAnsi="Arial"/>
                  <w:sz w:val="12"/>
                  <w:szCs w:val="12"/>
                  <w:color w:val="0000EE"/>
                </w:rPr>
                <w:t>DETERMINATION OF OFFERING PRICE</w:t>
              </w:r>
            </w:hyperlink>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43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4000" w:type="dxa"/>
            <w:vAlign w:val="bottom"/>
            <w:tcBorders>
              <w:bottom w:val="single" w:sz="8" w:color="0000EE"/>
            </w:tcBorders>
            <w:gridSpan w:val="19"/>
          </w:tcPr>
          <w:p>
            <w:pPr>
              <w:spacing w:after="0" w:line="117" w:lineRule="exact"/>
              <w:rPr>
                <w:rFonts w:ascii="Arial" w:cs="Arial" w:eastAsia="Arial" w:hAnsi="Arial"/>
                <w:sz w:val="12"/>
                <w:szCs w:val="12"/>
                <w:color w:val="0000EE"/>
                <w:w w:val="97"/>
              </w:rPr>
            </w:pPr>
            <w:hyperlink w:anchor="page50">
              <w:r>
                <w:rPr>
                  <w:rFonts w:ascii="Arial" w:cs="Arial" w:eastAsia="Arial" w:hAnsi="Arial"/>
                  <w:sz w:val="12"/>
                  <w:szCs w:val="12"/>
                  <w:color w:val="0000EE"/>
                  <w:w w:val="97"/>
                </w:rPr>
                <w:t>MARKET INFORMATION FOR COMMON STOCK AND DIVIDEND POLICY</w:t>
              </w:r>
            </w:hyperlink>
          </w:p>
        </w:tc>
        <w:tc>
          <w:tcPr>
            <w:tcW w:w="4660" w:type="dxa"/>
            <w:vAlign w:val="bottom"/>
            <w:gridSpan w:val="2"/>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44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340" w:type="dxa"/>
            <w:vAlign w:val="bottom"/>
            <w:tcBorders>
              <w:bottom w:val="single" w:sz="8" w:color="0000EE"/>
            </w:tcBorders>
            <w:gridSpan w:val="16"/>
            <w:shd w:val="clear" w:color="auto" w:fill="CCEEFF"/>
          </w:tcPr>
          <w:p>
            <w:pPr>
              <w:spacing w:after="0" w:line="117" w:lineRule="exact"/>
              <w:rPr>
                <w:rFonts w:ascii="Arial" w:cs="Arial" w:eastAsia="Arial" w:hAnsi="Arial"/>
                <w:sz w:val="12"/>
                <w:szCs w:val="12"/>
                <w:color w:val="0000EE"/>
                <w:w w:val="96"/>
              </w:rPr>
            </w:pPr>
            <w:hyperlink w:anchor="page51">
              <w:r>
                <w:rPr>
                  <w:rFonts w:ascii="Arial" w:cs="Arial" w:eastAsia="Arial" w:hAnsi="Arial"/>
                  <w:sz w:val="12"/>
                  <w:szCs w:val="12"/>
                  <w:color w:val="0000EE"/>
                  <w:w w:val="96"/>
                </w:rPr>
                <w:t>SELECTED HISTORICAL FINANCIAL AND OPERATING DATA</w:t>
              </w:r>
            </w:hyperlink>
          </w:p>
        </w:tc>
        <w:tc>
          <w:tcPr>
            <w:tcW w:w="5320" w:type="dxa"/>
            <w:vAlign w:val="bottom"/>
            <w:tcBorders>
              <w:bottom w:val="single" w:sz="8" w:color="CCEEFF"/>
            </w:tcBorders>
            <w:gridSpan w:val="5"/>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40" w:type="dxa"/>
            <w:vAlign w:val="bottom"/>
            <w:tcBorders>
              <w:bottom w:val="single" w:sz="8" w:color="0000EE"/>
            </w:tcBorders>
            <w:gridSpan w:val="20"/>
          </w:tcPr>
          <w:p>
            <w:pPr>
              <w:spacing w:after="0" w:line="117" w:lineRule="exact"/>
              <w:rPr>
                <w:rFonts w:ascii="Arial" w:cs="Arial" w:eastAsia="Arial" w:hAnsi="Arial"/>
                <w:sz w:val="12"/>
                <w:szCs w:val="12"/>
                <w:color w:val="0000EE"/>
                <w:w w:val="96"/>
              </w:rPr>
            </w:pPr>
            <w:hyperlink w:anchor="page53">
              <w:r>
                <w:rPr>
                  <w:rFonts w:ascii="Arial" w:cs="Arial" w:eastAsia="Arial" w:hAnsi="Arial"/>
                  <w:sz w:val="12"/>
                  <w:szCs w:val="12"/>
                  <w:color w:val="0000EE"/>
                  <w:w w:val="96"/>
                </w:rPr>
                <w:t>MANAGEMENT’S DISCUSSION AND ANALYSIS OF FINANCIAL CONDITION AND RESULTS OF OPERATIONS</w:t>
              </w:r>
            </w:hyperlink>
          </w:p>
        </w:tc>
        <w:tc>
          <w:tcPr>
            <w:tcW w:w="2720" w:type="dxa"/>
            <w:vAlign w:val="bottom"/>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60" w:type="dxa"/>
            <w:vAlign w:val="bottom"/>
            <w:tcBorders>
              <w:bottom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85"/>
              </w:rPr>
            </w:pPr>
            <w:hyperlink w:anchor="page81">
              <w:r>
                <w:rPr>
                  <w:rFonts w:ascii="Arial" w:cs="Arial" w:eastAsia="Arial" w:hAnsi="Arial"/>
                  <w:sz w:val="12"/>
                  <w:szCs w:val="12"/>
                  <w:color w:val="0000EE"/>
                  <w:w w:val="85"/>
                </w:rPr>
                <w:t>BUSINESS</w:t>
              </w:r>
            </w:hyperlink>
          </w:p>
        </w:tc>
        <w:tc>
          <w:tcPr>
            <w:tcW w:w="8100" w:type="dxa"/>
            <w:vAlign w:val="bottom"/>
            <w:tcBorders>
              <w:bottom w:val="single" w:sz="8" w:color="CCEEFF"/>
            </w:tcBorders>
            <w:gridSpan w:val="20"/>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bottom w:val="single" w:sz="8" w:color="0000EE"/>
            </w:tcBorders>
            <w:gridSpan w:val="3"/>
          </w:tcPr>
          <w:p>
            <w:pPr>
              <w:spacing w:after="0" w:line="117" w:lineRule="exact"/>
              <w:rPr>
                <w:rFonts w:ascii="Arial" w:cs="Arial" w:eastAsia="Arial" w:hAnsi="Arial"/>
                <w:sz w:val="12"/>
                <w:szCs w:val="12"/>
                <w:color w:val="0000EE"/>
                <w:w w:val="95"/>
              </w:rPr>
            </w:pPr>
            <w:hyperlink w:anchor="page96">
              <w:r>
                <w:rPr>
                  <w:rFonts w:ascii="Arial" w:cs="Arial" w:eastAsia="Arial" w:hAnsi="Arial"/>
                  <w:sz w:val="12"/>
                  <w:szCs w:val="12"/>
                  <w:color w:val="0000EE"/>
                  <w:w w:val="95"/>
                </w:rPr>
                <w:t>MANAGEMENT</w:t>
              </w:r>
            </w:hyperlink>
          </w:p>
        </w:tc>
        <w:tc>
          <w:tcPr>
            <w:tcW w:w="7800" w:type="dxa"/>
            <w:vAlign w:val="bottom"/>
            <w:gridSpan w:val="18"/>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60" w:type="dxa"/>
            <w:vAlign w:val="bottom"/>
            <w:gridSpan w:val="21"/>
            <w:shd w:val="clear" w:color="auto" w:fill="CCEEFF"/>
          </w:tcPr>
          <w:p>
            <w:pPr>
              <w:spacing w:after="0" w:line="117" w:lineRule="exact"/>
              <w:rPr>
                <w:rFonts w:ascii="Arial" w:cs="Arial" w:eastAsia="Arial" w:hAnsi="Arial"/>
                <w:sz w:val="12"/>
                <w:szCs w:val="12"/>
                <w:color w:val="0000EE"/>
              </w:rPr>
            </w:pPr>
            <w:hyperlink w:anchor="page102">
              <w:r>
                <w:rPr>
                  <w:rFonts w:ascii="Arial" w:cs="Arial" w:eastAsia="Arial" w:hAnsi="Arial"/>
                  <w:sz w:val="12"/>
                  <w:szCs w:val="12"/>
                  <w:color w:val="0000EE"/>
                </w:rPr>
                <w:t>EXECUTIVE COMPENSATION</w:t>
              </w:r>
            </w:hyperlink>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640" w:type="dxa"/>
            <w:vAlign w:val="bottom"/>
            <w:tcBorders>
              <w:bottom w:val="single" w:sz="8" w:color="0000EE"/>
            </w:tcBorders>
            <w:gridSpan w:val="17"/>
          </w:tcPr>
          <w:p>
            <w:pPr>
              <w:spacing w:after="0" w:line="117" w:lineRule="exact"/>
              <w:rPr>
                <w:rFonts w:ascii="Arial" w:cs="Arial" w:eastAsia="Arial" w:hAnsi="Arial"/>
                <w:sz w:val="12"/>
                <w:szCs w:val="12"/>
                <w:color w:val="0000EE"/>
                <w:w w:val="95"/>
              </w:rPr>
            </w:pPr>
            <w:hyperlink w:anchor="page110">
              <w:r>
                <w:rPr>
                  <w:rFonts w:ascii="Arial" w:cs="Arial" w:eastAsia="Arial" w:hAnsi="Arial"/>
                  <w:sz w:val="12"/>
                  <w:szCs w:val="12"/>
                  <w:color w:val="0000EE"/>
                  <w:w w:val="95"/>
                </w:rPr>
                <w:t>CERTAIN RELATIONSHIPS AND RELATED PARTY TRANSACTIONS</w:t>
              </w:r>
            </w:hyperlink>
          </w:p>
        </w:tc>
        <w:tc>
          <w:tcPr>
            <w:tcW w:w="5020" w:type="dxa"/>
            <w:vAlign w:val="bottom"/>
            <w:gridSpan w:val="4"/>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104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80" w:type="dxa"/>
            <w:vAlign w:val="bottom"/>
            <w:tcBorders>
              <w:bottom w:val="single" w:sz="8" w:color="0000EE"/>
            </w:tcBorders>
            <w:gridSpan w:val="11"/>
            <w:shd w:val="clear" w:color="auto" w:fill="CCEEFF"/>
          </w:tcPr>
          <w:p>
            <w:pPr>
              <w:spacing w:after="0" w:line="117" w:lineRule="exact"/>
              <w:rPr>
                <w:rFonts w:ascii="Arial" w:cs="Arial" w:eastAsia="Arial" w:hAnsi="Arial"/>
                <w:sz w:val="12"/>
                <w:szCs w:val="12"/>
                <w:color w:val="0000EE"/>
                <w:w w:val="94"/>
              </w:rPr>
            </w:pPr>
            <w:hyperlink w:anchor="page116">
              <w:r>
                <w:rPr>
                  <w:rFonts w:ascii="Arial" w:cs="Arial" w:eastAsia="Arial" w:hAnsi="Arial"/>
                  <w:sz w:val="12"/>
                  <w:szCs w:val="12"/>
                  <w:color w:val="0000EE"/>
                  <w:w w:val="94"/>
                </w:rPr>
                <w:t>PRINCIPAL SECURITYHOLDERS</w:t>
              </w:r>
            </w:hyperlink>
          </w:p>
        </w:tc>
        <w:tc>
          <w:tcPr>
            <w:tcW w:w="6880" w:type="dxa"/>
            <w:vAlign w:val="bottom"/>
            <w:tcBorders>
              <w:bottom w:val="single" w:sz="8" w:color="CCEEFF"/>
            </w:tcBorders>
            <w:gridSpan w:val="10"/>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60" w:type="dxa"/>
            <w:vAlign w:val="bottom"/>
            <w:gridSpan w:val="21"/>
          </w:tcPr>
          <w:p>
            <w:pPr>
              <w:spacing w:after="0" w:line="117" w:lineRule="exact"/>
              <w:rPr>
                <w:rFonts w:ascii="Arial" w:cs="Arial" w:eastAsia="Arial" w:hAnsi="Arial"/>
                <w:sz w:val="12"/>
                <w:szCs w:val="12"/>
                <w:color w:val="0000EE"/>
              </w:rPr>
            </w:pPr>
            <w:hyperlink w:anchor="page117">
              <w:r>
                <w:rPr>
                  <w:rFonts w:ascii="Arial" w:cs="Arial" w:eastAsia="Arial" w:hAnsi="Arial"/>
                  <w:sz w:val="12"/>
                  <w:szCs w:val="12"/>
                  <w:color w:val="0000EE"/>
                </w:rPr>
                <w:t>SELLING SECURITYHOLDERS</w:t>
              </w:r>
            </w:hyperlink>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111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660" w:type="dxa"/>
            <w:vAlign w:val="bottom"/>
            <w:gridSpan w:val="21"/>
            <w:shd w:val="clear" w:color="auto" w:fill="CCEEFF"/>
          </w:tcPr>
          <w:p>
            <w:pPr>
              <w:spacing w:after="0" w:line="117" w:lineRule="exact"/>
              <w:rPr>
                <w:rFonts w:ascii="Arial" w:cs="Arial" w:eastAsia="Arial" w:hAnsi="Arial"/>
                <w:sz w:val="12"/>
                <w:szCs w:val="12"/>
                <w:color w:val="0000EE"/>
              </w:rPr>
            </w:pPr>
            <w:hyperlink w:anchor="page119">
              <w:r>
                <w:rPr>
                  <w:rFonts w:ascii="Arial" w:cs="Arial" w:eastAsia="Arial" w:hAnsi="Arial"/>
                  <w:sz w:val="12"/>
                  <w:szCs w:val="12"/>
                  <w:color w:val="0000EE"/>
                </w:rPr>
                <w:t>DESCRIPTION OF SECURITIES</w:t>
              </w:r>
            </w:hyperlink>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113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840" w:type="dxa"/>
            <w:vAlign w:val="bottom"/>
            <w:tcBorders>
              <w:bottom w:val="single" w:sz="8" w:color="0000EE"/>
            </w:tcBorders>
            <w:gridSpan w:val="18"/>
          </w:tcPr>
          <w:p>
            <w:pPr>
              <w:spacing w:after="0" w:line="117" w:lineRule="exact"/>
              <w:rPr>
                <w:rFonts w:ascii="Arial" w:cs="Arial" w:eastAsia="Arial" w:hAnsi="Arial"/>
                <w:sz w:val="12"/>
                <w:szCs w:val="12"/>
                <w:color w:val="0000EE"/>
                <w:w w:val="95"/>
              </w:rPr>
            </w:pPr>
            <w:hyperlink w:anchor="page128">
              <w:r>
                <w:rPr>
                  <w:rFonts w:ascii="Arial" w:cs="Arial" w:eastAsia="Arial" w:hAnsi="Arial"/>
                  <w:sz w:val="12"/>
                  <w:szCs w:val="12"/>
                  <w:color w:val="0000EE"/>
                  <w:w w:val="95"/>
                </w:rPr>
                <w:t>MATERIAL UNITED STATES FEDERAL INCOME TAX CONSEQUENCES</w:t>
              </w:r>
            </w:hyperlink>
          </w:p>
        </w:tc>
        <w:tc>
          <w:tcPr>
            <w:tcW w:w="4820" w:type="dxa"/>
            <w:vAlign w:val="bottom"/>
            <w:gridSpan w:val="3"/>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122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6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96"/>
              </w:rPr>
            </w:pPr>
            <w:hyperlink w:anchor="page132">
              <w:r>
                <w:rPr>
                  <w:rFonts w:ascii="Arial" w:cs="Arial" w:eastAsia="Arial" w:hAnsi="Arial"/>
                  <w:sz w:val="12"/>
                  <w:szCs w:val="12"/>
                  <w:color w:val="0000EE"/>
                  <w:w w:val="96"/>
                </w:rPr>
                <w:t>PLAN OF DISTRIBUTION</w:t>
              </w:r>
            </w:hyperlink>
          </w:p>
        </w:tc>
        <w:tc>
          <w:tcPr>
            <w:tcW w:w="7300" w:type="dxa"/>
            <w:vAlign w:val="bottom"/>
            <w:tcBorders>
              <w:bottom w:val="single" w:sz="8" w:color="CCEEFF"/>
            </w:tcBorders>
            <w:gridSpan w:val="14"/>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60" w:type="dxa"/>
            <w:vAlign w:val="bottom"/>
            <w:gridSpan w:val="21"/>
          </w:tcPr>
          <w:p>
            <w:pPr>
              <w:spacing w:after="0" w:line="117" w:lineRule="exact"/>
              <w:rPr>
                <w:rFonts w:ascii="Arial" w:cs="Arial" w:eastAsia="Arial" w:hAnsi="Arial"/>
                <w:sz w:val="12"/>
                <w:szCs w:val="12"/>
                <w:color w:val="0000EE"/>
              </w:rPr>
            </w:pPr>
            <w:hyperlink w:anchor="page134">
              <w:r>
                <w:rPr>
                  <w:rFonts w:ascii="Arial" w:cs="Arial" w:eastAsia="Arial" w:hAnsi="Arial"/>
                  <w:sz w:val="12"/>
                  <w:szCs w:val="12"/>
                  <w:color w:val="0000EE"/>
                </w:rPr>
                <w:t>LEGAL MATTERS</w:t>
              </w:r>
            </w:hyperlink>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128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60" w:type="dxa"/>
            <w:vAlign w:val="bottom"/>
            <w:tcBorders>
              <w:top w:val="single" w:sz="8" w:color="0000EE"/>
            </w:tcBorders>
            <w:gridSpan w:val="4"/>
            <w:shd w:val="clear" w:color="auto" w:fill="CCEEFF"/>
          </w:tcPr>
          <w:p>
            <w:pPr>
              <w:spacing w:after="0" w:line="117" w:lineRule="exact"/>
              <w:rPr>
                <w:rFonts w:ascii="Arial" w:cs="Arial" w:eastAsia="Arial" w:hAnsi="Arial"/>
                <w:sz w:val="12"/>
                <w:szCs w:val="12"/>
                <w:color w:val="0000EE"/>
              </w:rPr>
            </w:pPr>
            <w:hyperlink w:anchor="page134">
              <w:r>
                <w:rPr>
                  <w:rFonts w:ascii="Arial" w:cs="Arial" w:eastAsia="Arial" w:hAnsi="Arial"/>
                  <w:sz w:val="12"/>
                  <w:szCs w:val="12"/>
                  <w:color w:val="0000EE"/>
                </w:rPr>
                <w:t>EXPERTS</w:t>
              </w:r>
            </w:hyperlink>
          </w:p>
        </w:tc>
        <w:tc>
          <w:tcPr>
            <w:tcW w:w="7700" w:type="dxa"/>
            <w:vAlign w:val="bottom"/>
            <w:gridSpan w:val="17"/>
            <w:shd w:val="clear" w:color="auto" w:fill="CCEEFF"/>
          </w:tcPr>
          <w:p>
            <w:pPr>
              <w:spacing w:after="0"/>
              <w:rPr>
                <w:sz w:val="10"/>
                <w:szCs w:val="10"/>
                <w:color w:val="auto"/>
              </w:rPr>
            </w:pPr>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CCEEFF"/>
            </w:tcBorders>
            <w:shd w:val="clear" w:color="auto" w:fill="0000EE"/>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540" w:type="dxa"/>
            <w:vAlign w:val="bottom"/>
            <w:tcBorders>
              <w:bottom w:val="single" w:sz="8" w:color="0000EE"/>
            </w:tcBorders>
            <w:gridSpan w:val="14"/>
          </w:tcPr>
          <w:p>
            <w:pPr>
              <w:spacing w:after="0" w:line="117" w:lineRule="exact"/>
              <w:rPr>
                <w:rFonts w:ascii="Arial" w:cs="Arial" w:eastAsia="Arial" w:hAnsi="Arial"/>
                <w:sz w:val="12"/>
                <w:szCs w:val="12"/>
                <w:color w:val="0000EE"/>
                <w:w w:val="96"/>
              </w:rPr>
            </w:pPr>
            <w:hyperlink w:anchor="page135">
              <w:r>
                <w:rPr>
                  <w:rFonts w:ascii="Arial" w:cs="Arial" w:eastAsia="Arial" w:hAnsi="Arial"/>
                  <w:sz w:val="12"/>
                  <w:szCs w:val="12"/>
                  <w:color w:val="0000EE"/>
                  <w:w w:val="96"/>
                </w:rPr>
                <w:t>WHERE YOU CAN FIND MORE INFORMATION</w:t>
              </w:r>
            </w:hyperlink>
          </w:p>
        </w:tc>
        <w:tc>
          <w:tcPr>
            <w:tcW w:w="6120" w:type="dxa"/>
            <w:vAlign w:val="bottom"/>
            <w:gridSpan w:val="7"/>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129</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20" w:type="dxa"/>
            <w:vAlign w:val="bottom"/>
            <w:tcBorders>
              <w:bottom w:val="single" w:sz="8" w:color="0000EE"/>
            </w:tcBorders>
            <w:gridSpan w:val="12"/>
            <w:shd w:val="clear" w:color="auto" w:fill="CCEEFF"/>
          </w:tcPr>
          <w:p>
            <w:pPr>
              <w:spacing w:after="0" w:line="117" w:lineRule="exact"/>
              <w:rPr>
                <w:rFonts w:ascii="Arial" w:cs="Arial" w:eastAsia="Arial" w:hAnsi="Arial"/>
                <w:sz w:val="12"/>
                <w:szCs w:val="12"/>
                <w:color w:val="0000EE"/>
                <w:w w:val="96"/>
              </w:rPr>
            </w:pPr>
            <w:hyperlink w:anchor="page136">
              <w:r>
                <w:rPr>
                  <w:rFonts w:ascii="Arial" w:cs="Arial" w:eastAsia="Arial" w:hAnsi="Arial"/>
                  <w:sz w:val="12"/>
                  <w:szCs w:val="12"/>
                  <w:color w:val="0000EE"/>
                  <w:w w:val="96"/>
                </w:rPr>
                <w:t>INDEX TO FINANCIAL STATEMENTS</w:t>
              </w:r>
            </w:hyperlink>
          </w:p>
        </w:tc>
        <w:tc>
          <w:tcPr>
            <w:tcW w:w="6640" w:type="dxa"/>
            <w:vAlign w:val="bottom"/>
            <w:tcBorders>
              <w:bottom w:val="single" w:sz="8" w:color="CCEEFF"/>
            </w:tcBorders>
            <w:gridSpan w:val="9"/>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F-1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tcBorders>
              <w:bottom w:val="single" w:sz="8" w:color="0000EE"/>
            </w:tcBorders>
            <w:gridSpan w:val="15"/>
          </w:tcPr>
          <w:p>
            <w:pPr>
              <w:spacing w:after="0" w:line="117" w:lineRule="exact"/>
              <w:rPr>
                <w:rFonts w:ascii="Arial" w:cs="Arial" w:eastAsia="Arial" w:hAnsi="Arial"/>
                <w:sz w:val="12"/>
                <w:szCs w:val="12"/>
                <w:color w:val="0000EE"/>
                <w:w w:val="95"/>
              </w:rPr>
            </w:pPr>
            <w:hyperlink w:anchor="page179">
              <w:r>
                <w:rPr>
                  <w:rFonts w:ascii="Arial" w:cs="Arial" w:eastAsia="Arial" w:hAnsi="Arial"/>
                  <w:sz w:val="12"/>
                  <w:szCs w:val="12"/>
                  <w:color w:val="0000EE"/>
                  <w:w w:val="95"/>
                </w:rPr>
                <w:t>PART II  INFORMATION NOT REQUIRED IN PROSPECTUS</w:t>
              </w:r>
            </w:hyperlink>
          </w:p>
        </w:tc>
        <w:tc>
          <w:tcPr>
            <w:tcW w:w="5500" w:type="dxa"/>
            <w:vAlign w:val="bottom"/>
            <w:gridSpan w:val="6"/>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II-1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60" w:type="dxa"/>
            <w:vAlign w:val="bottom"/>
            <w:gridSpan w:val="21"/>
            <w:shd w:val="clear" w:color="auto" w:fill="CCEEFF"/>
          </w:tcPr>
          <w:p>
            <w:pPr>
              <w:spacing w:after="0" w:line="117" w:lineRule="exact"/>
              <w:rPr>
                <w:rFonts w:ascii="Arial" w:cs="Arial" w:eastAsia="Arial" w:hAnsi="Arial"/>
                <w:sz w:val="12"/>
                <w:szCs w:val="12"/>
                <w:color w:val="0000EE"/>
              </w:rPr>
            </w:pPr>
            <w:hyperlink w:anchor="page185">
              <w:r>
                <w:rPr>
                  <w:rFonts w:ascii="Arial" w:cs="Arial" w:eastAsia="Arial" w:hAnsi="Arial"/>
                  <w:sz w:val="12"/>
                  <w:szCs w:val="12"/>
                  <w:color w:val="0000EE"/>
                </w:rPr>
                <w:t>SIGNATURES</w:t>
              </w:r>
            </w:hyperlink>
          </w:p>
        </w:tc>
        <w:tc>
          <w:tcPr>
            <w:tcW w:w="264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II-7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260" w:type="dxa"/>
            <w:vAlign w:val="bottom"/>
            <w:tcBorders>
              <w:bottom w:val="single" w:sz="8" w:color="0000EE"/>
            </w:tcBorders>
            <w:gridSpan w:val="6"/>
          </w:tcPr>
          <w:p>
            <w:pPr>
              <w:spacing w:after="0" w:line="117" w:lineRule="exact"/>
              <w:rPr>
                <w:rFonts w:ascii="Arial" w:cs="Arial" w:eastAsia="Arial" w:hAnsi="Arial"/>
                <w:sz w:val="12"/>
                <w:szCs w:val="12"/>
                <w:color w:val="0000EE"/>
                <w:w w:val="92"/>
              </w:rPr>
            </w:pPr>
            <w:hyperlink w:anchor="page185">
              <w:r>
                <w:rPr>
                  <w:rFonts w:ascii="Arial" w:cs="Arial" w:eastAsia="Arial" w:hAnsi="Arial"/>
                  <w:sz w:val="12"/>
                  <w:szCs w:val="12"/>
                  <w:color w:val="0000EE"/>
                  <w:w w:val="92"/>
                </w:rPr>
                <w:t>POWER OF ATTORNEY</w:t>
              </w:r>
            </w:hyperlink>
          </w:p>
        </w:tc>
        <w:tc>
          <w:tcPr>
            <w:tcW w:w="7400" w:type="dxa"/>
            <w:vAlign w:val="bottom"/>
            <w:gridSpan w:val="15"/>
          </w:tcPr>
          <w:p>
            <w:pPr>
              <w:spacing w:after="0"/>
              <w:rPr>
                <w:sz w:val="10"/>
                <w:szCs w:val="10"/>
                <w:color w:val="auto"/>
              </w:rPr>
            </w:pPr>
          </w:p>
        </w:tc>
        <w:tc>
          <w:tcPr>
            <w:tcW w:w="2640" w:type="dxa"/>
            <w:vAlign w:val="bottom"/>
          </w:tcPr>
          <w:p>
            <w:pPr>
              <w:jc w:val="right"/>
              <w:spacing w:after="0" w:line="117" w:lineRule="exact"/>
              <w:rPr>
                <w:sz w:val="20"/>
                <w:szCs w:val="20"/>
                <w:color w:val="auto"/>
              </w:rPr>
            </w:pPr>
            <w:r>
              <w:rPr>
                <w:rFonts w:ascii="Arial" w:cs="Arial" w:eastAsia="Arial" w:hAnsi="Arial"/>
                <w:sz w:val="12"/>
                <w:szCs w:val="12"/>
                <w:color w:val="auto"/>
              </w:rPr>
              <w:t>II-7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 w:name="page4"/>
    <w:bookmarkEnd w:id="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122"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10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 w:name="page5"/>
    <w:bookmarkEnd w:id="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Forward-looking statements in this prospectus may include, for example, statements about:</w:t>
      </w:r>
    </w:p>
    <w:p>
      <w:pPr>
        <w:spacing w:after="0" w:line="150"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financial and business performance, including key business metrics and any underlying assumptions thereunder;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market opportunity and our ability to acquire new customers and retain existing customers;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and timing related to commercial product launches;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success of our go-to-market strategy;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scale our business and expand our offerings;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competitive advantages and growth strategies;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capital requirements and sources and uses of cash;</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obtain funding for our future operations;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outcome of any known and unknown litigation and regulatory proceedings.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domestic and foreign business, market, financial, political and legal conditions;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future global, regional or local economic and market conditions affecting the cannabis industry;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development, effects and enforcement of and changes to laws and regulations, including with respect to the cannabis industry;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capitalize on new and existing cannabis markets, including our ability to successfully monetize our solutions in those markets;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manage future growth;</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 w:name="page6"/>
    <w:bookmarkEnd w:id="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effects of competition on our future business;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success in retaining or recruiting, or changes required in, officers, key employees or directors;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that we have identified a material weakness in our internal control over financial reporting which, if not corrected, could affect the reliability of our consolidated financial statements;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possibility that we may be adversely affected by other economic, business or competitive factors.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w:t>
      </w:r>
    </w:p>
    <w:p>
      <w:pPr>
        <w:spacing w:after="0" w:line="12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 w:name="page7"/>
    <w:bookmarkEnd w:id="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85025" cy="383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3830320"/>
                    </a:xfrm>
                    <a:prstGeom prst="rect">
                      <a:avLst/>
                    </a:prstGeom>
                    <a:noFill/>
                  </pic:spPr>
                </pic:pic>
              </a:graphicData>
            </a:graphic>
          </wp:anchor>
        </w:drawing>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jc w:val="both"/>
        <w:ind w:left="60" w:firstLine="216"/>
        <w:spacing w:after="0" w:line="263" w:lineRule="auto"/>
        <w:rPr>
          <w:sz w:val="20"/>
          <w:szCs w:val="20"/>
          <w:color w:val="auto"/>
        </w:rPr>
      </w:pPr>
      <w:r>
        <w:rPr>
          <w:rFonts w:ascii="Arial" w:cs="Arial" w:eastAsia="Arial" w:hAnsi="Arial"/>
          <w:sz w:val="12"/>
          <w:szCs w:val="12"/>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The Company</w:t>
      </w:r>
    </w:p>
    <w:p>
      <w:pPr>
        <w:spacing w:after="0" w:line="154" w:lineRule="exact"/>
        <w:rPr>
          <w:sz w:val="20"/>
          <w:szCs w:val="20"/>
          <w:color w:val="auto"/>
        </w:rPr>
      </w:pPr>
    </w:p>
    <w:p>
      <w:pPr>
        <w:jc w:val="both"/>
        <w:ind w:left="60" w:firstLine="216"/>
        <w:spacing w:after="0" w:line="281" w:lineRule="auto"/>
        <w:rPr>
          <w:sz w:val="20"/>
          <w:szCs w:val="20"/>
          <w:color w:val="auto"/>
        </w:rPr>
      </w:pPr>
      <w:r>
        <w:rPr>
          <w:rFonts w:ascii="Arial" w:cs="Arial" w:eastAsia="Arial" w:hAnsi="Arial"/>
          <w:sz w:val="11"/>
          <w:szCs w:val="11"/>
          <w:color w:val="auto"/>
        </w:rPr>
        <w:t>Founded in 2008, we operate a leading listings marketplace with SaaS subscription offerings sold to retailers and brands in the U.S. state-legal and Canadian cannabis markets. We help address the challenges facing both consumers seeking to understand cannabis products and businesses who serve cannabis users in a legally compliant fashion with our Weedmaps platform and WM Business SaaS solution.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reservations for pickup or delivery by participating retailers. We provide consumers with discovery channels designed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mailing address of our principal executive office is 41 Discovery, Irvine, California 92618. Our telephone number is (844) 933-3627.</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Background</w:t>
      </w:r>
    </w:p>
    <w:p>
      <w:pPr>
        <w:spacing w:after="0" w:line="154" w:lineRule="exact"/>
        <w:rPr>
          <w:sz w:val="20"/>
          <w:szCs w:val="20"/>
          <w:color w:val="auto"/>
        </w:rPr>
      </w:pPr>
    </w:p>
    <w:p>
      <w:pPr>
        <w:jc w:val="both"/>
        <w:ind w:left="60" w:firstLine="216"/>
        <w:spacing w:after="0" w:line="323" w:lineRule="auto"/>
        <w:rPr>
          <w:sz w:val="20"/>
          <w:szCs w:val="20"/>
          <w:color w:val="auto"/>
        </w:rPr>
      </w:pPr>
      <w:r>
        <w:rPr>
          <w:rFonts w:ascii="Arial" w:cs="Arial" w:eastAsia="Arial" w:hAnsi="Arial"/>
          <w:sz w:val="11"/>
          <w:szCs w:val="11"/>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92" w:lineRule="exact"/>
        <w:rPr>
          <w:sz w:val="20"/>
          <w:szCs w:val="20"/>
          <w:color w:val="auto"/>
        </w:rPr>
      </w:pPr>
    </w:p>
    <w:p>
      <w:pPr>
        <w:jc w:val="both"/>
        <w:ind w:left="60" w:firstLine="216"/>
        <w:spacing w:after="0" w:line="276" w:lineRule="auto"/>
        <w:rPr>
          <w:sz w:val="20"/>
          <w:szCs w:val="20"/>
          <w:color w:val="auto"/>
        </w:rPr>
      </w:pPr>
      <w:r>
        <w:rPr>
          <w:rFonts w:ascii="Arial" w:cs="Arial" w:eastAsia="Arial" w:hAnsi="Arial"/>
          <w:sz w:val="12"/>
          <w:szCs w:val="12"/>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Risks Associated with Our Business</w:t>
      </w:r>
    </w:p>
    <w:p>
      <w:pPr>
        <w:spacing w:after="0" w:line="154" w:lineRule="exact"/>
        <w:rPr>
          <w:sz w:val="20"/>
          <w:szCs w:val="20"/>
          <w:color w:val="auto"/>
        </w:rPr>
      </w:pPr>
    </w:p>
    <w:p>
      <w:pPr>
        <w:jc w:val="both"/>
        <w:ind w:left="60" w:firstLine="216"/>
        <w:spacing w:after="0" w:line="276" w:lineRule="auto"/>
        <w:rPr>
          <w:sz w:val="20"/>
          <w:szCs w:val="20"/>
          <w:color w:val="auto"/>
        </w:rPr>
      </w:pPr>
      <w:r>
        <w:rPr>
          <w:rFonts w:ascii="Arial" w:cs="Arial" w:eastAsia="Arial" w:hAnsi="Arial"/>
          <w:sz w:val="12"/>
          <w:szCs w:val="12"/>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115" w:lineRule="exact"/>
        <w:rPr>
          <w:sz w:val="20"/>
          <w:szCs w:val="20"/>
          <w:color w:val="auto"/>
        </w:rPr>
      </w:pPr>
    </w:p>
    <w:p>
      <w:pPr>
        <w:ind w:left="480" w:hanging="209"/>
        <w:spacing w:after="0"/>
        <w:tabs>
          <w:tab w:leader="none" w:pos="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our costs increase, we may not be able to generate sufficient revenue to maintain profitability in the future.</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we fail to retain our existing clients and consumers or to acquire new clients and consumers in a cost-effective manner, our revenue may decrease and our business may be harmed.</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fail to offer the optimal pricing of our products and solutions.</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If we fail to expand effectively into new markets, our revenue and business will be adversely affected.</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business is concentrated in California, and, as a result, our performance may be affected by factors unique to the California market.</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7" w:name="page8"/>
    <w:bookmarkEnd w:id="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85025" cy="3556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3556000"/>
                    </a:xfrm>
                    <a:prstGeom prst="rect">
                      <a:avLst/>
                    </a:prstGeom>
                    <a:noFill/>
                  </pic:spPr>
                </pic:pic>
              </a:graphicData>
            </a:graphic>
          </wp:anchor>
        </w:drawing>
      </w:r>
    </w:p>
    <w:p>
      <w:pPr>
        <w:spacing w:after="0" w:line="147" w:lineRule="exact"/>
        <w:rPr>
          <w:sz w:val="20"/>
          <w:szCs w:val="20"/>
          <w:color w:val="auto"/>
        </w:rPr>
      </w:pPr>
    </w:p>
    <w:p>
      <w:pPr>
        <w:ind w:left="480" w:hanging="209"/>
        <w:spacing w:after="0" w:line="276" w:lineRule="auto"/>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14" w:lineRule="exact"/>
        <w:rPr>
          <w:rFonts w:ascii="Arial" w:cs="Arial" w:eastAsia="Arial" w:hAnsi="Arial"/>
          <w:sz w:val="12"/>
          <w:szCs w:val="12"/>
          <w:color w:val="auto"/>
        </w:rPr>
      </w:pPr>
    </w:p>
    <w:p>
      <w:pPr>
        <w:jc w:val="both"/>
        <w:ind w:left="480" w:hanging="209"/>
        <w:spacing w:after="0" w:line="259" w:lineRule="auto"/>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24" w:lineRule="exact"/>
        <w:rPr>
          <w:rFonts w:ascii="Arial" w:cs="Arial" w:eastAsia="Arial" w:hAnsi="Arial"/>
          <w:sz w:val="12"/>
          <w:szCs w:val="12"/>
          <w:color w:val="auto"/>
        </w:rPr>
      </w:pPr>
    </w:p>
    <w:p>
      <w:pPr>
        <w:jc w:val="both"/>
        <w:ind w:left="480" w:hanging="209"/>
        <w:spacing w:after="0" w:line="298" w:lineRule="auto"/>
        <w:tabs>
          <w:tab w:leader="none" w:pos="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04" w:lineRule="exact"/>
        <w:rPr>
          <w:rFonts w:ascii="Arial" w:cs="Arial" w:eastAsia="Arial" w:hAnsi="Arial"/>
          <w:sz w:val="11"/>
          <w:szCs w:val="11"/>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business is dependent on U.S. state laws and regulations and Canadian federal and provincial laws and regulations pertaining to the cannabis industry.</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rapid changes in the cannabis industry and applicable laws and regulations make predicting and evaluating our future prospects difficult, and may increase the risk that we will not be successful.</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Because our business is dependent, in part, upon continued market acceptance of cannabis by consumers, any negative trends could adversely affect our business operations.</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Expansion of our business is dependent on the continued legalization of cannabis.</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clients and consumers using our platform fail to provide high-quality content that attracts consumers, we may not be able to generate sufficient consumer traffic to remain competitive.</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Our business is highly dependent upon our brand recognition and reputation, and the erosion or degradation of our brand recognition or reputation would likely adversely affect our business and operating results.</w:t>
      </w:r>
    </w:p>
    <w:p>
      <w:pPr>
        <w:spacing w:after="0" w:line="161" w:lineRule="exact"/>
        <w:rPr>
          <w:rFonts w:ascii="Arial" w:cs="Arial" w:eastAsia="Arial" w:hAnsi="Arial"/>
          <w:sz w:val="11"/>
          <w:szCs w:val="11"/>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currently face intense competition in the cannabis information market, and we expect competition to further intensify as the cannabis industry continues to evolve.</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we fail to manage our growth effectively, our brand, business and operating results could be harmed.</w:t>
      </w:r>
    </w:p>
    <w:p>
      <w:pPr>
        <w:spacing w:after="0" w:line="150"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we are unable to recruit, train, retain and motivate key personnel, we may not achieve our business objectives.</w:t>
      </w:r>
    </w:p>
    <w:p>
      <w:pPr>
        <w:spacing w:after="0" w:line="150" w:lineRule="exact"/>
        <w:rPr>
          <w:rFonts w:ascii="Arial" w:cs="Arial" w:eastAsia="Arial" w:hAnsi="Arial"/>
          <w:sz w:val="12"/>
          <w:szCs w:val="12"/>
          <w:color w:val="auto"/>
        </w:rPr>
      </w:pPr>
    </w:p>
    <w:p>
      <w:pPr>
        <w:ind w:left="480" w:hanging="209"/>
        <w:spacing w:after="0" w:line="276" w:lineRule="auto"/>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14" w:lineRule="exact"/>
        <w:rPr>
          <w:rFonts w:ascii="Arial" w:cs="Arial" w:eastAsia="Arial" w:hAnsi="Arial"/>
          <w:sz w:val="12"/>
          <w:szCs w:val="12"/>
          <w:color w:val="auto"/>
        </w:rPr>
      </w:pPr>
    </w:p>
    <w:p>
      <w:pPr>
        <w:ind w:left="480" w:hanging="209"/>
        <w:spacing w:after="0"/>
        <w:tabs>
          <w:tab w:leader="none" w:pos="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If our current marketing model is not effective in attracting new clients, we may need to employ higher-cost sales and marketing methods to attract and retain clients, which could adversely affect our profitability.</w:t>
      </w:r>
    </w:p>
    <w:p>
      <w:pPr>
        <w:spacing w:after="0" w:line="161" w:lineRule="exact"/>
        <w:rPr>
          <w:rFonts w:ascii="Arial" w:cs="Arial" w:eastAsia="Arial" w:hAnsi="Arial"/>
          <w:sz w:val="11"/>
          <w:szCs w:val="11"/>
          <w:color w:val="auto"/>
        </w:rPr>
      </w:pPr>
    </w:p>
    <w:p>
      <w:pPr>
        <w:ind w:left="480" w:hanging="209"/>
        <w:spacing w:after="0" w:line="276" w:lineRule="auto"/>
        <w:tabs>
          <w:tab w:leader="none" w:pos="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8" w:name="page9"/>
    <w:bookmarkEnd w:id="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85025" cy="2824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025" cy="2824480"/>
                    </a:xfrm>
                    <a:prstGeom prst="rect">
                      <a:avLst/>
                    </a:prstGeom>
                    <a:noFill/>
                  </pic:spPr>
                </pic:pic>
              </a:graphicData>
            </a:graphic>
          </wp:anchor>
        </w:drawing>
      </w:r>
    </w:p>
    <w:p>
      <w:pPr>
        <w:spacing w:after="0" w:line="147" w:lineRule="exact"/>
        <w:rPr>
          <w:sz w:val="20"/>
          <w:szCs w:val="20"/>
          <w:color w:val="auto"/>
        </w:rPr>
      </w:pPr>
    </w:p>
    <w:p>
      <w:pPr>
        <w:ind w:left="480" w:hanging="209"/>
        <w:spacing w:after="0" w:line="276" w:lineRule="auto"/>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14" w:lineRule="exact"/>
        <w:rPr>
          <w:rFonts w:ascii="Arial" w:cs="Arial" w:eastAsia="Arial" w:hAnsi="Arial"/>
          <w:sz w:val="12"/>
          <w:szCs w:val="12"/>
          <w:color w:val="auto"/>
        </w:rPr>
      </w:pPr>
    </w:p>
    <w:p>
      <w:pPr>
        <w:ind w:left="480" w:hanging="209"/>
        <w:spacing w:after="0"/>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payment system and the payment systems of our clients depend on third-party providers and are subject to evolving laws and regulations.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Corporate Information</w:t>
      </w:r>
    </w:p>
    <w:p>
      <w:pPr>
        <w:spacing w:after="0" w:line="154" w:lineRule="exact"/>
        <w:rPr>
          <w:sz w:val="20"/>
          <w:szCs w:val="20"/>
          <w:color w:val="auto"/>
        </w:rPr>
      </w:pPr>
    </w:p>
    <w:p>
      <w:pPr>
        <w:jc w:val="both"/>
        <w:ind w:left="60" w:firstLine="216"/>
        <w:spacing w:after="0" w:line="255" w:lineRule="auto"/>
        <w:rPr>
          <w:sz w:val="20"/>
          <w:szCs w:val="20"/>
          <w:color w:val="auto"/>
        </w:rPr>
      </w:pPr>
      <w:r>
        <w:rPr>
          <w:rFonts w:ascii="Arial" w:cs="Arial" w:eastAsia="Arial" w:hAnsi="Arial"/>
          <w:sz w:val="12"/>
          <w:szCs w:val="12"/>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Implications of Being an Emerging Growth Company and a Smaller Reporting Company</w:t>
      </w:r>
    </w:p>
    <w:p>
      <w:pPr>
        <w:spacing w:after="0" w:line="154" w:lineRule="exact"/>
        <w:rPr>
          <w:sz w:val="20"/>
          <w:szCs w:val="20"/>
          <w:color w:val="auto"/>
        </w:rPr>
      </w:pPr>
    </w:p>
    <w:p>
      <w:pPr>
        <w:jc w:val="both"/>
        <w:ind w:left="60" w:firstLine="216"/>
        <w:spacing w:after="0" w:line="259" w:lineRule="auto"/>
        <w:rPr>
          <w:sz w:val="20"/>
          <w:szCs w:val="20"/>
          <w:color w:val="auto"/>
        </w:rPr>
      </w:pPr>
      <w:r>
        <w:rPr>
          <w:rFonts w:ascii="Arial" w:cs="Arial" w:eastAsia="Arial" w:hAnsi="Arial"/>
          <w:sz w:val="12"/>
          <w:szCs w:val="12"/>
          <w:color w:val="auto"/>
        </w:rPr>
        <w:t>We are an emerging growth company as defined in the Jumpstart Our Business Startups Act of 2012 (the “JOBS Act”). We will remain an emerging growth company under the JOBS Act until the earliest of (a) the last day of our first fiscal year following the fifth anniversary of Silver Spike’s IPO,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24" w:lineRule="exact"/>
        <w:rPr>
          <w:sz w:val="20"/>
          <w:szCs w:val="20"/>
          <w:color w:val="auto"/>
        </w:rPr>
      </w:pPr>
    </w:p>
    <w:p>
      <w:pPr>
        <w:jc w:val="both"/>
        <w:ind w:left="60" w:firstLine="216"/>
        <w:spacing w:after="0" w:line="259" w:lineRule="auto"/>
        <w:rPr>
          <w:sz w:val="20"/>
          <w:szCs w:val="20"/>
          <w:color w:val="auto"/>
        </w:rPr>
      </w:pPr>
      <w:r>
        <w:rPr>
          <w:rFonts w:ascii="Arial" w:cs="Arial" w:eastAsia="Arial" w:hAnsi="Arial"/>
          <w:sz w:val="12"/>
          <w:szCs w:val="12"/>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a result, the information in this prospectus and that we provide to our investors in the future may be different than what you might receive from other public reporting companies.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will no longer qualify as an emerging growth company or a smaller reporting company for Securities Act or Exchange Act reporting after December 31, 2021</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9" w:name="page10"/>
    <w:bookmarkEnd w:id="9"/>
    <w:p>
      <w:pPr>
        <w:spacing w:after="0"/>
        <w:rPr>
          <w:rFonts w:ascii="Arial" w:cs="Arial" w:eastAsia="Arial" w:hAnsi="Arial"/>
          <w:sz w:val="8"/>
          <w:szCs w:val="8"/>
          <w:i w:val="1"/>
          <w:iCs w:val="1"/>
          <w:u w:val="single" w:color="auto"/>
          <w:color w:val="0000EE"/>
        </w:rPr>
      </w:pPr>
      <w:hyperlink w:anchor="page3">
        <w:r>
          <w:rPr>
            <w:rFonts w:ascii="Arial" w:cs="Arial" w:eastAsia="Arial" w:hAnsi="Arial"/>
            <w:sz w:val="8"/>
            <w:szCs w:val="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85025" cy="1727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025" cy="172720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Issuer</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Resale of Class A Common Stock</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0"/>
          <w:szCs w:val="10"/>
          <w:b w:val="1"/>
          <w:bCs w:val="1"/>
          <w:color w:val="auto"/>
        </w:rPr>
        <w:t>Shares of Class A Common Stock Offered by the Selling Securityholders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Use of Proceeds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Lock-Up Restrictions</w:t>
      </w:r>
    </w:p>
    <w:p>
      <w:pPr>
        <w:spacing w:after="0" w:line="29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Market for Class A Common Stock</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Risk Factors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OFFERING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WM Technology, Inc.</w:t>
      </w: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Up to 1,938,798 shares of Class A Common Stock.</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0"/>
          <w:szCs w:val="10"/>
          <w:color w:val="auto"/>
        </w:rPr>
        <w:t>We will not receive any proceeds from the sale of shares of Class A Common Stock by the Selling Securityholders.</w:t>
      </w:r>
    </w:p>
    <w:p>
      <w:pPr>
        <w:spacing w:after="0" w:line="173" w:lineRule="exact"/>
        <w:rPr>
          <w:sz w:val="20"/>
          <w:szCs w:val="20"/>
          <w:color w:val="auto"/>
        </w:rPr>
      </w:pPr>
    </w:p>
    <w:p>
      <w:pPr>
        <w:ind w:left="460"/>
        <w:spacing w:after="0" w:line="323" w:lineRule="auto"/>
        <w:rPr>
          <w:sz w:val="20"/>
          <w:szCs w:val="20"/>
          <w:color w:val="auto"/>
        </w:rPr>
      </w:pPr>
      <w:r>
        <w:rPr>
          <w:rFonts w:ascii="Arial" w:cs="Arial" w:eastAsia="Arial" w:hAnsi="Arial"/>
          <w:sz w:val="11"/>
          <w:szCs w:val="11"/>
          <w:color w:val="auto"/>
        </w:rPr>
        <w:t>Certain of our stockholders are subject to certain restrictions on transfer until the termination of applicable lock-up periods. See the section entitled “Certain Relationships and Related Party Transactions” for further discussion.</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Class A Common Stock is currently traded on Nasdaq under the symbol “MAPS.”</w:t>
      </w:r>
    </w:p>
    <w:p>
      <w:pPr>
        <w:spacing w:after="0" w:line="150" w:lineRule="exact"/>
        <w:rPr>
          <w:sz w:val="20"/>
          <w:szCs w:val="20"/>
          <w:color w:val="auto"/>
        </w:rPr>
      </w:pPr>
    </w:p>
    <w:p>
      <w:pPr>
        <w:ind w:left="460"/>
        <w:spacing w:after="0" w:line="276" w:lineRule="auto"/>
        <w:rPr>
          <w:sz w:val="20"/>
          <w:szCs w:val="20"/>
          <w:color w:val="auto"/>
        </w:rPr>
      </w:pPr>
      <w:r>
        <w:rPr>
          <w:rFonts w:ascii="Arial" w:cs="Arial" w:eastAsia="Arial" w:hAnsi="Arial"/>
          <w:sz w:val="12"/>
          <w:szCs w:val="12"/>
          <w:color w:val="auto"/>
        </w:rPr>
        <w:t>See the section entitled “Risk Factors” and other information included in this prospectus for a discussion of factors you should consider before investing in our securities.</w:t>
      </w:r>
    </w:p>
    <w:p>
      <w:pPr>
        <w:spacing w:after="0" w:line="200" w:lineRule="exact"/>
        <w:rPr>
          <w:sz w:val="20"/>
          <w:szCs w:val="20"/>
          <w:color w:val="auto"/>
        </w:rPr>
      </w:pPr>
    </w:p>
    <w:p>
      <w:pPr>
        <w:sectPr>
          <w:pgSz w:w="11900" w:h="16838" w:orient="portrait"/>
          <w:cols w:equalWidth="0" w:num="2">
            <w:col w:w="4480" w:space="720"/>
            <w:col w:w="6040"/>
          </w:cols>
          <w:pgMar w:left="300" w:top="128" w:right="359" w:bottom="1440" w:gutter="0" w:footer="0" w:header="0"/>
          <w:type w:val="continuous"/>
        </w:sect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7"/>
          <w:szCs w:val="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type w:val="continuous"/>
        </w:sectPr>
      </w:pPr>
    </w:p>
    <w:bookmarkStart w:id="10" w:name="page11"/>
    <w:bookmarkEnd w:id="1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Risks: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business is subject to a number of risks, any of which could have an adverse effect on our business financial condition, operating results, or prospects:</w:t>
      </w:r>
    </w:p>
    <w:p>
      <w:pPr>
        <w:spacing w:after="0" w:line="150"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our costs increase, we may not be able to generate sufficient revenue to maintain profitability in the future.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we fail to retain our existing clients and consumers or to acquire new clients and consumers in a cost-effective manner, our revenue may decrease and our business may be harmed.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fail to offer the optimal pricing of our products and solutions.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we fail to expand effectively into new markets, our revenue and business will be adversely affected.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concentrated in California, and, as a result, our performance may be affected by factors unique to the California market.</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14" w:lineRule="exact"/>
        <w:rPr>
          <w:rFonts w:ascii="Arial" w:cs="Arial" w:eastAsia="Arial" w:hAnsi="Arial"/>
          <w:sz w:val="12"/>
          <w:szCs w:val="12"/>
          <w:color w:val="auto"/>
        </w:rPr>
      </w:pPr>
    </w:p>
    <w:p>
      <w:pPr>
        <w:jc w:val="both"/>
        <w:ind w:left="420" w:hanging="212"/>
        <w:spacing w:after="0" w:line="259"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24" w:lineRule="exact"/>
        <w:rPr>
          <w:rFonts w:ascii="Arial" w:cs="Arial" w:eastAsia="Arial" w:hAnsi="Arial"/>
          <w:sz w:val="12"/>
          <w:szCs w:val="12"/>
          <w:color w:val="auto"/>
        </w:rPr>
      </w:pPr>
    </w:p>
    <w:p>
      <w:pPr>
        <w:jc w:val="both"/>
        <w:ind w:left="420" w:hanging="212"/>
        <w:spacing w:after="0" w:line="298" w:lineRule="auto"/>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04" w:lineRule="exact"/>
        <w:rPr>
          <w:rFonts w:ascii="Arial" w:cs="Arial" w:eastAsia="Arial" w:hAnsi="Arial"/>
          <w:sz w:val="11"/>
          <w:szCs w:val="11"/>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dependent on U.S. state laws and regulations and Canadian federal and provincial laws and regulations pertaining to the cannabis industry.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rapid changes in the cannabis industry and applicable laws and regulations make predicting and evaluating our future prospects difficult, and may increase the risk that we will not be successful.</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Because our business is dependent, in part, upon continued market acceptance of cannabis by consumers, any negative trends could adversely affect our business operations.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 w:name="page12"/>
    <w:bookmarkEnd w:id="1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Expansion of our business is dependent on the continued legalization of cannabis.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clients and consumers using our platform fail to provide high-quality content that attracts consumers, we may not be able to generate sufficient consumer traffic to remain competitive.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business is highly dependent upon our brand recognition and reputation, and the erosion or degradation of our brand recognition or reputation would likely adversely affect our business and operating results.</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currently face intense competition in the cannabis information market, and we expect competition to further intensify as the cannabis industry continues to evolve.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fail to manage our growth effectively, our brand, business and operating results could be harmed.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are unable to recruit, train, retain and motivate key personnel, we may not achieve our business objectives.</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If our current marketing model is not effective in attracting new clients, we may need to employ higher-cost sales and marketing methods to attract and retain clients, which could adversely affect our profitability.</w:t>
      </w:r>
    </w:p>
    <w:p>
      <w:pPr>
        <w:spacing w:after="0" w:line="161" w:lineRule="exact"/>
        <w:rPr>
          <w:rFonts w:ascii="Arial" w:cs="Arial" w:eastAsia="Arial" w:hAnsi="Arial"/>
          <w:sz w:val="11"/>
          <w:szCs w:val="11"/>
          <w:color w:val="auto"/>
        </w:rPr>
      </w:pPr>
    </w:p>
    <w:p>
      <w:pPr>
        <w:ind w:left="420" w:right="20" w:hanging="212"/>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payment system and the payment systems of our clients depend on third-party providers and are subject to evolving laws and regulations.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As our costs increase, we may not be able to generate sufficient revenue to maintain profitability in the future.</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122"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sales and marketing, including continued investment in our current marketing efforts and future marketing initiatives;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hiring of additional employees, including our product and engineering teams;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expansion domestically and internationally in an effort to increase our client usage, client base, and our sales to our clients;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development of new products, and increased investment in the ongoing development of our existing products; and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 w:name="page13"/>
    <w:bookmarkEnd w:id="1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right="20" w:hanging="212"/>
        <w:spacing w:after="0" w:line="276" w:lineRule="auto"/>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12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In addition, the costs associated with client and consumer retention are substantially lower than costs associated with the acquisition of new clients or consumers. We have incurred significant costs to attract clients to our platform 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fail to offer the optimal pricing of our products and solutions.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we fail to expand effectively into new markets, our revenue and business will be adversely affected.</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 w:name="page14"/>
    <w:bookmarkEnd w:id="1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Our business is concentrated in California, and, as a result, our performance may be affected by factors unique to the California market.</w:t>
      </w:r>
    </w:p>
    <w:p>
      <w:pPr>
        <w:spacing w:after="0" w:line="15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California represents one of the largest state legal cannabis markets in the United States, and approximately 64.1% of our revenue for the nine months ended September 30, 2021,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11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15"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4" w:name="page15"/>
    <w:bookmarkEnd w:id="1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 client or whether it remains valid. We require all operational cannabis retailer clients, including storefronts and delivery services, to display on their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11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22"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5" w:name="page16"/>
    <w:bookmarkEnd w:id="1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Our business is dependent on U.S. state laws and regulations and Canadian federal and provincial laws and regulations pertaining to the cannabis industry.</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12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16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115" w:lineRule="exact"/>
        <w:rPr>
          <w:sz w:val="20"/>
          <w:szCs w:val="20"/>
          <w:color w:val="auto"/>
        </w:rPr>
      </w:pPr>
    </w:p>
    <w:p>
      <w:pPr>
        <w:ind w:left="420" w:right="20" w:hanging="212"/>
        <w:spacing w:after="0" w:line="276"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adapting to rapidly evolving trends in the cannabis industry and the way consumers and cannabis industry businesses interact with technology;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maintaining and increasing our base of clients and consumers;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continuing to preserve and build our brand while upgrading our existing offerings;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6" w:name="page17"/>
    <w:bookmarkEnd w:id="1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successfully attracting, hiring, and retaining qualified personnel to manage operations;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adapting to changes in the cannabis industry if sales of cannabis expands significantly beyond a regulated model, and commodification of the cannabis industry;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successfully implementing and executing our business and marketing strategies;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successfully expanding our business into new and existing cannabis markets.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Because our business is dependent, in part, upon continued market acceptance of cannabis by consumers, any negative trends could adversely affect our business operations.</w:t>
      </w:r>
    </w:p>
    <w:p>
      <w:pPr>
        <w:spacing w:after="0" w:line="150"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Expansion of our business is dependent on the continued legalization of cannabis.</w:t>
      </w:r>
    </w:p>
    <w:p>
      <w:pPr>
        <w:spacing w:after="0" w:line="15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nine months ended September 30,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7" w:name="page18"/>
    <w:bookmarkEnd w:id="1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12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7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22"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efficacy of our marketing efforts;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maintain a high-quality, innovative, and error- and bug-free platform;</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maintain high satisfaction among clients and consumers;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quality and perceived value of our platform;</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successfully implementing and developing new features, including alternative revenue streams;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obtain, maintain and enforce trademarks and other indicia of origin that are valuable to our brand;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successfully differentiate our platform from competitors’ products;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compliance with laws and regulations, including those applicable to any political action committees affiliated with us and to our registered lobbying activities;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provide client support;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any actual or perceived data breach or data loss, or misuse or perceived misuse of our platform.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addition, our brand recognition and reputation may be affected by factors that are outside our control, such as:</w:t>
      </w:r>
    </w:p>
    <w:p>
      <w:pPr>
        <w:spacing w:after="0" w:line="150"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actions of competitors or other third parties;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quality and timeliness of our clients’ delivery businesses;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consumers’ experiences with clients or products identified through our platform;</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interruptions, delays or attacks on our platform; and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 w:name="page19"/>
    <w:bookmarkEnd w:id="1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litigation or regulatory developments.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currently face intense competition in the cannabis information market, and we expect competition to further intensify as the cannabis industry continues to evolve.</w:t>
      </w:r>
    </w:p>
    <w:p>
      <w:pPr>
        <w:spacing w:after="0" w:line="150" w:lineRule="exact"/>
        <w:rPr>
          <w:sz w:val="20"/>
          <w:szCs w:val="20"/>
          <w:color w:val="auto"/>
        </w:rPr>
      </w:pPr>
    </w:p>
    <w:p>
      <w:pPr>
        <w:jc w:val="both"/>
        <w:ind w:firstLine="216"/>
        <w:spacing w:after="0" w:line="310" w:lineRule="auto"/>
        <w:rPr>
          <w:sz w:val="20"/>
          <w:szCs w:val="20"/>
          <w:color w:val="auto"/>
        </w:rPr>
      </w:pPr>
      <w:r>
        <w:rPr>
          <w:rFonts w:ascii="Arial" w:cs="Arial" w:eastAsia="Arial" w:hAnsi="Arial"/>
          <w:sz w:val="10"/>
          <w:szCs w:val="10"/>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03"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we fail to manage our growth effectively, our brand, business and operating results could be harmed.</w:t>
      </w:r>
    </w:p>
    <w:p>
      <w:pPr>
        <w:spacing w:after="0" w:line="150"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9" w:name="page20"/>
    <w:bookmarkEnd w:id="1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If we are unable to recruit, train, retain and motivate key personnel, we may not achieve our business objectives.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28"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9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2"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0" w:name="page21"/>
    <w:bookmarkEnd w:id="2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12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1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 the extent we are not able to continue successfully improving and enhancing our platform, our business could be adversely affected.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1" w:name="page22"/>
    <w:bookmarkEnd w:id="2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Our payment system and the payment systems of our clients depend on third-party providers and are subject to evolving laws and regulations.</w:t>
      </w:r>
    </w:p>
    <w:p>
      <w:pPr>
        <w:spacing w:after="0" w:line="15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12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117" w:lineRule="exact"/>
        <w:rPr>
          <w:sz w:val="20"/>
          <w:szCs w:val="20"/>
          <w:color w:val="auto"/>
        </w:rPr>
      </w:pPr>
    </w:p>
    <w:p>
      <w:pPr>
        <w:jc w:val="both"/>
        <w:ind w:firstLine="216"/>
        <w:spacing w:after="0" w:line="379" w:lineRule="auto"/>
        <w:rPr>
          <w:sz w:val="20"/>
          <w:szCs w:val="20"/>
          <w:color w:val="auto"/>
        </w:rPr>
      </w:pPr>
      <w:r>
        <w:rPr>
          <w:rFonts w:ascii="Arial" w:cs="Arial" w:eastAsia="Arial" w:hAnsi="Arial"/>
          <w:sz w:val="10"/>
          <w:szCs w:val="10"/>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be unable to prevent others from aggregating or misappropriating data from our websites.</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Real or perceived errors, failures, or bugs in our platform could adversely affect our operating results and growth prospects.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1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2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15"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13"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92"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9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115" w:lineRule="exact"/>
        <w:rPr>
          <w:sz w:val="20"/>
          <w:szCs w:val="20"/>
          <w:color w:val="auto"/>
        </w:rPr>
      </w:pPr>
    </w:p>
    <w:p>
      <w:pPr>
        <w:jc w:val="both"/>
        <w:ind w:firstLine="246"/>
        <w:spacing w:after="0" w:line="263" w:lineRule="auto"/>
        <w:rPr>
          <w:sz w:val="20"/>
          <w:szCs w:val="20"/>
          <w:color w:val="auto"/>
        </w:rPr>
      </w:pPr>
      <w:r>
        <w:rPr>
          <w:rFonts w:ascii="Arial" w:cs="Arial" w:eastAsia="Arial" w:hAnsi="Arial"/>
          <w:sz w:val="12"/>
          <w:szCs w:val="12"/>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12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22"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9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12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128" w:lineRule="exact"/>
        <w:rPr>
          <w:sz w:val="20"/>
          <w:szCs w:val="20"/>
          <w:color w:val="auto"/>
        </w:rPr>
      </w:pPr>
    </w:p>
    <w:p>
      <w:pPr>
        <w:jc w:val="both"/>
        <w:ind w:firstLine="216"/>
        <w:spacing w:after="0" w:line="320" w:lineRule="auto"/>
        <w:rPr>
          <w:sz w:val="20"/>
          <w:szCs w:val="20"/>
          <w:color w:val="auto"/>
        </w:rPr>
      </w:pPr>
      <w:r>
        <w:rPr>
          <w:rFonts w:ascii="Arial" w:cs="Arial" w:eastAsia="Arial" w:hAnsi="Arial"/>
          <w:sz w:val="10"/>
          <w:szCs w:val="10"/>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122"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 (ii) 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11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Fluctuations in our quarterly and annual operating results may adversely affect our business and prospects.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122"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attract new clients and consumers and retain existing clients and consumers;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accurately forecast revenue and appropriately plan our expenses;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effects of changes in search engine placement and prominence;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effects of increased competition on our business;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successfully expand in existing markets and successfully enter new markets;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impact of global, regional or economic conditions;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ability of licensed cannabis markets to successfully grow and outcompete illegal cannabis markets;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protect our intellectual property;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maintain and effectively manage an adequate rate of growth;</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maintain and increase traffic to our platform;</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6" w:name="page27"/>
    <w:bookmarkEnd w:id="2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costs associated with defending claims, including intellectual property infringement claims and related judgments or settlements;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governmental or other regulation affecting our business;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interruptions in platform availability and any related impact on our business, reputation or brand;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attraction and retention of qualified personnel;</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effects of natural or man-made catastrophic events;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effectiveness of our internal controls.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improve our products and solutions in ways that forego short-term gains.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1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sell our offerings in the United States, and we have a limited number of non-monetized listings in several international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128"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political, social, and economic instability;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risks related to the legal and regulatory environment in foreign jurisdictions, including with respect to privacy and data protection, and unexpected changes in laws, regulatory requirements, and enforcement;</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fluctuations in currency exchange rates;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higher levels of credit risk and payment fraud;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complying with tax requirements of multiple jurisdictions;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enhanced difficulties of integrating any foreign acquisitions;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ability to present our content effectively in foreign languages;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complying with a variety of foreign laws, including certain employment laws requiring national collective bargaining agreements that set minimum salaries, benefits, working conditions, and termination requirements;</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reduced protection for intellectual property rights in some countries;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difficulties in staffing and managing global operations and the increased travel, infrastructure, and compliance costs associated with multiple foreign locations;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regulations that might add difficulties in repatriating cash earned outside the United States and otherwise preventing us from freely moving cash;</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import and export restrictions and changes in trade regulation;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complying with statutory equity requirements;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complying with the U.S. Foreign Corrupt Practices Act of 1977, as amended, the U.K. Bribery Act 2010, the Corruption of Public Officials Act (Canada), and similar laws in other jurisdictions;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export controls and economic sanctions administered by the U.S. Department of Commerce Bureau of Industry and Security and the U.S. Treasury Department’s Office of Foreign Assets Control.</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1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92"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105"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8" w:name="page29"/>
    <w:bookmarkEnd w:id="2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119"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PCI-DSS, which is designed to protect the information of credit card users.</w:t>
      </w:r>
    </w:p>
    <w:p>
      <w:pPr>
        <w:spacing w:after="0" w:line="11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29" w:name="page30"/>
    <w:bookmarkEnd w:id="2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Governmental regulation of the internet continues to develop, and unfavorable changes could substantially harm our business and operating results.</w:t>
      </w:r>
    </w:p>
    <w:p>
      <w:pPr>
        <w:spacing w:after="0" w:line="150"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be subject to claims brought against us as a result of content we provide.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12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be subject to legal claims based on the content published to our platform.</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Future investments in alternative revenue streams or acquisitions could disrupt our business and adversely affect our operating results, financial condition and cash flows.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 w:name="page31"/>
    <w:bookmarkEnd w:id="3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115" w:lineRule="exact"/>
        <w:rPr>
          <w:sz w:val="20"/>
          <w:szCs w:val="20"/>
          <w:color w:val="auto"/>
        </w:rPr>
      </w:pPr>
    </w:p>
    <w:p>
      <w:pPr>
        <w:jc w:val="both"/>
        <w:ind w:left="420" w:hanging="212"/>
        <w:spacing w:after="0" w:line="263"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2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 acquisition may disrupt our ongoing business, divert resources, increase our expenses and distract our management;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 acquisition may result in a delay or reduction of sales for both us and the company we acquired due to uncertainty about continuity and effectiveness of products or support from either company;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encounter difficulties in, or may be unable to, successfully sell any acquired products;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 acquisition may involve the entry into geographic or business markets in which we have little or no prior experience or where competitors have stronger market positions;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strain on our financial and managerial controls and reporting systems and procedures;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known and unknown liabilities associated with an acquired company;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if we incur debt to fund such acquisitions, such debt may subject us to material restrictions on our ability to conduct our business as well as financial maintenance covenants;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risk of impairment charges related to potential write-downs of acquired assets or goodwill in future acquisitions;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to the extent that we issue a significant amount of equity or convertible debt securities in connection with future acquisitions, existing equity holders may be diluted and earnings per share may decrease; and</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managing the varying intellectual property protection strategies and other activities of an acquired company.</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73"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16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2"/>
          <w:szCs w:val="12"/>
          <w:i w:val="1"/>
          <w:iCs w:val="1"/>
          <w:color w:val="auto"/>
        </w:rPr>
        <w:t>South Dakota v. Wayfair</w:t>
      </w:r>
      <w:r>
        <w:rPr>
          <w:rFonts w:ascii="Arial" w:cs="Arial" w:eastAsia="Arial" w:hAnsi="Arial"/>
          <w:sz w:val="12"/>
          <w:szCs w:val="12"/>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be subject to potential adverse tax consequences both domestically and in foreign jurisdictions.</w:t>
      </w:r>
    </w:p>
    <w:p>
      <w:pPr>
        <w:spacing w:after="0" w:line="150"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Changes in accounting standards or other factors could negatively impact our future effective tax rate.</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 w:name="page33"/>
    <w:bookmarkEnd w:id="3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9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1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128"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19"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9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 w:name="page34"/>
    <w:bookmarkEnd w:id="3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16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7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Acquisitions by us of common units in the Business Combination and future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1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12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date of the Closing. Under this scenario, we would be required to pay to the WMH LLC Class A equity holders approximately 85% of such amount, or $126.2 million, over the 15-year period from the date of the Closing.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 w:name="page35"/>
    <w:bookmarkEnd w:id="3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2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11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Risks Related to the Cannabis Industry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50"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 xml:space="preserve">Cannabis, other than hemp (defined by the U.S. government as </w:t>
      </w:r>
      <w:r>
        <w:rPr>
          <w:rFonts w:ascii="Arial" w:cs="Arial" w:eastAsia="Arial" w:hAnsi="Arial"/>
          <w:sz w:val="11"/>
          <w:szCs w:val="11"/>
          <w:i w:val="1"/>
          <w:iCs w:val="1"/>
          <w:color w:val="auto"/>
        </w:rPr>
        <w:t>Cannabis sativa L</w:t>
      </w:r>
      <w:r>
        <w:rPr>
          <w:rFonts w:ascii="Arial" w:cs="Arial" w:eastAsia="Arial" w:hAnsi="Arial"/>
          <w:sz w:val="11"/>
          <w:szCs w:val="11"/>
          <w:color w:val="auto"/>
        </w:rPr>
        <w:t>.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5" w:name="page36"/>
    <w:bookmarkEnd w:id="3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10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This provision, however, is set to expire on December 3, 2021 and there is no assurance that Congress will approve inclusion of a similar prohibition on DOJ spending in the appropriations bills for future years.</w:t>
      </w:r>
    </w:p>
    <w:p>
      <w:pPr>
        <w:spacing w:after="0" w:line="128"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 xml:space="preserve">In </w:t>
      </w:r>
      <w:r>
        <w:rPr>
          <w:rFonts w:ascii="Arial" w:cs="Arial" w:eastAsia="Arial" w:hAnsi="Arial"/>
          <w:sz w:val="11"/>
          <w:szCs w:val="11"/>
          <w:i w:val="1"/>
          <w:iCs w:val="1"/>
          <w:color w:val="auto"/>
        </w:rPr>
        <w:t>USA vs. McIntosh</w:t>
      </w:r>
      <w:r>
        <w:rPr>
          <w:rFonts w:ascii="Arial" w:cs="Arial" w:eastAsia="Arial" w:hAnsi="Arial"/>
          <w:sz w:val="11"/>
          <w:szCs w:val="11"/>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11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6" w:name="page37"/>
    <w:bookmarkEnd w:id="3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11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13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12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12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recently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7" w:name="page38"/>
    <w:bookmarkEnd w:id="3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7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124"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100"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6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8" w:name="page39"/>
    <w:bookmarkEnd w:id="3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44"/>
        <w:spacing w:after="0" w:line="279" w:lineRule="auto"/>
        <w:rPr>
          <w:sz w:val="20"/>
          <w:szCs w:val="20"/>
          <w:color w:val="auto"/>
        </w:rPr>
      </w:pPr>
      <w:r>
        <w:rPr>
          <w:rFonts w:ascii="Arial" w:cs="Arial" w:eastAsia="Arial" w:hAnsi="Arial"/>
          <w:sz w:val="11"/>
          <w:szCs w:val="11"/>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117"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purchase products on the Weedmaps listings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Participating in transactions involving proceeds derived from cannabis may constitute criminal money laundering.</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9" w:name="page40"/>
    <w:bookmarkEnd w:id="3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have difficulty using bankruptcy courts due to our involvement in the regulated cannabis industry.</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conduct of third parties may jeopardize our business.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conduct of third parties may jeopardize our regulatory compliance.</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 &amp; 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6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0" w:name="page41"/>
    <w:bookmarkEnd w:id="4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believe that Section 230(c)(1) of the Communications Decency Act (“CDA”) provides immunity from civil and state criminal liability, but it is possible that it does not.</w:t>
      </w:r>
    </w:p>
    <w:p>
      <w:pPr>
        <w:spacing w:after="0" w:line="150"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continue to be subject to constraints on marketing our products.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1" w:name="page42"/>
    <w:bookmarkEnd w:id="4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Cannabis businesses are subject to unfavorable U.S. tax treatment.</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Service providers to cannabis businesses may also be subject to unfavorable U.S. tax treatment.</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04" w:lineRule="exact"/>
        <w:rPr>
          <w:sz w:val="20"/>
          <w:szCs w:val="20"/>
          <w:color w:val="auto"/>
        </w:rPr>
      </w:pPr>
    </w:p>
    <w:p>
      <w:pPr>
        <w:jc w:val="both"/>
        <w:ind w:firstLine="216"/>
        <w:spacing w:after="0" w:line="224" w:lineRule="auto"/>
        <w:rPr>
          <w:sz w:val="20"/>
          <w:szCs w:val="20"/>
          <w:color w:val="auto"/>
        </w:rPr>
      </w:pPr>
      <w:r>
        <w:rPr>
          <w:rFonts w:ascii="Arial" w:cs="Arial" w:eastAsia="Arial" w:hAnsi="Arial"/>
          <w:sz w:val="12"/>
          <w:szCs w:val="12"/>
          <w:color w:val="auto"/>
        </w:rPr>
        <w:t>The MORE Act, which was passed by the House of Representatives but did not become law in the 116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Congress and has not yet been reintroduced into the 117</w:t>
      </w:r>
      <w:r>
        <w:rPr>
          <w:rFonts w:ascii="Arial" w:cs="Arial" w:eastAsia="Arial" w:hAnsi="Arial"/>
          <w:sz w:val="19"/>
          <w:szCs w:val="19"/>
          <w:color w:val="auto"/>
          <w:vertAlign w:val="superscript"/>
        </w:rPr>
        <w:t>th</w:t>
      </w:r>
      <w:r>
        <w:rPr>
          <w:rFonts w:ascii="Arial" w:cs="Arial" w:eastAsia="Arial" w:hAnsi="Arial"/>
          <w:sz w:val="12"/>
          <w:szCs w:val="12"/>
          <w:color w:val="auto"/>
        </w:rPr>
        <w:t>, would remove marijuana from the CSA, which would effectively carve out state-legal cannabis businesses from Section 280E of the Code.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Cannabis businesses may be subject to civil asset forfeiture.</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7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2" w:name="page43"/>
    <w:bookmarkEnd w:id="4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There may be difficulty enforcing certain of our commercial agreements and contracts.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be subject to Telephone Consumer Protections Act (TCPA) risks for our communications with customers.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acquisitions of Cannveya and Sprout will put us directly into contact with customers and their data.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customers may put us at risk of a TCPA lawsuit.</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Certain of our directors, officers, employees and investors who are not U.S. citizens may face constraints on cross-border travel into the United States.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128"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Securities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As of September 30, 2021, our affiliates, executive officers, directors and their respective affiliates as a group beneficially own approximately 45.5%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3" w:name="page44"/>
    <w:bookmarkEnd w:id="4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do not expect to declare any dividends in the foreseeable future.</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15" w:lineRule="exact"/>
        <w:rPr>
          <w:sz w:val="20"/>
          <w:szCs w:val="20"/>
          <w:color w:val="auto"/>
        </w:rPr>
      </w:pPr>
    </w:p>
    <w:p>
      <w:pPr>
        <w:jc w:val="both"/>
        <w:ind w:right="20" w:firstLine="248"/>
        <w:spacing w:after="0" w:line="276" w:lineRule="auto"/>
        <w:rPr>
          <w:sz w:val="20"/>
          <w:szCs w:val="20"/>
          <w:color w:val="auto"/>
        </w:rPr>
      </w:pPr>
      <w:r>
        <w:rPr>
          <w:rFonts w:ascii="Arial" w:cs="Arial" w:eastAsia="Arial" w:hAnsi="Arial"/>
          <w:sz w:val="12"/>
          <w:szCs w:val="12"/>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11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131"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1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4" w:name="page45"/>
    <w:bookmarkEnd w:id="4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0"/>
          <w:szCs w:val="10"/>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73"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115"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may significantly dilute the equity interests of our investors;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may subordinate the rights of holders of Class A Common Stock if preferred stock is issued with rights senior to those afforded our Class A Common Stock;</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may adversely affect prevailing market prices for our Class A Common Stock and/or Warrants.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The impact of global, regional or local economic and market conditions may adversely affect our business, operating results and financial condition.</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Economic conditions may also adversely impact retail sales of cannabis. Declining retail sales of cannabis could result in our clients going out of business or deciding to stop using our platform to conserve financial resources.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Negative economic conditions may also affect third parties with whom we have entered into relationships and upon whom we depend in order to grow our business.</w:t>
      </w:r>
    </w:p>
    <w:p>
      <w:pPr>
        <w:spacing w:after="0" w:line="14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15"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5" w:name="page46"/>
    <w:bookmarkEnd w:id="4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15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As a public company, we incur significant legal, accounting and other expenses that we did not incur as a private company, and these expenses may increase even more after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2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qualify as an “emerging growth company” and a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1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continues to be an emerging growth company, including, but not limited to, (a) not being required to comply with the auditor attestation requirements of Section 404 of the Sarbanes- 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Class A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Class A Common Stock in the IPO.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6" w:name="page47"/>
    <w:bookmarkEnd w:id="4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smaller reporting company which has opted out of using the extended transition period difficult or impossible because of the potential differences in accounting standards used.</w:t>
      </w:r>
    </w:p>
    <w:p>
      <w:pPr>
        <w:spacing w:after="0" w:line="11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our periodic reports and proxy statements.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will no longer qualify as an emerging growth company or a smaller reporting company for Securities Act or Exchange Act reporting after December 31, 2021.</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2"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15"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not have sufficient funds to satisfy indemnification claims of our directors and executive officers.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7" w:name="page48"/>
    <w:bookmarkEnd w:id="4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48" w:name="page49"/>
    <w:bookmarkEnd w:id="4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DETERMINATION OF OFFERING PRICE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We cannot currently determine the price or prices at which shares of our Class A Common Stock may be sold by the Selling Securityholders under this prospectus.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49" w:name="page50"/>
    <w:bookmarkEnd w:id="4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INFORMATION FOR COMMON STOCK AND DIVIDEND POLICY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2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Our Class A Common Stock is currently listed on Nasdaq under the symbol “MAPS.” As of November 24, 2021, there are 65,677,361 shares of Class A Common Stock issued and outstanding held of record by 107 holders and 65,502,347 shares of our Class V common stock (the “Class V Common Stock”) issued and outstanding held of record by 23 holders. No market exists for the Class V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36"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of November 24, 2021, we had 21,829,529 shares of our Class A Common Stock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88" w:lineRule="exact"/>
        <w:rPr>
          <w:sz w:val="20"/>
          <w:szCs w:val="20"/>
          <w:color w:val="auto"/>
        </w:rPr>
      </w:pPr>
    </w:p>
    <w:p>
      <w:pPr>
        <w:jc w:val="both"/>
        <w:ind w:right="20" w:firstLine="216"/>
        <w:spacing w:after="0" w:line="379" w:lineRule="auto"/>
        <w:rPr>
          <w:sz w:val="20"/>
          <w:szCs w:val="20"/>
          <w:color w:val="auto"/>
        </w:rPr>
      </w:pPr>
      <w:r>
        <w:rPr>
          <w:rFonts w:ascii="Arial" w:cs="Arial" w:eastAsia="Arial" w:hAnsi="Arial"/>
          <w:sz w:val="10"/>
          <w:szCs w:val="10"/>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0" w:name="page51"/>
    <w:bookmarkEnd w:id="5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HISTORICAL FINANCIAL AND OPERATING DATA</w:t>
      </w:r>
    </w:p>
    <w:p>
      <w:pPr>
        <w:spacing w:after="0" w:line="127"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The following tables set forth a summary of our historical consolidated financial and operating data as of, and for the periods ended on, the dates indicated. The selected historical consolidated statements of income data for the years ended December 31, 2018, 2019 and 2020, and the historical consolidated balance sheet data as of December 31, 2019 and 2020, are derived from our audited consolidated financial statements included elsewhere in this prospectus and the historical consolidated balance sheet data as of December 31, 2018 is derived from our audited financial statements not included in this prospectus. The selected historical consolidated statements of operations data for the nine months ended September 30, 2020 and 2021 and the consolidated balance sheet data as of September 30, 2020 and 2021 are derived from our unaudited interim condensed consolidated financial statements included elsewhere in this prospectus. In management’s opinion, the unaudited interim condensed consolidated financial statements include all adjustments necessary to state fairly our financial position as of September 30, 2020 and 2021, and the results of operations for the nine months ended September 30, 2020 and 2021. Our historical results are not necessarily indicative of the results that may be expected in the future and our results for the nine months ended September 30, 2021 are not necessarily indicative of the results that may be expected for the full year ending December 31, 2021 or any other period.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40" w:type="dxa"/>
            <w:vAlign w:val="bottom"/>
          </w:tcPr>
          <w:p>
            <w:pPr>
              <w:spacing w:after="0"/>
              <w:rPr>
                <w:sz w:val="20"/>
                <w:szCs w:val="20"/>
                <w:color w:val="auto"/>
              </w:rPr>
            </w:pPr>
            <w:r>
              <w:rPr>
                <w:rFonts w:ascii="Arial" w:cs="Arial" w:eastAsia="Arial" w:hAnsi="Arial"/>
                <w:sz w:val="12"/>
                <w:szCs w:val="12"/>
                <w:b w:val="1"/>
                <w:bCs w:val="1"/>
                <w:color w:val="auto"/>
              </w:rPr>
              <w:t>Consolidated Statements of Income Data:</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4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3"/>
              </w:rPr>
              <w:t>Year Ended</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gridSpan w:val="3"/>
          </w:tcPr>
          <w:p>
            <w:pPr>
              <w:jc w:val="center"/>
              <w:ind w:left="28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46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9"/>
              </w:rPr>
              <w:t>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2019</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6"/>
          </w:tcPr>
          <w:p>
            <w:pPr>
              <w:jc w:val="right"/>
              <w:ind w:right="52"/>
              <w:spacing w:after="0"/>
              <w:rPr>
                <w:sz w:val="20"/>
                <w:szCs w:val="20"/>
                <w:color w:val="auto"/>
              </w:rPr>
            </w:pPr>
            <w:r>
              <w:rPr>
                <w:rFonts w:ascii="Arial" w:cs="Arial" w:eastAsia="Arial" w:hAnsi="Arial"/>
                <w:sz w:val="12"/>
                <w:szCs w:val="12"/>
                <w:b w:val="1"/>
                <w:bCs w:val="1"/>
                <w:color w:val="auto"/>
              </w:rPr>
              <w:t>(in thousands, except unit and share data)</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2"/>
              </w:rPr>
              <w:t>101,402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144,232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161,791</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117,470</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138,969</w:t>
            </w:r>
          </w:p>
        </w:tc>
      </w:tr>
      <w:tr>
        <w:trPr>
          <w:trHeight w:val="144"/>
        </w:trPr>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2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Arial" w:cs="Arial" w:eastAsia="Arial" w:hAnsi="Arial"/>
                <w:sz w:val="12"/>
                <w:szCs w:val="12"/>
                <w:color w:val="auto"/>
              </w:rPr>
              <w:t>Cost of revenue</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6,304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7,074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7,630</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5,572</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5,800</w:t>
            </w:r>
          </w:p>
        </w:tc>
      </w:tr>
      <w:tr>
        <w:trPr>
          <w:trHeight w:val="144"/>
        </w:trPr>
        <w:tc>
          <w:tcPr>
            <w:tcW w:w="4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Sales and marketing</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17,799</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39,746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30,716</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21,437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37,194</w:t>
            </w:r>
          </w:p>
        </w:tc>
      </w:tr>
      <w:tr>
        <w:trPr>
          <w:trHeight w:val="144"/>
        </w:trPr>
        <w:tc>
          <w:tcPr>
            <w:tcW w:w="4640" w:type="dxa"/>
            <w:vAlign w:val="bottom"/>
          </w:tcPr>
          <w:p>
            <w:pPr>
              <w:ind w:left="100"/>
              <w:spacing w:after="0"/>
              <w:rPr>
                <w:sz w:val="20"/>
                <w:szCs w:val="20"/>
                <w:color w:val="auto"/>
              </w:rPr>
            </w:pPr>
            <w:r>
              <w:rPr>
                <w:rFonts w:ascii="Arial" w:cs="Arial" w:eastAsia="Arial" w:hAnsi="Arial"/>
                <w:sz w:val="12"/>
                <w:szCs w:val="12"/>
                <w:color w:val="auto"/>
              </w:rPr>
              <w:t>Product development</w:t>
            </w: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20,034</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29,497</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27,142</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20,325</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25,921</w:t>
            </w:r>
          </w:p>
        </w:tc>
      </w:tr>
      <w:tr>
        <w:trPr>
          <w:trHeight w:val="144"/>
        </w:trPr>
        <w:tc>
          <w:tcPr>
            <w:tcW w:w="4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38,935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56,466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51,127</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37,147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70,356</w:t>
            </w:r>
          </w:p>
        </w:tc>
      </w:tr>
      <w:tr>
        <w:trPr>
          <w:trHeight w:val="144"/>
        </w:trPr>
        <w:tc>
          <w:tcPr>
            <w:tcW w:w="4640" w:type="dxa"/>
            <w:vAlign w:val="bottom"/>
          </w:tcPr>
          <w:p>
            <w:pPr>
              <w:ind w:left="100"/>
              <w:spacing w:after="0"/>
              <w:rPr>
                <w:sz w:val="20"/>
                <w:szCs w:val="20"/>
                <w:color w:val="auto"/>
              </w:rPr>
            </w:pPr>
            <w:r>
              <w:rPr>
                <w:rFonts w:ascii="Arial" w:cs="Arial" w:eastAsia="Arial" w:hAnsi="Arial"/>
                <w:sz w:val="12"/>
                <w:szCs w:val="12"/>
                <w:color w:val="auto"/>
              </w:rPr>
              <w:t>Depreciation and amortization</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5,162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3,978</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2,980</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2,970</w:t>
            </w:r>
          </w:p>
        </w:tc>
      </w:tr>
      <w:tr>
        <w:trPr>
          <w:trHeight w:val="142"/>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85,221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137,945</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120,593</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87,461</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142,241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4640" w:type="dxa"/>
            <w:vAlign w:val="bottom"/>
          </w:tcPr>
          <w:p>
            <w:pPr>
              <w:spacing w:after="0"/>
              <w:rPr>
                <w:sz w:val="20"/>
                <w:szCs w:val="20"/>
                <w:color w:val="auto"/>
              </w:rPr>
            </w:pPr>
            <w:r>
              <w:rPr>
                <w:rFonts w:ascii="Arial" w:cs="Arial" w:eastAsia="Arial" w:hAnsi="Arial"/>
                <w:sz w:val="12"/>
                <w:szCs w:val="12"/>
                <w:color w:val="auto"/>
              </w:rPr>
              <w:t>Operating income (loss)</w:t>
            </w: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16,181</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6,287</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41,198</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30,009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(3,272)</w:t>
            </w: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(expenses):</w:t>
            </w:r>
          </w:p>
        </w:tc>
        <w:tc>
          <w:tcPr>
            <w:tcW w:w="72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Arial" w:cs="Arial" w:eastAsia="Arial" w:hAnsi="Arial"/>
                <w:sz w:val="12"/>
                <w:szCs w:val="12"/>
                <w:color w:val="auto"/>
              </w:rPr>
              <w:t>Change in fair value of warrant liability</w:t>
            </w: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83,628</w:t>
            </w:r>
          </w:p>
        </w:tc>
      </w:tr>
      <w:tr>
        <w:trPr>
          <w:trHeight w:val="144"/>
        </w:trPr>
        <w:tc>
          <w:tcPr>
            <w:tcW w:w="4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expense, net</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(5,341)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(2,368)</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(1,277)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(6,341)</w:t>
            </w:r>
          </w:p>
        </w:tc>
      </w:tr>
      <w:tr>
        <w:trPr>
          <w:trHeight w:val="20"/>
        </w:trPr>
        <w:tc>
          <w:tcPr>
            <w:tcW w:w="46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64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14,354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946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38,830</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74,015</w:t>
            </w: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72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w:t>
            </w:r>
          </w:p>
        </w:tc>
      </w:tr>
      <w:tr>
        <w:trPr>
          <w:trHeight w:val="20"/>
        </w:trPr>
        <w:tc>
          <w:tcPr>
            <w:tcW w:w="46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640" w:type="dxa"/>
            <w:vAlign w:val="bottom"/>
          </w:tcPr>
          <w:p>
            <w:pPr>
              <w:spacing w:after="0"/>
              <w:rPr>
                <w:sz w:val="20"/>
                <w:szCs w:val="20"/>
                <w:color w:val="auto"/>
              </w:rPr>
            </w:pPr>
            <w:r>
              <w:rPr>
                <w:rFonts w:ascii="Arial" w:cs="Arial" w:eastAsia="Arial" w:hAnsi="Arial"/>
                <w:sz w:val="12"/>
                <w:szCs w:val="12"/>
                <w:color w:val="auto"/>
              </w:rPr>
              <w:t>Income (loss) from continuing operations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14,354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38,830</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73,773</w:t>
            </w: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Loss from discontinued operations</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(1,675)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46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640" w:type="dxa"/>
            <w:vAlign w:val="bottom"/>
          </w:tcPr>
          <w:p>
            <w:pPr>
              <w:spacing w:after="0"/>
              <w:rPr>
                <w:sz w:val="20"/>
                <w:szCs w:val="20"/>
                <w:color w:val="auto"/>
              </w:rPr>
            </w:pPr>
            <w:r>
              <w:rPr>
                <w:rFonts w:ascii="Arial" w:cs="Arial" w:eastAsia="Arial" w:hAnsi="Arial"/>
                <w:sz w:val="12"/>
                <w:szCs w:val="12"/>
                <w:color w:val="auto"/>
              </w:rPr>
              <w:t>Net income (loss)</w:t>
            </w: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12,679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38,830</w:t>
            </w:r>
          </w:p>
        </w:tc>
        <w:tc>
          <w:tcPr>
            <w:tcW w:w="36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73,773</w:t>
            </w: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72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48,675</w:t>
            </w:r>
          </w:p>
        </w:tc>
      </w:tr>
      <w:tr>
        <w:trPr>
          <w:trHeight w:val="20"/>
        </w:trPr>
        <w:tc>
          <w:tcPr>
            <w:tcW w:w="46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4640" w:type="dxa"/>
            <w:vAlign w:val="bottom"/>
          </w:tcPr>
          <w:p>
            <w:pPr>
              <w:spacing w:after="0"/>
              <w:rPr>
                <w:sz w:val="20"/>
                <w:szCs w:val="20"/>
                <w:color w:val="auto"/>
              </w:rPr>
            </w:pPr>
            <w:r>
              <w:rPr>
                <w:rFonts w:ascii="Arial" w:cs="Arial" w:eastAsia="Arial" w:hAnsi="Arial"/>
                <w:sz w:val="12"/>
                <w:szCs w:val="12"/>
                <w:color w:val="auto"/>
              </w:rPr>
              <w:t>Net income (loss) attributable to WM Technology, Inc.</w:t>
            </w:r>
          </w:p>
        </w:tc>
        <w:tc>
          <w:tcPr>
            <w:tcW w:w="720" w:type="dxa"/>
            <w:vAlign w:val="bottom"/>
          </w:tcPr>
          <w:p>
            <w:pPr>
              <w:jc w:val="right"/>
              <w:ind w:right="61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12,679</w:t>
            </w:r>
          </w:p>
        </w:tc>
        <w:tc>
          <w:tcPr>
            <w:tcW w:w="22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(375)</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38,830</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25,098</w:t>
            </w:r>
          </w:p>
        </w:tc>
      </w:tr>
      <w:tr>
        <w:trPr>
          <w:trHeight w:val="20"/>
        </w:trPr>
        <w:tc>
          <w:tcPr>
            <w:tcW w:w="4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46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b w:val="1"/>
                <w:bCs w:val="1"/>
                <w:color w:val="auto"/>
              </w:rPr>
              <w:t>Earnings (Loss) Per Share of Class A Common Stock</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Basic income per share</w:t>
            </w:r>
          </w:p>
        </w:tc>
        <w:tc>
          <w:tcPr>
            <w:tcW w:w="72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N/A</w:t>
            </w:r>
          </w:p>
        </w:tc>
        <w:tc>
          <w:tcPr>
            <w:tcW w:w="3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N/A</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0.39</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4640" w:type="dxa"/>
            <w:vAlign w:val="bottom"/>
          </w:tcPr>
          <w:p>
            <w:pPr>
              <w:spacing w:after="0" w:line="120" w:lineRule="exact"/>
              <w:rPr>
                <w:sz w:val="20"/>
                <w:szCs w:val="20"/>
                <w:color w:val="auto"/>
              </w:rPr>
            </w:pPr>
            <w:r>
              <w:rPr>
                <w:rFonts w:ascii="Arial" w:cs="Arial" w:eastAsia="Arial" w:hAnsi="Arial"/>
                <w:sz w:val="12"/>
                <w:szCs w:val="12"/>
                <w:color w:val="auto"/>
              </w:rPr>
              <w:t>Diluted loss per share</w:t>
            </w:r>
          </w:p>
        </w:tc>
        <w:tc>
          <w:tcPr>
            <w:tcW w:w="72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2"/>
                <w:szCs w:val="12"/>
                <w:color w:val="auto"/>
              </w:rPr>
              <w:t>N/A</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0" w:lineRule="exact"/>
              <w:rPr>
                <w:sz w:val="20"/>
                <w:szCs w:val="20"/>
                <w:color w:val="auto"/>
              </w:rPr>
            </w:pPr>
            <w:r>
              <w:rPr>
                <w:rFonts w:ascii="Arial" w:cs="Arial" w:eastAsia="Arial" w:hAnsi="Arial"/>
                <w:sz w:val="12"/>
                <w:szCs w:val="12"/>
                <w:color w:val="auto"/>
              </w:rPr>
              <w:t>N/A</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N/A</w:t>
            </w:r>
          </w:p>
        </w:tc>
        <w:tc>
          <w:tcPr>
            <w:tcW w:w="360" w:type="dxa"/>
            <w:vAlign w:val="bottom"/>
          </w:tcPr>
          <w:p>
            <w:pPr>
              <w:spacing w:after="0"/>
              <w:rPr>
                <w:sz w:val="10"/>
                <w:szCs w:val="10"/>
                <w:color w:val="auto"/>
              </w:rPr>
            </w:pPr>
          </w:p>
        </w:tc>
        <w:tc>
          <w:tcPr>
            <w:tcW w:w="980" w:type="dxa"/>
            <w:vAlign w:val="bottom"/>
            <w:gridSpan w:val="2"/>
          </w:tcPr>
          <w:p>
            <w:pPr>
              <w:ind w:left="560"/>
              <w:spacing w:after="0" w:line="120" w:lineRule="exact"/>
              <w:rPr>
                <w:sz w:val="20"/>
                <w:szCs w:val="20"/>
                <w:color w:val="auto"/>
              </w:rPr>
            </w:pPr>
            <w:r>
              <w:rPr>
                <w:rFonts w:ascii="Arial" w:cs="Arial" w:eastAsia="Arial" w:hAnsi="Arial"/>
                <w:sz w:val="12"/>
                <w:szCs w:val="12"/>
                <w:color w:val="auto"/>
              </w:rPr>
              <w:t>N/A</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(0.15)</w:t>
            </w:r>
          </w:p>
        </w:tc>
      </w:tr>
      <w:tr>
        <w:trPr>
          <w:trHeight w:val="20"/>
        </w:trPr>
        <w:tc>
          <w:tcPr>
            <w:tcW w:w="46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Weighted average basic shares outstanding</w:t>
            </w: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N/A</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N/A</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N/A</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ind w:left="560"/>
              <w:spacing w:after="0" w:line="120" w:lineRule="exact"/>
              <w:rPr>
                <w:sz w:val="20"/>
                <w:szCs w:val="20"/>
                <w:color w:val="auto"/>
              </w:rPr>
            </w:pPr>
            <w:r>
              <w:rPr>
                <w:rFonts w:ascii="Arial" w:cs="Arial" w:eastAsia="Arial" w:hAnsi="Arial"/>
                <w:sz w:val="12"/>
                <w:szCs w:val="12"/>
                <w:color w:val="auto"/>
                <w:w w:val="89"/>
              </w:rPr>
              <w:t>N/A</w:t>
            </w:r>
          </w:p>
        </w:tc>
        <w:tc>
          <w:tcPr>
            <w:tcW w:w="2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64,149,699</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20"/>
        </w:trPr>
        <w:tc>
          <w:tcPr>
            <w:tcW w:w="4640" w:type="dxa"/>
            <w:vAlign w:val="bottom"/>
          </w:tcPr>
          <w:p>
            <w:pPr>
              <w:spacing w:after="0" w:line="120" w:lineRule="exact"/>
              <w:rPr>
                <w:sz w:val="20"/>
                <w:szCs w:val="20"/>
                <w:color w:val="auto"/>
              </w:rPr>
            </w:pPr>
            <w:r>
              <w:rPr>
                <w:rFonts w:ascii="Arial" w:cs="Arial" w:eastAsia="Arial" w:hAnsi="Arial"/>
                <w:sz w:val="12"/>
                <w:szCs w:val="12"/>
                <w:color w:val="auto"/>
              </w:rPr>
              <w:t>Weighted average diluted shares outstanding</w:t>
            </w:r>
          </w:p>
        </w:tc>
        <w:tc>
          <w:tcPr>
            <w:tcW w:w="720" w:type="dxa"/>
            <w:vAlign w:val="bottom"/>
          </w:tcPr>
          <w:p>
            <w:pPr>
              <w:spacing w:after="0"/>
              <w:rPr>
                <w:sz w:val="10"/>
                <w:szCs w:val="10"/>
                <w:color w:val="auto"/>
              </w:rPr>
            </w:pP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N/A</w:t>
            </w:r>
          </w:p>
        </w:tc>
        <w:tc>
          <w:tcPr>
            <w:tcW w:w="120" w:type="dxa"/>
            <w:vAlign w:val="bottom"/>
          </w:tcPr>
          <w:p>
            <w:pPr>
              <w:spacing w:after="0"/>
              <w:rPr>
                <w:sz w:val="10"/>
                <w:szCs w:val="10"/>
                <w:color w:val="auto"/>
              </w:rPr>
            </w:pPr>
          </w:p>
        </w:tc>
        <w:tc>
          <w:tcPr>
            <w:tcW w:w="12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N/A</w:t>
            </w: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N/A</w:t>
            </w:r>
          </w:p>
        </w:tc>
        <w:tc>
          <w:tcPr>
            <w:tcW w:w="360" w:type="dxa"/>
            <w:vAlign w:val="bottom"/>
          </w:tcPr>
          <w:p>
            <w:pPr>
              <w:spacing w:after="0"/>
              <w:rPr>
                <w:sz w:val="10"/>
                <w:szCs w:val="10"/>
                <w:color w:val="auto"/>
              </w:rPr>
            </w:pPr>
          </w:p>
        </w:tc>
        <w:tc>
          <w:tcPr>
            <w:tcW w:w="980" w:type="dxa"/>
            <w:vAlign w:val="bottom"/>
            <w:gridSpan w:val="2"/>
          </w:tcPr>
          <w:p>
            <w:pPr>
              <w:ind w:left="560"/>
              <w:spacing w:after="0" w:line="120" w:lineRule="exact"/>
              <w:rPr>
                <w:sz w:val="20"/>
                <w:szCs w:val="20"/>
                <w:color w:val="auto"/>
              </w:rPr>
            </w:pPr>
            <w:r>
              <w:rPr>
                <w:rFonts w:ascii="Arial" w:cs="Arial" w:eastAsia="Arial" w:hAnsi="Arial"/>
                <w:sz w:val="12"/>
                <w:szCs w:val="12"/>
                <w:color w:val="auto"/>
              </w:rPr>
              <w:t>N/A</w:t>
            </w:r>
          </w:p>
        </w:tc>
        <w:tc>
          <w:tcPr>
            <w:tcW w:w="420" w:type="dxa"/>
            <w:vAlign w:val="bottom"/>
          </w:tcPr>
          <w:p>
            <w:pPr>
              <w:spacing w:after="0"/>
              <w:rPr>
                <w:sz w:val="10"/>
                <w:szCs w:val="10"/>
                <w:color w:val="auto"/>
              </w:rPr>
            </w:pPr>
          </w:p>
        </w:tc>
        <w:tc>
          <w:tcPr>
            <w:tcW w:w="82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69,950,141</w:t>
            </w:r>
          </w:p>
        </w:tc>
      </w:tr>
      <w:tr>
        <w:trPr>
          <w:trHeight w:val="20"/>
        </w:trPr>
        <w:tc>
          <w:tcPr>
            <w:tcW w:w="4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46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b w:val="1"/>
                <w:bCs w:val="1"/>
                <w:color w:val="auto"/>
              </w:rPr>
              <w:t>Earnings (Loss) Per Unit</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w w:val="93"/>
              </w:rPr>
              <w:t>Basic and diluted earnings (loss) per Class A-1, A-2 and A-3 units from continuing operations</w:t>
            </w:r>
          </w:p>
        </w:tc>
        <w:tc>
          <w:tcPr>
            <w:tcW w:w="720" w:type="dxa"/>
            <w:vAlign w:val="bottom"/>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16.95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(0.42)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43.18</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31.95</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2"/>
                <w:szCs w:val="12"/>
                <w:color w:val="auto"/>
              </w:rPr>
              <w:t>N/A</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4640" w:type="dxa"/>
            <w:vAlign w:val="bottom"/>
          </w:tcPr>
          <w:p>
            <w:pPr>
              <w:spacing w:after="0" w:line="120" w:lineRule="exact"/>
              <w:rPr>
                <w:sz w:val="20"/>
                <w:szCs w:val="20"/>
                <w:color w:val="auto"/>
              </w:rPr>
            </w:pPr>
            <w:r>
              <w:rPr>
                <w:rFonts w:ascii="Arial" w:cs="Arial" w:eastAsia="Arial" w:hAnsi="Arial"/>
                <w:sz w:val="12"/>
                <w:szCs w:val="12"/>
                <w:color w:val="auto"/>
                <w:w w:val="97"/>
              </w:rPr>
              <w:t>Basic and diluted earnings per Class A-1, A-2 and A-3 units from discontinued operations</w:t>
            </w:r>
          </w:p>
        </w:tc>
        <w:tc>
          <w:tcPr>
            <w:tcW w:w="720" w:type="dxa"/>
            <w:vAlign w:val="bottom"/>
          </w:tcPr>
          <w:p>
            <w:pPr>
              <w:jc w:val="right"/>
              <w:ind w:right="61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0"/>
              <w:spacing w:after="0" w:line="120" w:lineRule="exact"/>
              <w:rPr>
                <w:sz w:val="20"/>
                <w:szCs w:val="20"/>
                <w:color w:val="auto"/>
              </w:rPr>
            </w:pPr>
            <w:r>
              <w:rPr>
                <w:rFonts w:ascii="Arial" w:cs="Arial" w:eastAsia="Arial" w:hAnsi="Arial"/>
                <w:sz w:val="12"/>
                <w:szCs w:val="12"/>
                <w:color w:val="auto"/>
              </w:rPr>
              <w:t>(1.98)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820" w:type="dxa"/>
            <w:vAlign w:val="bottom"/>
            <w:gridSpan w:val="2"/>
          </w:tcPr>
          <w:p>
            <w:pPr>
              <w:ind w:left="500"/>
              <w:spacing w:after="0" w:line="120" w:lineRule="exact"/>
              <w:rPr>
                <w:sz w:val="20"/>
                <w:szCs w:val="20"/>
                <w:color w:val="auto"/>
              </w:rPr>
            </w:pPr>
            <w:r>
              <w:rPr>
                <w:rFonts w:ascii="Arial" w:cs="Arial" w:eastAsia="Arial" w:hAnsi="Arial"/>
                <w:sz w:val="12"/>
                <w:szCs w:val="12"/>
                <w:color w:val="auto"/>
              </w:rPr>
              <w:t>N/A</w:t>
            </w:r>
          </w:p>
        </w:tc>
      </w:tr>
      <w:tr>
        <w:trPr>
          <w:trHeight w:val="20"/>
        </w:trPr>
        <w:tc>
          <w:tcPr>
            <w:tcW w:w="46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Basic and diluted earnings (loss) per Class A-1, A-2 and A-3 units</w:t>
            </w:r>
          </w:p>
        </w:tc>
        <w:tc>
          <w:tcPr>
            <w:tcW w:w="72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14.97</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(0.42)</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43.18</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31.95</w:t>
            </w:r>
          </w:p>
        </w:tc>
        <w:tc>
          <w:tcPr>
            <w:tcW w:w="2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ind w:left="500"/>
              <w:spacing w:after="0" w:line="120" w:lineRule="exact"/>
              <w:rPr>
                <w:sz w:val="20"/>
                <w:szCs w:val="20"/>
                <w:color w:val="auto"/>
              </w:rPr>
            </w:pPr>
            <w:r>
              <w:rPr>
                <w:rFonts w:ascii="Arial" w:cs="Arial" w:eastAsia="Arial" w:hAnsi="Arial"/>
                <w:sz w:val="12"/>
                <w:szCs w:val="12"/>
                <w:color w:val="auto"/>
                <w:w w:val="89"/>
              </w:rPr>
              <w:t>N/A</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20"/>
        </w:trPr>
        <w:tc>
          <w:tcPr>
            <w:tcW w:w="4640" w:type="dxa"/>
            <w:vAlign w:val="bottom"/>
          </w:tcPr>
          <w:p>
            <w:pPr>
              <w:spacing w:after="0" w:line="120" w:lineRule="exact"/>
              <w:rPr>
                <w:sz w:val="20"/>
                <w:szCs w:val="20"/>
                <w:color w:val="auto"/>
              </w:rPr>
            </w:pPr>
            <w:r>
              <w:rPr>
                <w:rFonts w:ascii="Arial" w:cs="Arial" w:eastAsia="Arial" w:hAnsi="Arial"/>
                <w:sz w:val="12"/>
                <w:szCs w:val="12"/>
                <w:color w:val="auto"/>
              </w:rPr>
              <w:t>Basic and diluted weighted-average number of units outstanding</w:t>
            </w:r>
          </w:p>
        </w:tc>
        <w:tc>
          <w:tcPr>
            <w:tcW w:w="72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2"/>
                <w:szCs w:val="12"/>
                <w:color w:val="auto"/>
                <w:w w:val="92"/>
              </w:rPr>
              <w:t>847,024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899,160</w:t>
            </w: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899,160</w:t>
            </w:r>
          </w:p>
        </w:tc>
        <w:tc>
          <w:tcPr>
            <w:tcW w:w="360" w:type="dxa"/>
            <w:vAlign w:val="bottom"/>
          </w:tcPr>
          <w:p>
            <w:pPr>
              <w:spacing w:after="0"/>
              <w:rPr>
                <w:sz w:val="10"/>
                <w:szCs w:val="10"/>
                <w:color w:val="auto"/>
              </w:rPr>
            </w:pPr>
          </w:p>
        </w:tc>
        <w:tc>
          <w:tcPr>
            <w:tcW w:w="9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899,160</w:t>
            </w:r>
          </w:p>
        </w:tc>
        <w:tc>
          <w:tcPr>
            <w:tcW w:w="420" w:type="dxa"/>
            <w:vAlign w:val="bottom"/>
          </w:tcPr>
          <w:p>
            <w:pPr>
              <w:spacing w:after="0"/>
              <w:rPr>
                <w:sz w:val="10"/>
                <w:szCs w:val="10"/>
                <w:color w:val="auto"/>
              </w:rPr>
            </w:pPr>
          </w:p>
        </w:tc>
        <w:tc>
          <w:tcPr>
            <w:tcW w:w="820" w:type="dxa"/>
            <w:vAlign w:val="bottom"/>
            <w:gridSpan w:val="2"/>
          </w:tcPr>
          <w:p>
            <w:pPr>
              <w:ind w:left="500"/>
              <w:spacing w:after="0" w:line="120" w:lineRule="exact"/>
              <w:rPr>
                <w:sz w:val="20"/>
                <w:szCs w:val="20"/>
                <w:color w:val="auto"/>
              </w:rPr>
            </w:pPr>
            <w:r>
              <w:rPr>
                <w:rFonts w:ascii="Arial" w:cs="Arial" w:eastAsia="Arial" w:hAnsi="Arial"/>
                <w:sz w:val="12"/>
                <w:szCs w:val="12"/>
                <w:color w:val="auto"/>
              </w:rPr>
              <w:t>N/A</w:t>
            </w:r>
          </w:p>
        </w:tc>
      </w:tr>
      <w:tr>
        <w:trPr>
          <w:trHeight w:val="20"/>
        </w:trPr>
        <w:tc>
          <w:tcPr>
            <w:tcW w:w="4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7"/>
        </w:trPr>
        <w:tc>
          <w:tcPr>
            <w:tcW w:w="4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jc w:val="right"/>
              <w:ind w:right="40"/>
              <w:spacing w:after="0"/>
              <w:rPr>
                <w:sz w:val="20"/>
                <w:szCs w:val="20"/>
                <w:color w:val="auto"/>
              </w:rPr>
            </w:pPr>
            <w:r>
              <w:rPr>
                <w:rFonts w:ascii="Arial" w:cs="Arial" w:eastAsia="Arial" w:hAnsi="Arial"/>
                <w:sz w:val="10"/>
                <w:szCs w:val="10"/>
                <w:color w:val="auto"/>
              </w:rPr>
              <w:t>45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40" w:type="dxa"/>
            <w:vAlign w:val="bottom"/>
            <w:gridSpan w:val="3"/>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4640" w:type="dxa"/>
            <w:vAlign w:val="bottom"/>
            <w:gridSpan w:val="3"/>
          </w:tcPr>
          <w:p>
            <w:pPr>
              <w:spacing w:after="0"/>
              <w:rPr>
                <w:sz w:val="20"/>
                <w:szCs w:val="20"/>
                <w:color w:val="auto"/>
              </w:rPr>
            </w:pPr>
            <w:r>
              <w:rPr>
                <w:rFonts w:ascii="Arial" w:cs="Arial" w:eastAsia="Arial" w:hAnsi="Arial"/>
                <w:sz w:val="12"/>
                <w:szCs w:val="12"/>
                <w:b w:val="1"/>
                <w:bCs w:val="1"/>
                <w:color w:val="auto"/>
              </w:rPr>
              <w:t>Balance Sheet Data:</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5"/>
        </w:trPr>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As of the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6"/>
              </w:rPr>
              <w:t>As of</w:t>
            </w:r>
          </w:p>
        </w:tc>
      </w:tr>
      <w:tr>
        <w:trPr>
          <w:trHeight w:val="157"/>
        </w:trPr>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September 30,</w:t>
            </w:r>
          </w:p>
        </w:tc>
      </w:tr>
      <w:tr>
        <w:trPr>
          <w:trHeight w:val="142"/>
        </w:trPr>
        <w:tc>
          <w:tcPr>
            <w:tcW w:w="464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2018</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60"/>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Pr>
          <w:p>
            <w:pPr>
              <w:spacing w:after="0"/>
              <w:rPr>
                <w:sz w:val="12"/>
                <w:szCs w:val="12"/>
                <w:color w:val="auto"/>
              </w:rPr>
            </w:pPr>
          </w:p>
        </w:tc>
      </w:tr>
      <w:tr>
        <w:trPr>
          <w:trHeight w:val="142"/>
        </w:trPr>
        <w:tc>
          <w:tcPr>
            <w:tcW w:w="46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77,935</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Working capital</w:t>
            </w:r>
            <w:r>
              <w:rPr>
                <w:rFonts w:ascii="Arial" w:cs="Arial" w:eastAsia="Arial" w:hAnsi="Arial"/>
                <w:sz w:val="16"/>
                <w:szCs w:val="16"/>
                <w:color w:val="auto"/>
                <w:vertAlign w:val="superscript"/>
              </w:rPr>
              <w:t>(1)</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10,659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(9,970)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10,917</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68,161</w:t>
            </w:r>
          </w:p>
        </w:tc>
      </w:tr>
      <w:tr>
        <w:trPr>
          <w:trHeight w:val="144"/>
        </w:trPr>
        <w:tc>
          <w:tcPr>
            <w:tcW w:w="46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assets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48,063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33,754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53,894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362,624</w:t>
            </w:r>
          </w:p>
        </w:tc>
      </w:tr>
      <w:tr>
        <w:trPr>
          <w:trHeight w:val="144"/>
        </w:trPr>
        <w:tc>
          <w:tcPr>
            <w:tcW w:w="4640" w:type="dxa"/>
            <w:vAlign w:val="bottom"/>
            <w:gridSpan w:val="3"/>
          </w:tcPr>
          <w:p>
            <w:pPr>
              <w:spacing w:after="0"/>
              <w:rPr>
                <w:sz w:val="20"/>
                <w:szCs w:val="20"/>
                <w:color w:val="auto"/>
              </w:rPr>
            </w:pPr>
            <w:r>
              <w:rPr>
                <w:rFonts w:ascii="Arial" w:cs="Arial" w:eastAsia="Arial" w:hAnsi="Arial"/>
                <w:sz w:val="12"/>
                <w:szCs w:val="12"/>
                <w:color w:val="auto"/>
              </w:rPr>
              <w:t>Total debt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5,225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205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205</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46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17,939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20,955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24,623</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315,209</w:t>
            </w:r>
          </w:p>
        </w:tc>
      </w:tr>
      <w:tr>
        <w:trPr>
          <w:trHeight w:val="153"/>
        </w:trPr>
        <w:tc>
          <w:tcPr>
            <w:tcW w:w="4640" w:type="dxa"/>
            <w:vAlign w:val="bottom"/>
            <w:gridSpan w:val="3"/>
          </w:tcPr>
          <w:p>
            <w:pPr>
              <w:spacing w:after="0"/>
              <w:rPr>
                <w:sz w:val="20"/>
                <w:szCs w:val="20"/>
                <w:color w:val="auto"/>
              </w:rPr>
            </w:pPr>
            <w:r>
              <w:rPr>
                <w:rFonts w:ascii="Arial" w:cs="Arial" w:eastAsia="Arial" w:hAnsi="Arial"/>
                <w:sz w:val="12"/>
                <w:szCs w:val="12"/>
                <w:color w:val="auto"/>
              </w:rPr>
              <w:t>Total equity</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30,124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12,799</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29,271</w:t>
            </w:r>
          </w:p>
        </w:tc>
        <w:tc>
          <w:tcPr>
            <w:tcW w:w="4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47,415</w:t>
            </w:r>
          </w:p>
        </w:tc>
      </w:tr>
      <w:tr>
        <w:trPr>
          <w:trHeight w:val="198"/>
        </w:trPr>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4640" w:type="dxa"/>
            <w:vAlign w:val="bottom"/>
            <w:gridSpan w:val="3"/>
          </w:tcPr>
          <w:p>
            <w:pPr>
              <w:spacing w:after="0"/>
              <w:rPr>
                <w:sz w:val="20"/>
                <w:szCs w:val="20"/>
                <w:color w:val="auto"/>
              </w:rPr>
            </w:pPr>
            <w:r>
              <w:rPr>
                <w:rFonts w:ascii="Arial" w:cs="Arial" w:eastAsia="Arial" w:hAnsi="Arial"/>
                <w:sz w:val="12"/>
                <w:szCs w:val="12"/>
                <w:color w:val="auto"/>
              </w:rPr>
              <w:t>(1)  Working capital is defined as current assets less current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88"/>
        </w:trPr>
        <w:tc>
          <w:tcPr>
            <w:tcW w:w="4640" w:type="dxa"/>
            <w:vAlign w:val="bottom"/>
            <w:gridSpan w:val="3"/>
          </w:tcPr>
          <w:p>
            <w:pPr>
              <w:spacing w:after="0"/>
              <w:rPr>
                <w:sz w:val="20"/>
                <w:szCs w:val="20"/>
                <w:color w:val="auto"/>
              </w:rPr>
            </w:pPr>
            <w:r>
              <w:rPr>
                <w:rFonts w:ascii="Arial" w:cs="Arial" w:eastAsia="Arial" w:hAnsi="Arial"/>
                <w:sz w:val="12"/>
                <w:szCs w:val="12"/>
                <w:b w:val="1"/>
                <w:bCs w:val="1"/>
                <w:color w:val="auto"/>
              </w:rPr>
              <w:t>Historical Cash Flow:</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3"/>
              </w:rPr>
              <w:t>Year Ended</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2"/>
                <w:szCs w:val="12"/>
                <w:b w:val="1"/>
                <w:bCs w:val="1"/>
                <w:color w:val="auto"/>
                <w:w w:val="89"/>
              </w:rPr>
              <w:t>December 31,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2019</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60"/>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Pr>
          <w:p>
            <w:pPr>
              <w:spacing w:after="0"/>
              <w:rPr>
                <w:sz w:val="12"/>
                <w:szCs w:val="12"/>
                <w:color w:val="auto"/>
              </w:rPr>
            </w:pPr>
          </w:p>
        </w:tc>
      </w:tr>
      <w:tr>
        <w:trPr>
          <w:trHeight w:val="142"/>
        </w:trPr>
        <w:tc>
          <w:tcPr>
            <w:tcW w:w="46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17,689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6,295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38,620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29,566</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25,173</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gridSpan w:val="3"/>
          </w:tcPr>
          <w:p>
            <w:pPr>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(2,124)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2"/>
                <w:szCs w:val="12"/>
                <w:color w:val="auto"/>
              </w:rPr>
              <w:t>(5,129)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(1,311)</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(903)</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(23,246)</w:t>
            </w:r>
          </w:p>
        </w:tc>
      </w:tr>
      <w:tr>
        <w:trPr>
          <w:trHeight w:val="144"/>
        </w:trPr>
        <w:tc>
          <w:tcPr>
            <w:tcW w:w="46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3,244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(21,969)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(22,358)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(9,499)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56,089</w:t>
            </w:r>
          </w:p>
        </w:tc>
      </w:tr>
      <w:tr>
        <w:trPr>
          <w:trHeight w:val="361"/>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0"/>
                <w:szCs w:val="10"/>
                <w:color w:val="auto"/>
              </w:rPr>
              <w:t>46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52" w:name="page53"/>
    <w:bookmarkEnd w:id="5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in this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7"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Founded in 2008, we operate a leading listings marketplace with one of the most comprehensive SaaS subscription offerings sold to retailers and brands in the U.S. state-legal and Canadian cannabis markets.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14 million monthly active users (“MAUs”) as of September 30, 2021 on the demand-side and 4,194 average monthly paying business clients during the nine months ended September 30, 2021 on the supply-side of our marketplace. These paying clients include retailers, brands and other client types (such as doctors). Further, these clients, who can choose to purchase multiple listings solutions for each business, had purchased approximately 9,100 listing pages as of September 30, 2021 (of the over 18,300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reservations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10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3" w:name="page54"/>
    <w:bookmarkEnd w:id="5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September 30, 2021, we actively operated in over 20 U.S. states and territories that have adult-use and/or medical-use regulations in place. We define actively operated markets as those with greater than $1,000 monthly recurring revenue.</w:t>
      </w:r>
    </w:p>
    <w:p>
      <w:pPr>
        <w:spacing w:after="0" w:line="106"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Model</w:t>
      </w:r>
    </w:p>
    <w:p>
      <w:pPr>
        <w:spacing w:after="0" w:line="127"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local retailers, in a manner similar to technology platforms in other consumer goods verticals with a breadth and depth of product, brand, and retailer selection, although confirmation of orders and processing of payments may only occur outside the Weedmaps listings marketplace. With the development of our WM Business SaaS solution, we offer an end-to-end platform for licensed cannabis retailers to comply with state law applicable to the products these businesses are selling. The success of our business model is driven by our ability to increase the number of consumers engaging with the Weedmaps listings marketplace as well as our ability to attract new clients, retain existing clients and increase our sales to both new and existing clients in the local markets in which we operate through growing user engagements and offering compelling software solutions.</w:t>
      </w:r>
    </w:p>
    <w:p>
      <w:pPr>
        <w:spacing w:after="0" w:line="86"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operate a cloud-based platform, and unlike other cannabis-related businesses, we require minimal physical footprint and are not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growth, margins and cash flow while achieving our growth. From 2014 to 2020, we grew revenue at a CAGR of 35% and expanded gross margin from 92% to 95%. For the year ended December 31, 2020, we generated $162 million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nine months ended September 30, 2021, we generated $139 million in revenue, which represented 18% growth over the prior year. For the nine months ended September 30, 2021, we generated net income of $74 million and EBITDA of $77 million. For further information about how we calculate EBITDA, limitations of its use and a reconciliation of EBITDA to net income, see “—Key Operating and Financial Metrics-EBITDA and Adjusted EBITDA.”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4" w:name="page55"/>
    <w:bookmarkEnd w:id="5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71755</wp:posOffset>
            </wp:positionV>
            <wp:extent cx="3526155" cy="1417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26155"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 and Public Company Costs</w:t>
      </w:r>
    </w:p>
    <w:p>
      <w:pPr>
        <w:spacing w:after="0" w:line="136"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86"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Financial results prior to the Business Combination are presented as those of Legacy WMH.</w:t>
      </w:r>
    </w:p>
    <w:p>
      <w:pPr>
        <w:spacing w:after="0" w:line="8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We Seed and Scale Markets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efforts to attract and retain clients are tailored to the dynamics of individual jurisdictions and markets. We typically develop each new target market in the following stages:</w:t>
      </w:r>
    </w:p>
    <w:p>
      <w:pPr>
        <w:spacing w:after="0" w:line="123" w:lineRule="exact"/>
        <w:rPr>
          <w:sz w:val="20"/>
          <w:szCs w:val="20"/>
          <w:color w:val="auto"/>
        </w:rPr>
      </w:pPr>
    </w:p>
    <w:p>
      <w:pPr>
        <w:ind w:left="420" w:right="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 xml:space="preserve">Identify. </w:t>
      </w:r>
      <w:r>
        <w:rPr>
          <w:rFonts w:ascii="Arial" w:cs="Arial" w:eastAsia="Arial" w:hAnsi="Arial"/>
          <w:sz w:val="12"/>
          <w:szCs w:val="12"/>
          <w:color w:val="auto"/>
        </w:rPr>
        <w:t>Leveraging our policy and government relations expertise, we identify jurisdictions that are likely to liberalize the market for cannabis. We select new markets within those jurisdictions based on several criteria,</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population size, existing cannabis retailer density, potential licenses to be granted within the market and proximity to existing markets.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5" w:name="page56"/>
    <w:bookmarkEnd w:id="5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left="420" w:hanging="212"/>
        <w:spacing w:after="0" w:line="256" w:lineRule="auto"/>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Seed. </w:t>
      </w:r>
      <w:r>
        <w:rPr>
          <w:rFonts w:ascii="Arial" w:cs="Arial" w:eastAsia="Arial" w:hAnsi="Arial"/>
          <w:sz w:val="12"/>
          <w:szCs w:val="12"/>
          <w:color w:val="auto"/>
        </w:rPr>
        <w:t>Before launching a market in any jurisdiction, we typically engage in market and brand awareness campaigns, typically out-of-home, or OOH, and digital advertising, targeted at both potential clients and consumers. We</w:t>
      </w:r>
      <w:r>
        <w:rPr>
          <w:rFonts w:ascii="Arial" w:cs="Arial" w:eastAsia="Arial" w:hAnsi="Arial"/>
          <w:sz w:val="12"/>
          <w:szCs w:val="12"/>
          <w:i w:val="1"/>
          <w:iCs w:val="1"/>
          <w:color w:val="auto"/>
        </w:rPr>
        <w:t xml:space="preserve"> </w:t>
      </w:r>
      <w:r>
        <w:rPr>
          <w:rFonts w:ascii="Arial" w:cs="Arial" w:eastAsia="Arial" w:hAnsi="Arial"/>
          <w:sz w:val="12"/>
          <w:szCs w:val="12"/>
          <w:color w:val="auto"/>
        </w:rPr>
        <w:t>obtain license application or license information from the relevant regulatory agencies and create individual basic listings for each business location in the market. We do not monetize these free basic listings, which include basic contact information and reviews to attract cannabis businesses to our platform but lack functionality such as product menus, which we include only as part of our subscription offering in most markets. At launch, consumers can read and write reviews about any business on our platform. We also identify jurisdiction-specific regulatory approvals which would be needed for individual solutions within the WM Business suite and analyze state-specific regulations that would need to be incorporated into WM Business suite solutions.</w:t>
      </w:r>
    </w:p>
    <w:p>
      <w:pPr>
        <w:spacing w:after="0" w:line="110" w:lineRule="exact"/>
        <w:rPr>
          <w:rFonts w:ascii="Arial" w:cs="Arial" w:eastAsia="Arial" w:hAnsi="Arial"/>
          <w:sz w:val="12"/>
          <w:szCs w:val="12"/>
          <w:color w:val="auto"/>
        </w:rPr>
      </w:pPr>
    </w:p>
    <w:p>
      <w:pPr>
        <w:jc w:val="both"/>
        <w:ind w:left="420" w:hanging="212"/>
        <w:spacing w:after="0" w:line="285" w:lineRule="auto"/>
        <w:tabs>
          <w:tab w:leader="none" w:pos="420" w:val="left"/>
        </w:tabs>
        <w:numPr>
          <w:ilvl w:val="0"/>
          <w:numId w:val="24"/>
        </w:numPr>
        <w:rPr>
          <w:rFonts w:ascii="Arial" w:cs="Arial" w:eastAsia="Arial" w:hAnsi="Arial"/>
          <w:sz w:val="11"/>
          <w:szCs w:val="11"/>
          <w:color w:val="auto"/>
        </w:rPr>
      </w:pPr>
      <w:r>
        <w:rPr>
          <w:rFonts w:ascii="Arial" w:cs="Arial" w:eastAsia="Arial" w:hAnsi="Arial"/>
          <w:sz w:val="11"/>
          <w:szCs w:val="11"/>
          <w:i w:val="1"/>
          <w:iCs w:val="1"/>
          <w:color w:val="auto"/>
        </w:rPr>
        <w:t>Grow</w:t>
      </w:r>
      <w:r>
        <w:rPr>
          <w:rFonts w:ascii="Arial" w:cs="Arial" w:eastAsia="Arial" w:hAnsi="Arial"/>
          <w:sz w:val="11"/>
          <w:szCs w:val="11"/>
          <w:color w:val="auto"/>
        </w:rPr>
        <w:t>. After launch, we focus on attracting clients and consumers to our platform. These efforts include offering clients free trial periods to the WM Business subscription solution, demonstrating the attractive return on spend</w:t>
      </w:r>
      <w:r>
        <w:rPr>
          <w:rFonts w:ascii="Arial" w:cs="Arial" w:eastAsia="Arial" w:hAnsi="Arial"/>
          <w:sz w:val="11"/>
          <w:szCs w:val="11"/>
          <w:i w:val="1"/>
          <w:iCs w:val="1"/>
          <w:color w:val="auto"/>
        </w:rPr>
        <w:t xml:space="preserve"> </w:t>
      </w:r>
      <w:r>
        <w:rPr>
          <w:rFonts w:ascii="Arial" w:cs="Arial" w:eastAsia="Arial" w:hAnsi="Arial"/>
          <w:sz w:val="11"/>
          <w:szCs w:val="11"/>
          <w:color w:val="auto"/>
        </w:rPr>
        <w:t>of the listing presence on the Weedmaps listings marketplace as well as the value of the software solutions in creating operating efficiencies while enabling compliance functionality. We also continue hosting market and brand awareness campaigns, planning and executing engaging local events for the community, while deploying our inside and field sales force. Through these activities, we help increase the frequency of use of our marketplace driving a network effect, whereby the breadth and depth of consumer engagement expands and this expansion draws an increasing number of businesses to use additional features of our platform. This in turn further increases the richness of available information and thus attracts new and existing clients and consumers to use our platform.</w:t>
      </w:r>
    </w:p>
    <w:p>
      <w:pPr>
        <w:spacing w:after="0" w:line="86" w:lineRule="exact"/>
        <w:rPr>
          <w:rFonts w:ascii="Arial" w:cs="Arial" w:eastAsia="Arial" w:hAnsi="Arial"/>
          <w:sz w:val="11"/>
          <w:szCs w:val="11"/>
          <w:color w:val="auto"/>
        </w:rPr>
      </w:pPr>
    </w:p>
    <w:p>
      <w:pPr>
        <w:jc w:val="both"/>
        <w:ind w:left="420" w:hanging="212"/>
        <w:spacing w:after="0" w:line="259" w:lineRule="auto"/>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 xml:space="preserve">Scale. </w:t>
      </w:r>
      <w:r>
        <w:rPr>
          <w:rFonts w:ascii="Arial" w:cs="Arial" w:eastAsia="Arial" w:hAnsi="Arial"/>
          <w:sz w:val="12"/>
          <w:szCs w:val="12"/>
          <w:color w:val="auto"/>
        </w:rPr>
        <w:t>At scale, our platform reaches a critical mass of clients and consumers, and we begin an active sales effort to other local cannabis businesses that aren’t on the platform. Our sales efforts are increasingly consultative as</w:t>
      </w:r>
      <w:r>
        <w:rPr>
          <w:rFonts w:ascii="Arial" w:cs="Arial" w:eastAsia="Arial" w:hAnsi="Arial"/>
          <w:sz w:val="12"/>
          <w:szCs w:val="12"/>
          <w:i w:val="1"/>
          <w:iCs w:val="1"/>
          <w:color w:val="auto"/>
        </w:rPr>
        <w:t xml:space="preserve"> </w:t>
      </w:r>
      <w:r>
        <w:rPr>
          <w:rFonts w:ascii="Arial" w:cs="Arial" w:eastAsia="Arial" w:hAnsi="Arial"/>
          <w:sz w:val="12"/>
          <w:szCs w:val="12"/>
          <w:color w:val="auto"/>
        </w:rPr>
        <w:t>we work to educate businesses about the value of our offerings and dynamics in their local market so that they can optimize their compliance. In more mature markets, the mix of our advertising spend shifts from market and brand awareness towards digital performance marketing. In markets that have attained this level of development, we have achieved economies of scale and operating cost leverage and are able to drive higher levels of engagement within the WM Business solutions.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We Monetize Our Platform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currently monetize our platform through the following offerings:</w:t>
      </w:r>
    </w:p>
    <w:p>
      <w:pPr>
        <w:spacing w:after="0" w:line="123" w:lineRule="exact"/>
        <w:rPr>
          <w:sz w:val="20"/>
          <w:szCs w:val="20"/>
          <w:color w:val="auto"/>
        </w:rPr>
      </w:pPr>
    </w:p>
    <w:p>
      <w:pPr>
        <w:jc w:val="both"/>
        <w:ind w:left="420" w:hanging="212"/>
        <w:spacing w:after="0" w:line="259"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Monthly subscription offering. </w:t>
      </w:r>
      <w:r>
        <w:rPr>
          <w:rFonts w:ascii="Arial" w:cs="Arial" w:eastAsia="Arial" w:hAnsi="Arial"/>
          <w:sz w:val="12"/>
          <w:szCs w:val="12"/>
          <w:color w:val="auto"/>
        </w:rPr>
        <w:t>Through December 31, 2020, we offered standard listing subscription clients access to a listing page on weedmaps.com in addition to free access to our SaaS solutions, including WM Orders,</w:t>
      </w:r>
      <w:r>
        <w:rPr>
          <w:rFonts w:ascii="Arial" w:cs="Arial" w:eastAsia="Arial" w:hAnsi="Arial"/>
          <w:sz w:val="12"/>
          <w:szCs w:val="12"/>
          <w:i w:val="1"/>
          <w:iCs w:val="1"/>
          <w:color w:val="auto"/>
        </w:rPr>
        <w:t xml:space="preserve"> </w:t>
      </w:r>
      <w:r>
        <w:rPr>
          <w:rFonts w:ascii="Arial" w:cs="Arial" w:eastAsia="Arial" w:hAnsi="Arial"/>
          <w:sz w:val="12"/>
          <w:szCs w:val="12"/>
          <w:color w:val="auto"/>
        </w:rPr>
        <w:t>WM Dispatch, WM Exchange, WM Retail and WM Store, along with our API integrations with third-party POS systems. These standard listing clients were also then required to pay a $5.00 technology services fee per delivery order submitted which we imposed beginning in September 2019 (regardless of whether the proposed order was canceled or completed). Standard listing clients did not have access to WM Dashboard, which was only available to clients who purchased our featured listings upsell solution.</w:t>
      </w:r>
    </w:p>
    <w:p>
      <w:pPr>
        <w:spacing w:after="0" w:line="10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Since January 1, 2021, the number of reservations for pick-up or delivery submitted through our WM Orders or WM Store features has had no impact on our revenue.</w:t>
      </w:r>
    </w:p>
    <w:p>
      <w:pPr>
        <w:spacing w:after="0" w:line="95"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We have taken a pricing increase concurrent with this transition to reflect the additional value embedded within the WM Business subscription package associated with access to the full SaaS solution set that we offer in a particular jurisdiction, including WM Dashboard and potentially including the compliance and management tools included in our WM Dispatch software solution to help facilitate compliant delivery orders. Our monthly price for the WM Business subscription is generally $495 per month for dispensaries and $395 per month for delivery businesses.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6" w:name="page57"/>
    <w:bookmarkEnd w:id="5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do not expect a material impact to revenue from the elimination of the technology services fee on delivery orders as these fees were less than 5% of our revenue for the year ending December 31, 2020 and we expect them to be partially offset by the pricing increase associated with the new WM Business subscription package.</w:t>
      </w:r>
    </w:p>
    <w:p>
      <w:pPr>
        <w:spacing w:after="0" w:line="97"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Additional offerings. </w:t>
      </w:r>
      <w:r>
        <w:rPr>
          <w:rFonts w:ascii="Arial" w:cs="Arial" w:eastAsia="Arial" w:hAnsi="Arial"/>
          <w:sz w:val="12"/>
          <w:szCs w:val="12"/>
          <w:color w:val="auto"/>
        </w:rPr>
        <w:t>We also offer several add-on and upsell solutions to our paying subscription clients, including:</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1"/>
          <w:numId w:val="26"/>
        </w:numPr>
        <w:rPr>
          <w:rFonts w:ascii="Arial" w:cs="Arial" w:eastAsia="Arial" w:hAnsi="Arial"/>
          <w:sz w:val="12"/>
          <w:szCs w:val="12"/>
          <w:color w:val="auto"/>
        </w:rPr>
      </w:pPr>
      <w:r>
        <w:rPr>
          <w:rFonts w:ascii="Arial" w:cs="Arial" w:eastAsia="Arial" w:hAnsi="Arial"/>
          <w:sz w:val="12"/>
          <w:szCs w:val="12"/>
          <w:color w:val="auto"/>
        </w:rPr>
        <w:t>Nearby listings, which allow clients to increase presence in adjacent regions next to their home region to the extent permitted by their license.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1"/>
          <w:numId w:val="26"/>
        </w:numPr>
        <w:rPr>
          <w:rFonts w:ascii="Arial" w:cs="Arial" w:eastAsia="Arial" w:hAnsi="Arial"/>
          <w:sz w:val="12"/>
          <w:szCs w:val="12"/>
          <w:color w:val="auto"/>
        </w:rPr>
      </w:pPr>
      <w:r>
        <w:rPr>
          <w:rFonts w:ascii="Arial" w:cs="Arial" w:eastAsia="Arial" w:hAnsi="Arial"/>
          <w:sz w:val="12"/>
          <w:szCs w:val="12"/>
          <w:color w:val="auto"/>
        </w:rPr>
        <w:t>Promoted deals, which allows retailers to showcase discounts and promotions on products to assist price-conscious consumers.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Display advertising, which provides clients with targeted ad solutions in highly visible slots across our digital surfaces.</w:t>
      </w:r>
    </w:p>
    <w:p>
      <w:pPr>
        <w:spacing w:after="0" w:line="150" w:lineRule="exact"/>
        <w:rPr>
          <w:rFonts w:ascii="Arial" w:cs="Arial" w:eastAsia="Arial" w:hAnsi="Arial"/>
          <w:sz w:val="12"/>
          <w:szCs w:val="12"/>
          <w:color w:val="auto"/>
        </w:rPr>
      </w:pPr>
    </w:p>
    <w:p>
      <w:pPr>
        <w:jc w:val="both"/>
        <w:ind w:left="420" w:hanging="212"/>
        <w:spacing w:after="0" w:line="256" w:lineRule="auto"/>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Featured listings, which allow clients to drive additional traffic through prominent placement on our Weedmaps listings marketplace. These featured listings provide our clients with prominent visibility on our geo-targeted map page views and our homepage within a given market, which drives higher levels of engagement as consumers more easily navigate to a featured listing client’s listing page. We have a fixed inventory of featured listings that we sell in each of our markets and currently price these listings using a competitive bid-auction process, reflecting local market demand. Clients who win the auction are entitled to their featured listing at the fixed price by which they won the auction for a 60-day period, independent of the user engagements we generate to the client’s listing page during that period. As an individual market increases in client density relative to consumer demand, we have the ability to cleave markets, which increases the inventory of available advertising placements that we can monetize.</w:t>
      </w:r>
    </w:p>
    <w:p>
      <w:pPr>
        <w:spacing w:after="0" w:line="10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Featured listings revenue contributed 56% and 76% of our total revenue for the nine months ended September 30, 2021 and the year ended December 31, 2020, respectively. While we have had great success in using our featured listings bid-auction to grow our monthly revenue per client, we believe there is an opportunity to increase pricing further in selected markets by transitioning towards a performance-based pricing model where we sell featured listings inventory on a cost-per-impression or cost-per-click basis. For example, the implied cost-per-click across our featured listings inventory was $0.49 in December 2020, which is significantly lower than other digital marketing platforms servicing less specialized end-markets without requiring the level of user targeting that our platform provides. Further, during the last six months of fiscal 2020, our platform had an average click-through-rate in excess of 10% for our dispensary and delivery featured listings inventory which is significantly higher than other less specialized digital marketing platforms. We recently launched a self-serve bidding engine in select regions within Michigan and Colorado, allowing clients to purchase featured listings on a cost-per-click basis based on a target budget. We will look to expand these performance-based pricing tests in additional markets over time.</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seen significant growth in our monthly revenue per client over time. We have generally seen that the longer clients stay on the Weedmaps listings marketplace and leverage our WM Business solutions, the more they spend with us. We have also experienced rising levels of spend by our more recent client cohorts as seen in the below chart, which is dated as of September 30, 2021, where our more recent 2018 and 2019 client cohorts are spending at higher levels in the first three months on the platform vs. our 2016 and 2017 client cohorts.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7" w:name="page58"/>
    <w:bookmarkEnd w:id="57"/>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71755</wp:posOffset>
            </wp:positionV>
            <wp:extent cx="3554730" cy="1920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473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We believe these dynamics are driven by (i) increasing retail density as license issuance continues within the markets we serve, creating more new potential clients and increased competition among clients we serve, and (ii) more client engagement across our WM Business solution set, leading to an enhanced awareness of the return on investment that our clients receive from spend on our platform.</w:t>
      </w:r>
    </w:p>
    <w:p>
      <w:pPr>
        <w:spacing w:after="0" w:line="88"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We sell our offerings in the United States and Canada, and we have a limited number of non-monetized listings in several international countries including Austria, Germany, the Netherlands, Spain, and Switzerland. As of September 30, 2021, we actively operated in over 20 U.S. states and territories that have adult-use and/or medical-use regulations in place.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Key Operating and Financial Metrics</w:t>
      </w:r>
    </w:p>
    <w:p>
      <w:pPr>
        <w:spacing w:after="0" w:line="127" w:lineRule="exact"/>
        <w:rPr>
          <w:sz w:val="20"/>
          <w:szCs w:val="20"/>
          <w:color w:val="auto"/>
        </w:rPr>
      </w:pPr>
    </w:p>
    <w:p>
      <w:pPr>
        <w:ind w:left="208"/>
        <w:spacing w:after="0"/>
        <w:rPr>
          <w:sz w:val="20"/>
          <w:szCs w:val="20"/>
          <w:color w:val="auto"/>
        </w:rPr>
      </w:pPr>
      <w:r>
        <w:rPr>
          <w:rFonts w:ascii="Arial" w:cs="Arial" w:eastAsia="Arial" w:hAnsi="Arial"/>
          <w:sz w:val="11"/>
          <w:szCs w:val="11"/>
          <w:color w:val="auto"/>
        </w:rPr>
        <w:t>We monitor the following key financial and operational metrics to evaluate our business, measure our performance, identify trends affecting our business, formulate business plans, and make strategic decisions.</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6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w w:val="93"/>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(dollars in</w:t>
            </w:r>
          </w:p>
        </w:tc>
        <w:tc>
          <w:tcPr>
            <w:tcW w:w="2260" w:type="dxa"/>
            <w:vAlign w:val="bottom"/>
            <w:gridSpan w:val="5"/>
          </w:tcPr>
          <w:p>
            <w:pPr>
              <w:jc w:val="right"/>
              <w:ind w:right="170"/>
              <w:spacing w:after="0"/>
              <w:rPr>
                <w:sz w:val="20"/>
                <w:szCs w:val="20"/>
                <w:color w:val="auto"/>
              </w:rPr>
            </w:pPr>
            <w:r>
              <w:rPr>
                <w:rFonts w:ascii="Arial" w:cs="Arial" w:eastAsia="Arial" w:hAnsi="Arial"/>
                <w:sz w:val="12"/>
                <w:szCs w:val="12"/>
                <w:b w:val="1"/>
                <w:bCs w:val="1"/>
                <w:color w:val="auto"/>
                <w:w w:val="87"/>
              </w:rPr>
              <w:t>thousands, except for revenue by client)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2"/>
              </w:rPr>
              <w:t>101,402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144,232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161,791</w:t>
            </w:r>
          </w:p>
        </w:tc>
        <w:tc>
          <w:tcPr>
            <w:tcW w:w="700" w:type="dxa"/>
            <w:vAlign w:val="bottom"/>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117,470</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138,969</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Net Income (loss)</w:t>
            </w:r>
          </w:p>
        </w:tc>
        <w:tc>
          <w:tcPr>
            <w:tcW w:w="720" w:type="dxa"/>
            <w:vAlign w:val="bottom"/>
          </w:tcPr>
          <w:p>
            <w:pPr>
              <w:jc w:val="right"/>
              <w:ind w:right="61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12,679</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(375)</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38,830</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73,773</w:t>
            </w:r>
          </w:p>
        </w:tc>
      </w:tr>
      <w:tr>
        <w:trPr>
          <w:trHeight w:val="144"/>
        </w:trPr>
        <w:tc>
          <w:tcPr>
            <w:tcW w:w="464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EBITDA</w:t>
            </w:r>
            <w:r>
              <w:rPr>
                <w:rFonts w:ascii="Arial" w:cs="Arial" w:eastAsia="Arial" w:hAnsi="Arial"/>
                <w:sz w:val="16"/>
                <w:szCs w:val="16"/>
                <w:color w:val="auto"/>
                <w:vertAlign w:val="superscript"/>
              </w:rPr>
              <w:t>(1)</w:t>
            </w:r>
          </w:p>
        </w:tc>
        <w:tc>
          <w:tcPr>
            <w:tcW w:w="720" w:type="dxa"/>
            <w:vAlign w:val="bottom"/>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15,448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6,232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42,808</w:t>
            </w:r>
          </w:p>
        </w:tc>
        <w:tc>
          <w:tcPr>
            <w:tcW w:w="700" w:type="dxa"/>
            <w:vAlign w:val="bottom"/>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31,712</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76,985</w:t>
            </w:r>
          </w:p>
        </w:tc>
      </w:tr>
      <w:tr>
        <w:trPr>
          <w:trHeight w:val="144"/>
        </w:trPr>
        <w:tc>
          <w:tcPr>
            <w:tcW w:w="4640" w:type="dxa"/>
            <w:vAlign w:val="bottom"/>
          </w:tcPr>
          <w:p>
            <w:pPr>
              <w:spacing w:after="0" w:line="144" w:lineRule="exact"/>
              <w:rPr>
                <w:sz w:val="20"/>
                <w:szCs w:val="20"/>
                <w:color w:val="auto"/>
              </w:rPr>
            </w:pPr>
            <w:r>
              <w:rPr>
                <w:rFonts w:ascii="Arial" w:cs="Arial" w:eastAsia="Arial" w:hAnsi="Arial"/>
                <w:sz w:val="10"/>
                <w:szCs w:val="10"/>
                <w:color w:val="auto"/>
              </w:rPr>
              <w:t>Adjusted EBITDA</w:t>
            </w:r>
            <w:r>
              <w:rPr>
                <w:rFonts w:ascii="Arial" w:cs="Arial" w:eastAsia="Arial" w:hAnsi="Arial"/>
                <w:sz w:val="16"/>
                <w:szCs w:val="16"/>
                <w:color w:val="auto"/>
                <w:vertAlign w:val="superscript"/>
              </w:rPr>
              <w:t>(1)</w:t>
            </w:r>
          </w:p>
        </w:tc>
        <w:tc>
          <w:tcPr>
            <w:tcW w:w="720" w:type="dxa"/>
            <w:vAlign w:val="bottom"/>
          </w:tcPr>
          <w:p>
            <w:pPr>
              <w:jc w:val="right"/>
              <w:ind w:right="61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17,123</w:t>
            </w: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13,828</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42,808</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31,712</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27,901</w:t>
            </w:r>
          </w:p>
        </w:tc>
      </w:tr>
      <w:tr>
        <w:trPr>
          <w:trHeight w:val="144"/>
        </w:trPr>
        <w:tc>
          <w:tcPr>
            <w:tcW w:w="464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 xml:space="preserve">Average monthly revenue per paying client </w:t>
            </w:r>
            <w:r>
              <w:rPr>
                <w:rFonts w:ascii="Arial" w:cs="Arial" w:eastAsia="Arial" w:hAnsi="Arial"/>
                <w:sz w:val="16"/>
                <w:szCs w:val="16"/>
                <w:color w:val="auto"/>
                <w:vertAlign w:val="superscript"/>
              </w:rPr>
              <w:t>(2)</w:t>
            </w:r>
          </w:p>
        </w:tc>
        <w:tc>
          <w:tcPr>
            <w:tcW w:w="720" w:type="dxa"/>
            <w:vAlign w:val="bottom"/>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2,091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2,558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3,256</w:t>
            </w:r>
          </w:p>
        </w:tc>
        <w:tc>
          <w:tcPr>
            <w:tcW w:w="700" w:type="dxa"/>
            <w:vAlign w:val="bottom"/>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3,083</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3,682</w:t>
            </w:r>
          </w:p>
        </w:tc>
      </w:tr>
      <w:tr>
        <w:trPr>
          <w:trHeight w:val="144"/>
        </w:trPr>
        <w:tc>
          <w:tcPr>
            <w:tcW w:w="4640" w:type="dxa"/>
            <w:vAlign w:val="bottom"/>
          </w:tcPr>
          <w:p>
            <w:pPr>
              <w:spacing w:after="0" w:line="144" w:lineRule="exact"/>
              <w:rPr>
                <w:sz w:val="20"/>
                <w:szCs w:val="20"/>
                <w:color w:val="auto"/>
              </w:rPr>
            </w:pPr>
            <w:r>
              <w:rPr>
                <w:rFonts w:ascii="Arial" w:cs="Arial" w:eastAsia="Arial" w:hAnsi="Arial"/>
                <w:sz w:val="10"/>
                <w:szCs w:val="10"/>
                <w:color w:val="auto"/>
              </w:rPr>
              <w:t>Average monthly paying clients</w:t>
            </w:r>
            <w:r>
              <w:rPr>
                <w:rFonts w:ascii="Arial" w:cs="Arial" w:eastAsia="Arial" w:hAnsi="Arial"/>
                <w:sz w:val="16"/>
                <w:szCs w:val="16"/>
                <w:color w:val="auto"/>
                <w:vertAlign w:val="superscript"/>
              </w:rPr>
              <w:t>(3)</w:t>
            </w:r>
          </w:p>
        </w:tc>
        <w:tc>
          <w:tcPr>
            <w:tcW w:w="7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4,041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4,699</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4,140</w:t>
            </w:r>
          </w:p>
        </w:tc>
        <w:tc>
          <w:tcPr>
            <w:tcW w:w="70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4,233</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4,194</w:t>
            </w:r>
          </w:p>
        </w:tc>
      </w:tr>
      <w:tr>
        <w:trPr>
          <w:trHeight w:val="144"/>
        </w:trPr>
        <w:tc>
          <w:tcPr>
            <w:tcW w:w="464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MAUs (in thousands)</w:t>
            </w:r>
            <w:r>
              <w:rPr>
                <w:rFonts w:ascii="Arial" w:cs="Arial" w:eastAsia="Arial" w:hAnsi="Arial"/>
                <w:sz w:val="16"/>
                <w:szCs w:val="16"/>
                <w:color w:val="auto"/>
                <w:vertAlign w:val="superscript"/>
              </w:rPr>
              <w:t>(4)</w:t>
            </w: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4,684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8,009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10,185</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07442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74420" cy="11430"/>
                    </a:xfrm>
                    <a:prstGeom prst="rect">
                      <a:avLst/>
                    </a:prstGeom>
                    <a:noFill/>
                  </pic:spPr>
                </pic:pic>
              </a:graphicData>
            </a:graphic>
          </wp:anchor>
        </w:drawing>
      </w:r>
    </w:p>
    <w:p>
      <w:pPr>
        <w:spacing w:after="0" w:line="277" w:lineRule="exact"/>
        <w:rPr>
          <w:sz w:val="20"/>
          <w:szCs w:val="20"/>
          <w:color w:val="auto"/>
        </w:rPr>
      </w:pPr>
    </w:p>
    <w:p>
      <w:pPr>
        <w:ind w:left="208" w:right="20"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For further information about how we calculate EBITDA and Adjusted EBITDA as well as limitations of its use and a reconciliation of EBITDA and Adjusted EBITDA to net income, see “-EBITDA and Adjusted EBITDA” below.</w:t>
      </w:r>
    </w:p>
    <w:p>
      <w:pPr>
        <w:spacing w:after="0" w:line="42"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Average monthly revenue per paying client is defined as the average monthly revenue for any particular period divided by the average monthly paying clients in the same respective period. See “-Average Monthly Revenue Per Paying Client” below for more information regarding average monthly revenue per paying client.</w:t>
      </w:r>
    </w:p>
    <w:p>
      <w:pPr>
        <w:spacing w:after="0" w:line="42"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w:t>
      </w:r>
    </w:p>
    <w:p>
      <w:pPr>
        <w:spacing w:after="0" w:line="42"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MAUs are defined as the number of unique users opening our Weedmaps mobile app or accessing our Weedmaps.com website over the course of a calendar month. Monthly active users in this table is for the last month in the period. See “-MAUs” below for more information regarding MAUs.</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58" w:name="page59"/>
    <w:bookmarkEnd w:id="5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right="260" w:firstLine="216"/>
        <w:spacing w:after="0" w:line="263" w:lineRule="auto"/>
        <w:rPr>
          <w:sz w:val="20"/>
          <w:szCs w:val="20"/>
          <w:color w:val="auto"/>
        </w:rPr>
      </w:pPr>
      <w:r>
        <w:rPr>
          <w:rFonts w:ascii="Arial" w:cs="Arial" w:eastAsia="Arial" w:hAnsi="Arial"/>
          <w:sz w:val="12"/>
          <w:szCs w:val="12"/>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EBITDA and Adjusted EBITDA</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35" w:lineRule="exact"/>
        <w:rPr>
          <w:sz w:val="20"/>
          <w:szCs w:val="20"/>
          <w:color w:val="auto"/>
        </w:rPr>
      </w:pPr>
    </w:p>
    <w:p>
      <w:pPr>
        <w:ind w:left="420" w:hanging="212"/>
        <w:spacing w:after="0" w:line="276" w:lineRule="auto"/>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EBITDA and Adjusted EBITDA do not reflect changes in, or cash requirements for, our working capital needs;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EBITDA and Adjusted EBITDA do not reflect tax payments that may represent a reduction in cash available to us.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Because of these limitations, you should consider EBITDA and Adjusted EBITDA alongside other financial performance measures, including net income and our other GAAP results.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reconciliation of net income to non-GAAP EBITDA and Adjusted EBITDA for the nine months ended September 30, 2021 and 2020, respectively: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15"/>
        </w:trPr>
        <w:tc>
          <w:tcPr>
            <w:tcW w:w="734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41"/>
        </w:trPr>
        <w:tc>
          <w:tcPr>
            <w:tcW w:w="660" w:type="dxa"/>
            <w:vAlign w:val="bottom"/>
            <w:tcBorders>
              <w:top w:val="single" w:sz="8" w:color="0000EE"/>
            </w:tcBorders>
          </w:tcPr>
          <w:p>
            <w:pPr>
              <w:spacing w:after="0"/>
              <w:rPr>
                <w:sz w:val="20"/>
                <w:szCs w:val="20"/>
                <w:color w:val="auto"/>
              </w:rPr>
            </w:pPr>
          </w:p>
        </w:tc>
        <w:tc>
          <w:tcPr>
            <w:tcW w:w="6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w w:val="96"/>
              </w:rPr>
              <w:t>Nine Months Ended September 30,</w:t>
            </w:r>
          </w:p>
        </w:tc>
      </w:tr>
      <w:tr>
        <w:trPr>
          <w:trHeight w:val="142"/>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8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2"/>
          </w:tcPr>
          <w:p>
            <w:pPr>
              <w:jc w:val="right"/>
              <w:ind w:right="32"/>
              <w:spacing w:after="0"/>
              <w:rPr>
                <w:sz w:val="20"/>
                <w:szCs w:val="20"/>
                <w:color w:val="auto"/>
              </w:rPr>
            </w:pPr>
            <w:r>
              <w:rPr>
                <w:rFonts w:ascii="Arial" w:cs="Arial" w:eastAsia="Arial" w:hAnsi="Arial"/>
                <w:sz w:val="11"/>
                <w:szCs w:val="11"/>
                <w:b w:val="1"/>
                <w:bCs w:val="1"/>
                <w:color w:val="auto"/>
                <w:w w:val="74"/>
              </w:rPr>
              <w:t>thousands)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36"/>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73,773</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28,732</w:t>
            </w:r>
          </w:p>
        </w:tc>
      </w:tr>
      <w:tr>
        <w:trPr>
          <w:trHeight w:val="144"/>
        </w:trPr>
        <w:tc>
          <w:tcPr>
            <w:tcW w:w="7340" w:type="dxa"/>
            <w:vAlign w:val="bottom"/>
            <w:gridSpan w:val="2"/>
          </w:tcPr>
          <w:p>
            <w:pPr>
              <w:ind w:left="120"/>
              <w:spacing w:after="0"/>
              <w:rPr>
                <w:sz w:val="20"/>
                <w:szCs w:val="20"/>
                <w:color w:val="auto"/>
              </w:rPr>
            </w:pPr>
            <w:r>
              <w:rPr>
                <w:rFonts w:ascii="Arial" w:cs="Arial" w:eastAsia="Arial" w:hAnsi="Arial"/>
                <w:sz w:val="12"/>
                <w:szCs w:val="12"/>
                <w:color w:val="auto"/>
              </w:rPr>
              <w:t>Provision for income taxes</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Depreciation and amortization expenses</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2,980</w:t>
            </w:r>
          </w:p>
        </w:tc>
      </w:tr>
      <w:tr>
        <w:trPr>
          <w:trHeight w:val="20"/>
        </w:trPr>
        <w:tc>
          <w:tcPr>
            <w:tcW w:w="66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Arial" w:cs="Arial" w:eastAsia="Arial" w:hAnsi="Arial"/>
                <w:sz w:val="12"/>
                <w:szCs w:val="12"/>
                <w:color w:val="auto"/>
              </w:rPr>
              <w:t>EBITDA</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166"/>
              <w:spacing w:after="0"/>
              <w:rPr>
                <w:sz w:val="20"/>
                <w:szCs w:val="20"/>
                <w:color w:val="auto"/>
              </w:rPr>
            </w:pPr>
            <w:r>
              <w:rPr>
                <w:rFonts w:ascii="Arial" w:cs="Arial" w:eastAsia="Arial" w:hAnsi="Arial"/>
                <w:sz w:val="12"/>
                <w:szCs w:val="12"/>
                <w:color w:val="auto"/>
              </w:rPr>
              <w:t>76,985</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31,712</w:t>
            </w:r>
          </w:p>
        </w:tc>
      </w:tr>
      <w:tr>
        <w:trPr>
          <w:trHeight w:val="144"/>
        </w:trPr>
        <w:tc>
          <w:tcPr>
            <w:tcW w:w="73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Stock-based compensation</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23,625</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tcPr>
          <w:p>
            <w:pPr>
              <w:ind w:left="120"/>
              <w:spacing w:after="0"/>
              <w:rPr>
                <w:sz w:val="20"/>
                <w:szCs w:val="20"/>
                <w:color w:val="auto"/>
              </w:rPr>
            </w:pPr>
            <w:r>
              <w:rPr>
                <w:rFonts w:ascii="Arial" w:cs="Arial" w:eastAsia="Arial" w:hAnsi="Arial"/>
                <w:sz w:val="12"/>
                <w:szCs w:val="12"/>
                <w:color w:val="auto"/>
              </w:rPr>
              <w:t>Change in fair value of warrant liability</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126"/>
              <w:spacing w:after="0"/>
              <w:rPr>
                <w:sz w:val="20"/>
                <w:szCs w:val="20"/>
                <w:color w:val="auto"/>
              </w:rPr>
            </w:pPr>
            <w:r>
              <w:rPr>
                <w:rFonts w:ascii="Arial" w:cs="Arial" w:eastAsia="Arial" w:hAnsi="Arial"/>
                <w:sz w:val="12"/>
                <w:szCs w:val="12"/>
                <w:color w:val="auto"/>
              </w:rPr>
              <w:t>(83,628)</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Warrant transaction costs</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5,547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tcPr>
          <w:p>
            <w:pPr>
              <w:ind w:left="120"/>
              <w:spacing w:after="0"/>
              <w:rPr>
                <w:sz w:val="20"/>
                <w:szCs w:val="20"/>
                <w:color w:val="auto"/>
              </w:rPr>
            </w:pPr>
            <w:r>
              <w:rPr>
                <w:rFonts w:ascii="Arial" w:cs="Arial" w:eastAsia="Arial" w:hAnsi="Arial"/>
                <w:sz w:val="12"/>
                <w:szCs w:val="12"/>
                <w:color w:val="auto"/>
              </w:rPr>
              <w:t>Impairment of right-of-use asset</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2,372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Transaction related bonus payment</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1,550</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tcPr>
          <w:p>
            <w:pPr>
              <w:ind w:left="120"/>
              <w:spacing w:after="0"/>
              <w:rPr>
                <w:sz w:val="20"/>
                <w:szCs w:val="20"/>
                <w:color w:val="auto"/>
              </w:rPr>
            </w:pPr>
            <w:r>
              <w:rPr>
                <w:rFonts w:ascii="Arial" w:cs="Arial" w:eastAsia="Arial" w:hAnsi="Arial"/>
                <w:sz w:val="12"/>
                <w:szCs w:val="12"/>
                <w:color w:val="auto"/>
              </w:rPr>
              <w:t>Transaction costs</w:t>
            </w: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1,450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76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27,901</w:t>
            </w:r>
          </w:p>
        </w:tc>
        <w:tc>
          <w:tcPr>
            <w:tcW w:w="2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31,712</w:t>
            </w:r>
          </w:p>
        </w:tc>
        <w:tc>
          <w:tcPr>
            <w:tcW w:w="120" w:type="dxa"/>
            <w:vAlign w:val="bottom"/>
            <w:shd w:val="clear" w:color="auto" w:fill="CCEEFF"/>
          </w:tcPr>
          <w:p>
            <w:pPr>
              <w:spacing w:after="0"/>
              <w:rPr>
                <w:sz w:val="15"/>
                <w:szCs w:val="15"/>
                <w:color w:val="auto"/>
              </w:rPr>
            </w:pPr>
          </w:p>
        </w:tc>
      </w:tr>
      <w:tr>
        <w:trPr>
          <w:trHeight w:val="237"/>
        </w:trPr>
        <w:tc>
          <w:tcPr>
            <w:tcW w:w="8100" w:type="dxa"/>
            <w:vAlign w:val="bottom"/>
            <w:tcBorders>
              <w:top w:val="single" w:sz="8" w:color="CCEEFF"/>
            </w:tcBorders>
            <w:gridSpan w:val="3"/>
          </w:tcPr>
          <w:p>
            <w:pPr>
              <w:ind w:left="200"/>
              <w:spacing w:after="0"/>
              <w:rPr>
                <w:sz w:val="20"/>
                <w:szCs w:val="20"/>
                <w:color w:val="auto"/>
              </w:rPr>
            </w:pPr>
            <w:r>
              <w:rPr>
                <w:rFonts w:ascii="Arial" w:cs="Arial" w:eastAsia="Arial" w:hAnsi="Arial"/>
                <w:sz w:val="12"/>
                <w:szCs w:val="12"/>
                <w:color w:val="auto"/>
                <w:w w:val="97"/>
              </w:rPr>
              <w:t>A reconciliation of net income (loss) to non-GAAP EBITDA and Adjusted EBITDA for the years ended December 31, 2018, 2019 and 2020, respectively:</w:t>
            </w:r>
          </w:p>
        </w:tc>
        <w:tc>
          <w:tcPr>
            <w:tcW w:w="4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r>
      <w:tr>
        <w:trPr>
          <w:trHeight w:val="270"/>
        </w:trPr>
        <w:tc>
          <w:tcPr>
            <w:tcW w:w="66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2"/>
                <w:szCs w:val="12"/>
                <w:b w:val="1"/>
                <w:bCs w:val="1"/>
                <w:color w:val="auto"/>
                <w:w w:val="93"/>
              </w:rPr>
              <w:t>Year Ended December 31,</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42"/>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b w:val="1"/>
                <w:bCs w:val="1"/>
                <w:color w:val="auto"/>
              </w:rPr>
              <w:t>(dollars in</w:t>
            </w:r>
          </w:p>
        </w:tc>
        <w:tc>
          <w:tcPr>
            <w:tcW w:w="2760" w:type="dxa"/>
            <w:vAlign w:val="bottom"/>
            <w:gridSpan w:val="7"/>
          </w:tcPr>
          <w:p>
            <w:pPr>
              <w:jc w:val="right"/>
              <w:ind w:right="740"/>
              <w:spacing w:after="0"/>
              <w:rPr>
                <w:sz w:val="20"/>
                <w:szCs w:val="20"/>
                <w:color w:val="auto"/>
              </w:rPr>
            </w:pPr>
            <w:r>
              <w:rPr>
                <w:rFonts w:ascii="Arial" w:cs="Arial" w:eastAsia="Arial" w:hAnsi="Arial"/>
                <w:sz w:val="12"/>
                <w:szCs w:val="12"/>
                <w:b w:val="1"/>
                <w:bCs w:val="1"/>
                <w:color w:val="auto"/>
                <w:w w:val="86"/>
              </w:rPr>
              <w:t>thousands, except for revenue by client)</w:t>
            </w: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12,679</w:t>
            </w:r>
          </w:p>
        </w:tc>
        <w:tc>
          <w:tcPr>
            <w:tcW w:w="380" w:type="dxa"/>
            <w:vAlign w:val="bottom"/>
            <w:gridSpan w:val="2"/>
            <w:shd w:val="clear" w:color="auto" w:fill="CCEEFF"/>
          </w:tcPr>
          <w:p>
            <w:pPr>
              <w:jc w:val="right"/>
              <w:ind w:right="116"/>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(375)</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38,830</w:t>
            </w: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Interest expenses &amp; taxes</w:t>
            </w: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2,149</w:t>
            </w: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5,162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3,978</w:t>
            </w:r>
          </w:p>
        </w:tc>
      </w:tr>
      <w:tr>
        <w:trPr>
          <w:trHeight w:val="20"/>
        </w:trPr>
        <w:tc>
          <w:tcPr>
            <w:tcW w:w="66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spacing w:after="0"/>
              <w:rPr>
                <w:sz w:val="20"/>
                <w:szCs w:val="20"/>
                <w:color w:val="auto"/>
              </w:rPr>
            </w:pPr>
            <w:r>
              <w:rPr>
                <w:rFonts w:ascii="Arial" w:cs="Arial" w:eastAsia="Arial" w:hAnsi="Arial"/>
                <w:sz w:val="12"/>
                <w:szCs w:val="12"/>
                <w:color w:val="auto"/>
              </w:rPr>
              <w:t>EBITDA</w:t>
            </w: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15,448</w:t>
            </w:r>
          </w:p>
        </w:tc>
        <w:tc>
          <w:tcPr>
            <w:tcW w:w="380" w:type="dxa"/>
            <w:vAlign w:val="bottom"/>
            <w:gridSpan w:val="2"/>
          </w:tcPr>
          <w:p>
            <w:pPr>
              <w:jc w:val="right"/>
              <w:ind w:right="116"/>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6,232</w:t>
            </w:r>
          </w:p>
        </w:tc>
        <w:tc>
          <w:tcPr>
            <w:tcW w:w="20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42,808</w:t>
            </w: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discontinued operations</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1,675</w:t>
            </w: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Financing fees</w:t>
            </w: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Reduction in force</w:t>
            </w:r>
          </w:p>
        </w:tc>
        <w:tc>
          <w:tcPr>
            <w:tcW w:w="7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4,202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660" w:type="dxa"/>
            <w:vAlign w:val="bottom"/>
            <w:tcBorders>
              <w:top w:val="single" w:sz="8" w:color="CCEEFF"/>
            </w:tcBorders>
          </w:tcPr>
          <w:p>
            <w:pPr>
              <w:spacing w:after="0"/>
              <w:rPr>
                <w:sz w:val="12"/>
                <w:szCs w:val="12"/>
                <w:color w:val="auto"/>
              </w:rPr>
            </w:pPr>
          </w:p>
        </w:tc>
        <w:tc>
          <w:tcPr>
            <w:tcW w:w="668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17,123</w:t>
            </w:r>
          </w:p>
        </w:tc>
        <w:tc>
          <w:tcPr>
            <w:tcW w:w="380" w:type="dxa"/>
            <w:vAlign w:val="bottom"/>
            <w:gridSpan w:val="2"/>
            <w:shd w:val="clear" w:color="auto" w:fill="CCEEFF"/>
          </w:tcPr>
          <w:p>
            <w:pPr>
              <w:jc w:val="right"/>
              <w:ind w:right="116"/>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13,828</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42,808</w:t>
            </w:r>
          </w:p>
        </w:tc>
      </w:tr>
      <w:tr>
        <w:trPr>
          <w:trHeight w:val="264"/>
        </w:trPr>
        <w:tc>
          <w:tcPr>
            <w:tcW w:w="734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i w:val="1"/>
                <w:iCs w:val="1"/>
                <w:color w:val="auto"/>
              </w:rPr>
              <w:t>Average Monthly Revenue Per Paying Client</w:t>
            </w:r>
          </w:p>
        </w:tc>
        <w:tc>
          <w:tcPr>
            <w:tcW w:w="7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bl>
    <w:p>
      <w:pPr>
        <w:spacing w:after="0" w:line="13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Average Monthly Paying Clients</w:t>
      </w:r>
    </w:p>
    <w:p>
      <w:pPr>
        <w:spacing w:after="0" w:line="150"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0" w:name="page61"/>
    <w:bookmarkEnd w:id="6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MAUs</w:t>
      </w:r>
    </w:p>
    <w:p>
      <w:pPr>
        <w:spacing w:after="0" w:line="150"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9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11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Since the beginning of the pandemic, we have continued to grow our MAUs, reaching 13.9 million at September 30, 2021. While we believe, like other industries, the pandemic accelerated existing trends towards consumer adoption of online platforms, we cannot be certain to what impact, if any, the end of the pandemic will have on our MAUs or MAU growth.</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believe as we increase MAUs, we increase the value of our bundled SaaS solutions to business customers.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of Our Two-Sided Weedmaps Listings Marketplace</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and Retention of Our Paying Clients</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 preceding month, averaged at 101% in the first nine months of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by 7% for the period from September 2020 to December 2020. For fiscal years 2018-2019, our monthly net dollar retention averaged 98%.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1" w:name="page62"/>
    <w:bookmarkEnd w:id="6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 and Maturation of Cannabis Markets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believe that we will have significant opportunities for greater growth as more jurisdictions legalize cannabis for medical and/or adult use and the regulatory environment continues to develop. Thirty-seven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9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10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9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Brand Recognition and Reputation</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2" w:name="page63"/>
    <w:bookmarkEnd w:id="6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06"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in Growth</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intend to continue to make focused organic and inorganic investments to grow our revenue and scale operations to support that growth.</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During the three months ended September 30, 2021, we completed two acquisitions.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On September 3, 2021, the Company acquired certain assets of the Sprout business (“Sprout”), a leading, cloud-based customer relationship management (“CRM”) and marketing platform for the cannabis industry.</w:t>
      </w:r>
    </w:p>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September 29, 2021, the Company acquired all of the equity interests of TLHC,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8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operating expenses and capital expenditures fluctuate over time, we may accordingly experience short-term, negative impacts to our operating results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3" w:name="page64"/>
    <w:bookmarkEnd w:id="6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and Marketing Expenses</w:t>
      </w:r>
    </w:p>
    <w:p>
      <w:pPr>
        <w:spacing w:after="0" w:line="150"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Development Expenses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 Expenses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expense consists primarily of political contributions, interest expense, legal settlements, financing fees and other tax related expenses. Other income consists of change in fair value of warrant liability.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Operations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15"/>
        </w:trPr>
        <w:tc>
          <w:tcPr>
            <w:tcW w:w="464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28"/>
        </w:trPr>
        <w:tc>
          <w:tcPr>
            <w:tcW w:w="660" w:type="dxa"/>
            <w:vAlign w:val="bottom"/>
            <w:tcBorders>
              <w:top w:val="single" w:sz="8" w:color="0000EE"/>
            </w:tcBorders>
          </w:tcPr>
          <w:p>
            <w:pPr>
              <w:spacing w:after="0"/>
              <w:rPr>
                <w:sz w:val="19"/>
                <w:szCs w:val="19"/>
                <w:color w:val="auto"/>
              </w:rPr>
            </w:pPr>
          </w:p>
        </w:tc>
        <w:tc>
          <w:tcPr>
            <w:tcW w:w="3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57"/>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90"/>
              </w:rPr>
              <w:t>Year Ended December 31,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97"/>
              </w:rPr>
              <w:t>2021</w:t>
            </w:r>
          </w:p>
        </w:tc>
        <w:tc>
          <w:tcPr>
            <w:tcW w:w="14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w w:val="81"/>
              </w:rPr>
              <w:t>(dollars in 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CEEFF"/>
          </w:tcPr>
          <w:p>
            <w:pPr>
              <w:jc w:val="right"/>
              <w:ind w:right="606"/>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101,402</w:t>
            </w:r>
          </w:p>
        </w:tc>
        <w:tc>
          <w:tcPr>
            <w:tcW w:w="100" w:type="dxa"/>
            <w:vAlign w:val="bottom"/>
            <w:tcBorders>
              <w:left w:val="single" w:sz="8" w:color="CCEEFF"/>
            </w:tcBorders>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144,232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161,791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117,470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138,969</w:t>
            </w: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Cost of revenue</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6,304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7,074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7,630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5,572</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5,800</w:t>
            </w:r>
          </w:p>
        </w:tc>
      </w:tr>
      <w:tr>
        <w:trPr>
          <w:trHeight w:val="144"/>
        </w:trPr>
        <w:tc>
          <w:tcPr>
            <w:tcW w:w="464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Sales and marketing</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17,799</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39,746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30,716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21,437</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37,194</w:t>
            </w: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Product development</w:t>
            </w:r>
          </w:p>
        </w:tc>
        <w:tc>
          <w:tcPr>
            <w:tcW w:w="7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20,034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29,497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27,142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20,325</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25,921</w:t>
            </w:r>
          </w:p>
        </w:tc>
      </w:tr>
      <w:tr>
        <w:trPr>
          <w:trHeight w:val="144"/>
        </w:trPr>
        <w:tc>
          <w:tcPr>
            <w:tcW w:w="464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38,935</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56,466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51,127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37,147</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70,356</w:t>
            </w: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Depreciation and amortization</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5,162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3.978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2,980</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2,970</w:t>
            </w:r>
          </w:p>
        </w:tc>
      </w:tr>
      <w:tr>
        <w:trPr>
          <w:trHeight w:val="142"/>
        </w:trPr>
        <w:tc>
          <w:tcPr>
            <w:tcW w:w="46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85,221</w:t>
            </w: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137,945</w:t>
            </w:r>
          </w:p>
        </w:tc>
        <w:tc>
          <w:tcPr>
            <w:tcW w:w="200" w:type="dxa"/>
            <w:vAlign w:val="bottom"/>
            <w:tcBorders>
              <w:left w:val="single" w:sz="8" w:color="CCEEFF"/>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120,593</w:t>
            </w:r>
          </w:p>
        </w:tc>
        <w:tc>
          <w:tcPr>
            <w:tcW w:w="200" w:type="dxa"/>
            <w:vAlign w:val="bottom"/>
            <w:tcBorders>
              <w:left w:val="single" w:sz="8" w:color="CCEEFF"/>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0"/>
                <w:szCs w:val="10"/>
                <w:color w:val="auto"/>
                <w:w w:val="71"/>
              </w:rPr>
              <w:t>87,461</w:t>
            </w:r>
          </w:p>
        </w:tc>
        <w:tc>
          <w:tcPr>
            <w:tcW w:w="280" w:type="dxa"/>
            <w:vAlign w:val="bottom"/>
            <w:tcBorders>
              <w:left w:val="single" w:sz="8" w:color="CCEEFF"/>
              <w:bottom w:val="single" w:sz="8" w:color="CCEEFF"/>
              <w:right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142,241</w:t>
            </w:r>
          </w:p>
        </w:tc>
        <w:tc>
          <w:tcPr>
            <w:tcW w:w="14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Operating income (loss)</w:t>
            </w:r>
          </w:p>
        </w:tc>
        <w:tc>
          <w:tcPr>
            <w:tcW w:w="7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16,181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6,287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41,198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30,009</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(3,272)</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income (expenses):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Change in fair value of warrant liability</w:t>
            </w:r>
          </w:p>
        </w:tc>
        <w:tc>
          <w:tcPr>
            <w:tcW w:w="72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83,628</w:t>
            </w:r>
          </w:p>
        </w:tc>
      </w:tr>
      <w:tr>
        <w:trPr>
          <w:trHeight w:val="144"/>
        </w:trPr>
        <w:tc>
          <w:tcPr>
            <w:tcW w:w="464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Other expense, net</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(1,827)</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(5,341)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(2,368)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(1,277)</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(6,341)</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Income before income taxes</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14,354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38,830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74,015</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1,321</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Income (loss) from continuing operations</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14,354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38,830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27,732</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73,773</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Loss from discontinued operations</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(1,675)</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12,679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38,830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73,773</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48,675</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Net income (loss) attributable to WM Technology, Inc.</w:t>
            </w:r>
          </w:p>
        </w:tc>
        <w:tc>
          <w:tcPr>
            <w:tcW w:w="720" w:type="dxa"/>
            <w:vAlign w:val="bottom"/>
          </w:tcPr>
          <w:p>
            <w:pPr>
              <w:jc w:val="right"/>
              <w:ind w:right="606"/>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12,679</w:t>
            </w:r>
          </w:p>
        </w:tc>
        <w:tc>
          <w:tcPr>
            <w:tcW w:w="10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(375)</w:t>
            </w:r>
          </w:p>
        </w:tc>
        <w:tc>
          <w:tcPr>
            <w:tcW w:w="3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38,830</w:t>
            </w:r>
          </w:p>
        </w:tc>
        <w:tc>
          <w:tcPr>
            <w:tcW w:w="80" w:type="dxa"/>
            <w:vAlign w:val="bottom"/>
          </w:tcPr>
          <w:p>
            <w:pPr>
              <w:spacing w:after="0"/>
              <w:rPr>
                <w:sz w:val="12"/>
                <w:szCs w:val="12"/>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28,732</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25,098</w:t>
            </w: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1"/>
        </w:trPr>
        <w:tc>
          <w:tcPr>
            <w:tcW w:w="6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57"/>
        </w:trPr>
        <w:tc>
          <w:tcPr>
            <w:tcW w:w="6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90"/>
              </w:rPr>
              <w:t>Year Ended December 31,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2"/>
              </w:rPr>
              <w:t>2021</w:t>
            </w:r>
          </w:p>
        </w:tc>
        <w:tc>
          <w:tcPr>
            <w:tcW w:w="14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r>
      <w:tr>
        <w:trPr>
          <w:trHeight w:val="144"/>
        </w:trPr>
        <w:tc>
          <w:tcPr>
            <w:tcW w:w="6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Cost of revenue</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r>
      <w:tr>
        <w:trPr>
          <w:trHeight w:val="144"/>
        </w:trPr>
        <w:tc>
          <w:tcPr>
            <w:tcW w:w="464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Sales and marketing</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w:t>
            </w: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Product development</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17%</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19%</w:t>
            </w:r>
          </w:p>
        </w:tc>
      </w:tr>
      <w:tr>
        <w:trPr>
          <w:trHeight w:val="144"/>
        </w:trPr>
        <w:tc>
          <w:tcPr>
            <w:tcW w:w="464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51%</w:t>
            </w: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Depreciation and amortization</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20"/>
        </w:trPr>
        <w:tc>
          <w:tcPr>
            <w:tcW w:w="6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102%</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Operating income (loss)</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26%</w:t>
            </w:r>
          </w:p>
        </w:tc>
        <w:tc>
          <w:tcPr>
            <w:tcW w:w="4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Other income (expenses):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r>
      <w:tr>
        <w:trPr>
          <w:trHeight w:val="144"/>
        </w:trPr>
        <w:tc>
          <w:tcPr>
            <w:tcW w:w="4640" w:type="dxa"/>
            <w:vAlign w:val="bottom"/>
            <w:gridSpan w:val="2"/>
          </w:tcPr>
          <w:p>
            <w:pPr>
              <w:ind w:left="100"/>
              <w:spacing w:after="0"/>
              <w:rPr>
                <w:sz w:val="20"/>
                <w:szCs w:val="20"/>
                <w:color w:val="auto"/>
              </w:rPr>
            </w:pPr>
            <w:r>
              <w:rPr>
                <w:rFonts w:ascii="Arial" w:cs="Arial" w:eastAsia="Arial" w:hAnsi="Arial"/>
                <w:sz w:val="12"/>
                <w:szCs w:val="12"/>
                <w:color w:val="auto"/>
              </w:rPr>
              <w:t>Change in fair value of warrant liability</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0%</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60%</w:t>
            </w:r>
          </w:p>
        </w:tc>
      </w:tr>
      <w:tr>
        <w:trPr>
          <w:trHeight w:val="144"/>
        </w:trPr>
        <w:tc>
          <w:tcPr>
            <w:tcW w:w="464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Other expense, net</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Income before income taxes</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24%</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Income (loss) from continuing operations</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24%</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Loss from discontinued operations</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24%</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r>
      <w:tr>
        <w:trPr>
          <w:trHeight w:val="144"/>
        </w:trPr>
        <w:tc>
          <w:tcPr>
            <w:tcW w:w="4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w:t>
            </w:r>
          </w:p>
        </w:tc>
      </w:tr>
      <w:tr>
        <w:trPr>
          <w:trHeight w:val="20"/>
        </w:trPr>
        <w:tc>
          <w:tcPr>
            <w:tcW w:w="660" w:type="dxa"/>
            <w:vAlign w:val="bottom"/>
            <w:shd w:val="clear" w:color="auto" w:fill="CCEEFF"/>
          </w:tcPr>
          <w:p>
            <w:pPr>
              <w:spacing w:after="0" w:line="20" w:lineRule="exact"/>
              <w:rPr>
                <w:sz w:val="1"/>
                <w:szCs w:val="1"/>
                <w:color w:val="auto"/>
              </w:rPr>
            </w:pPr>
          </w:p>
        </w:tc>
        <w:tc>
          <w:tcPr>
            <w:tcW w:w="398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r>
      <w:tr>
        <w:trPr>
          <w:trHeight w:val="142"/>
        </w:trPr>
        <w:tc>
          <w:tcPr>
            <w:tcW w:w="4640" w:type="dxa"/>
            <w:vAlign w:val="bottom"/>
            <w:gridSpan w:val="2"/>
          </w:tcPr>
          <w:p>
            <w:pPr>
              <w:spacing w:after="0"/>
              <w:rPr>
                <w:sz w:val="20"/>
                <w:szCs w:val="20"/>
                <w:color w:val="auto"/>
              </w:rPr>
            </w:pPr>
            <w:r>
              <w:rPr>
                <w:rFonts w:ascii="Arial" w:cs="Arial" w:eastAsia="Arial" w:hAnsi="Arial"/>
                <w:sz w:val="12"/>
                <w:szCs w:val="12"/>
                <w:color w:val="auto"/>
              </w:rPr>
              <w:t>Net income attributable to WM Technology, Inc.</w:t>
            </w: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24%</w:t>
            </w:r>
          </w:p>
        </w:tc>
        <w:tc>
          <w:tcPr>
            <w:tcW w:w="4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18%</w:t>
            </w: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7"/>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
        </w:trPr>
        <w:tc>
          <w:tcPr>
            <w:tcW w:w="6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0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Comparison of Nine Months Ended September 30, 2021 and 2020</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Revenue</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66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Nine Months Ended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6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4"/>
          </w:tcPr>
          <w:p>
            <w:pPr>
              <w:jc w:val="right"/>
              <w:ind w:right="246"/>
              <w:spacing w:after="0"/>
              <w:rPr>
                <w:sz w:val="20"/>
                <w:szCs w:val="20"/>
                <w:color w:val="auto"/>
              </w:rPr>
            </w:pPr>
            <w:r>
              <w:rPr>
                <w:rFonts w:ascii="Arial" w:cs="Arial" w:eastAsia="Arial" w:hAnsi="Arial"/>
                <w:sz w:val="12"/>
                <w:szCs w:val="12"/>
                <w:b w:val="1"/>
                <w:bCs w:val="1"/>
                <w:color w:val="auto"/>
              </w:rPr>
              <w:t>(dollars in thousands)</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720" w:type="dxa"/>
            <w:vAlign w:val="bottom"/>
            <w:shd w:val="clear" w:color="auto" w:fill="CCEEFF"/>
          </w:tcPr>
          <w:p>
            <w:pPr>
              <w:jc w:val="right"/>
              <w:ind w:right="606"/>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138,969</w:t>
            </w:r>
          </w:p>
        </w:tc>
        <w:tc>
          <w:tcPr>
            <w:tcW w:w="700" w:type="dxa"/>
            <w:vAlign w:val="bottom"/>
            <w:shd w:val="clear" w:color="auto" w:fill="CCEEFF"/>
          </w:tcPr>
          <w:p>
            <w:pPr>
              <w:jc w:val="right"/>
              <w:ind w:right="584"/>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117,470</w:t>
            </w:r>
          </w:p>
        </w:tc>
        <w:tc>
          <w:tcPr>
            <w:tcW w:w="720" w:type="dxa"/>
            <w:vAlign w:val="bottom"/>
            <w:shd w:val="clear" w:color="auto" w:fill="CCEEFF"/>
          </w:tcPr>
          <w:p>
            <w:pPr>
              <w:jc w:val="right"/>
              <w:ind w:right="60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21,499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r>
    </w:tbl>
    <w:p>
      <w:pPr>
        <w:spacing w:after="0" w:line="10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Total revenue increased by $21.5 million, or 18% for the nine months ended September 30, 2021 compared to the same period in 2020. The increase was driven by a 19% increase in average monthly revenue per paying client, partially offset by a 1% decrease in average monthly paying clients in the period as a result of factors described below.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nine months ended September 30, 2021, Featured Listing product, WM Business subscription offering and other ad solutions represented 56%, 23% and 21% of our total revenues, respectively.</w:t>
      </w:r>
    </w:p>
    <w:p>
      <w:pPr>
        <w:spacing w:after="0" w:line="11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$139.0 million for the nine months ended September 30, 2021 compared to $91.3 million in the same period in 2020. The increase of $47.7 million, or 52%, in total revenue excluding Canada was primarily driven by a 23% increase in average monthly revenue per paying client and a 24% increase in average monthly paying clients.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i w:val="1"/>
                <w:iCs w:val="1"/>
                <w:color w:val="auto"/>
              </w:rPr>
              <w:t>Cost of Revenue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5,800</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5,572</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228</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Gross margin</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96%</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95%</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Cost of revenues increased by $0.2 million, or 4% for the nine months ended September 30, 2021 compared to the same period in 2020. The increase was due to an increase in web hosting and internet services of $0.8 million due to increased traffic to our website, offset by a decrease of $0.6 million in payment processing fees, as we provided more cost effective payment options to our clients.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60" w:type="dxa"/>
            <w:vAlign w:val="bottom"/>
          </w:tcPr>
          <w:p>
            <w:pPr>
              <w:spacing w:after="0"/>
              <w:rPr>
                <w:sz w:val="20"/>
                <w:szCs w:val="20"/>
                <w:color w:val="auto"/>
              </w:rPr>
            </w:pPr>
            <w:r>
              <w:rPr>
                <w:rFonts w:ascii="Arial" w:cs="Arial" w:eastAsia="Arial" w:hAnsi="Arial"/>
                <w:sz w:val="12"/>
                <w:szCs w:val="12"/>
                <w:b w:val="1"/>
                <w:bCs w:val="1"/>
                <w:i w:val="1"/>
                <w:iCs w:val="1"/>
                <w:color w:val="auto"/>
              </w:rPr>
              <w:t>Sales and Marketing Expenses</w:t>
            </w:r>
          </w:p>
        </w:tc>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35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2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37,194</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21,437</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15,757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w:t>
            </w: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Percentage of revenue</w:t>
            </w:r>
          </w:p>
        </w:tc>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27%</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52"/>
        </w:trPr>
        <w:tc>
          <w:tcPr>
            <w:tcW w:w="3560" w:type="dxa"/>
            <w:vAlign w:val="bottom"/>
          </w:tcPr>
          <w:p>
            <w:pPr>
              <w:spacing w:after="0"/>
              <w:rPr>
                <w:sz w:val="24"/>
                <w:szCs w:val="24"/>
                <w:color w:val="auto"/>
              </w:rPr>
            </w:pPr>
          </w:p>
        </w:tc>
        <w:tc>
          <w:tcPr>
            <w:tcW w:w="2440" w:type="dxa"/>
            <w:vAlign w:val="bottom"/>
          </w:tcPr>
          <w:p>
            <w:pPr>
              <w:jc w:val="right"/>
              <w:ind w:right="246"/>
              <w:spacing w:after="0"/>
              <w:rPr>
                <w:sz w:val="20"/>
                <w:szCs w:val="20"/>
                <w:color w:val="auto"/>
              </w:rPr>
            </w:pPr>
            <w:r>
              <w:rPr>
                <w:rFonts w:ascii="Arial" w:cs="Arial" w:eastAsia="Arial" w:hAnsi="Arial"/>
                <w:sz w:val="10"/>
                <w:szCs w:val="10"/>
                <w:color w:val="auto"/>
              </w:rPr>
              <w:t>60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5" w:right="299" w:bottom="1440" w:gutter="0" w:footer="0" w:header="0"/>
        </w:sectPr>
      </w:pPr>
    </w:p>
    <w:bookmarkStart w:id="66" w:name="page67"/>
    <w:bookmarkEnd w:id="6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Sales and marketing expenses increased by $15.8 million, or 74% for the nine months ended September 30, 2021 compared to the same period in 2020. The increase was primarily due to an increase in personnel-related costs of $9.7 million, as a result of increased headcount, an increase in sales incentive plan compensation of $1.4 million due to higher revenues, and an increase in stock-based compensation expense of $4.5 million recognized in 2021, an increase in event costs of $2.4 million, primarily related to a large event held in the second quarter of 2021, an increase in online advertising costs of $1.7 million as more advertising options become available in the cannabis industry, an increase in outside services of $0.8 million and an increase in branding and advertising of $0.8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i w:val="1"/>
                <w:iCs w:val="1"/>
                <w:color w:val="auto"/>
              </w:rPr>
              <w:t>Product Development Expenses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Product development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25,921</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20,325</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5,596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19%</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Product development expenses increased by $5.6 million, or 28% for the nine months ended September 30, 2021 compared to the same period in 2020. The increase was due to an increase in personnel-related costs of $8.9 million, as a result of increased headcount and an increase of $3.9 million in stock-based compensation expense recognized in 2021 and an increase in outside services of $0.4 million, offset by capitalized software development costs of $3.7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i w:val="1"/>
                <w:iCs w:val="1"/>
                <w:color w:val="auto"/>
              </w:rPr>
              <w:t>General and Administrative Expenses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70,356</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37,147</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33,209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51%</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32%</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6"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General and administrative expenses increased by $33.2 million, or 89% for the nine months ended September 30, 2021 compared to the same period in 2020. This increase was primarily due to an increase in personnel-related costs of $18.8 million as a result of an increase in stock-based compensation expense in 2021 of $15.3 million, bonuses paid related to the completion of the Business Combination and increased severance costs, an increase in insurance costs of $3.9 million due to additional insurance coverage as a public company, an impairment charge of $2.4 million related to a right-of-use asset, an increase in professional and consulting fees of $3.0 million, an increase in allowance for doubtful accounts of $2.4 million, an increase in rent expense of $0.8 million due to a new office lease that commenced in March 2020, and an increase in software cost of $1.4 million as we entered into new software service agreements to effectively operate the business.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60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Depreciation and Amortization Expense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380"/>
              <w:spacing w:after="0"/>
              <w:rPr>
                <w:sz w:val="20"/>
                <w:szCs w:val="20"/>
                <w:color w:val="auto"/>
              </w:rPr>
            </w:pPr>
            <w:r>
              <w:rPr>
                <w:rFonts w:ascii="Arial" w:cs="Arial" w:eastAsia="Arial" w:hAnsi="Arial"/>
                <w:sz w:val="12"/>
                <w:szCs w:val="12"/>
                <w:b w:val="1"/>
                <w:bCs w:val="1"/>
                <w:color w:val="auto"/>
                <w:w w:val="91"/>
              </w:rPr>
              <w:t>Nine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6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2,970</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2,980</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000" w:type="dxa"/>
            <w:vAlign w:val="bottom"/>
            <w:gridSpan w:val="2"/>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4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Depreciation and amortization were consistent for the nine months ended September 30, 2021 compared to the same period in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i w:val="1"/>
                <w:iCs w:val="1"/>
                <w:color w:val="auto"/>
              </w:rPr>
              <w:t>Other Income (Expense), net</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gridSpan w:val="3"/>
          </w:tcPr>
          <w:p>
            <w:pPr>
              <w:jc w:val="right"/>
              <w:ind w:right="248"/>
              <w:spacing w:after="0"/>
              <w:rPr>
                <w:sz w:val="20"/>
                <w:szCs w:val="20"/>
                <w:color w:val="auto"/>
              </w:rPr>
            </w:pPr>
            <w:r>
              <w:rPr>
                <w:rFonts w:ascii="Arial" w:cs="Arial" w:eastAsia="Arial" w:hAnsi="Arial"/>
                <w:sz w:val="12"/>
                <w:szCs w:val="12"/>
                <w:b w:val="1"/>
                <w:bCs w:val="1"/>
                <w:color w:val="auto"/>
                <w:w w:val="91"/>
              </w:rPr>
              <w:t>Nine Months Ended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7"/>
        </w:trPr>
        <w:tc>
          <w:tcPr>
            <w:tcW w:w="60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2"/>
                <w:szCs w:val="12"/>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82"/>
              </w:rPr>
              <w:t>(dollars</w:t>
            </w:r>
          </w:p>
        </w:tc>
        <w:tc>
          <w:tcPr>
            <w:tcW w:w="260" w:type="dxa"/>
            <w:vAlign w:val="bottom"/>
          </w:tcPr>
          <w:p>
            <w:pPr>
              <w:jc w:val="right"/>
              <w:ind w:right="100"/>
              <w:spacing w:after="0"/>
              <w:rPr>
                <w:sz w:val="20"/>
                <w:szCs w:val="20"/>
                <w:color w:val="auto"/>
              </w:rPr>
            </w:pPr>
            <w:r>
              <w:rPr>
                <w:rFonts w:ascii="Arial" w:cs="Arial" w:eastAsia="Arial" w:hAnsi="Arial"/>
                <w:sz w:val="12"/>
                <w:szCs w:val="12"/>
                <w:b w:val="1"/>
                <w:bCs w:val="1"/>
                <w:color w:val="auto"/>
                <w:w w:val="74"/>
              </w:rPr>
              <w:t>in</w:t>
            </w:r>
          </w:p>
        </w:tc>
        <w:tc>
          <w:tcPr>
            <w:tcW w:w="460" w:type="dxa"/>
            <w:vAlign w:val="bottom"/>
          </w:tcPr>
          <w:p>
            <w:pPr>
              <w:spacing w:after="0"/>
              <w:rPr>
                <w:sz w:val="20"/>
                <w:szCs w:val="20"/>
                <w:color w:val="auto"/>
              </w:rPr>
            </w:pPr>
            <w:r>
              <w:rPr>
                <w:rFonts w:ascii="Arial" w:cs="Arial" w:eastAsia="Arial" w:hAnsi="Arial"/>
                <w:sz w:val="11"/>
                <w:szCs w:val="11"/>
                <w:b w:val="1"/>
                <w:bCs w:val="1"/>
                <w:color w:val="auto"/>
                <w:w w:val="74"/>
              </w:rPr>
              <w:t>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warrant liability</w:t>
            </w: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83,628</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83,628</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Other expense, net</w:t>
            </w: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(6,341)</w:t>
            </w:r>
          </w:p>
        </w:tc>
        <w:tc>
          <w:tcPr>
            <w:tcW w:w="7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(1,277)</w:t>
            </w:r>
          </w:p>
        </w:tc>
        <w:tc>
          <w:tcPr>
            <w:tcW w:w="46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(5,064)</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397</w:t>
            </w: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77,287</w:t>
            </w: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(1,277)</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78,564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N/M</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7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56%</w:t>
            </w:r>
          </w:p>
        </w:tc>
        <w:tc>
          <w:tcPr>
            <w:tcW w:w="7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07442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74420" cy="1143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N/M - Not meaningful</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Other income, net increased by $78.6 million for the nine months ended September 30, 2021 compared to the same period in 2020. The increase in other income was due to changes in fair value of warrant liability of $83.6 million, offset by an increase in other expense, net of $5.1 million. The increase in other expense, net was primarily due to warrant transaction costs of $5.5 million related to the Business Combination, offset by a decrease of $0.6 million related to changes in foreign currency transaction losses.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Years Ended December 31, 2020 and 2019</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Revenue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144,232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161,791</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17,559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w:t>
            </w:r>
          </w:p>
        </w:tc>
      </w:tr>
    </w:tbl>
    <w:p>
      <w:pPr>
        <w:spacing w:after="0" w:line="13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Total revenue increased by $17.6 million, or 12% for the year ended December 31, 2020 compared to the same period in 2019. The increase was driven by a 25% increase in the monthly revenue per paying client, which was partially offset by a 18%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removal of California-based clients who had lower monthly spend than our average client base. On December 31, 2019, we discontinued our services to California-based retail operator clients who failed to provide valid license information as a result of our previously-announced intent to transition to supporting only licensed operators within the state. As a result, we removed a significant number of paying clients who generated approximately $28.5 million in fiscal 2019. When adjusting the prior year to remove revenue associated with these non-licensed clients, our revenue for fiscal year 2020 increased by $46.1 million, or 40%, compared to fiscal 2019. The impact on revenue by the removal of the aforementioned clients was partially offset by increase in total paying clients in non-California U.S. markets and Canada.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68" w:name="page69"/>
    <w:bookmarkEnd w:id="6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of revenue in fiscal 2020. This reset of Canada was completed on November 30, 2020.</w:t>
      </w:r>
    </w:p>
    <w:p>
      <w:pPr>
        <w:spacing w:after="0" w:line="10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Further, 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we experienced increased delivery orders submitted through the platform. In fiscal 2020, standard listing clients were required to pay a $5.00 technology services fee on all delivery orders submitted. As a result of the increased delivery orders submitted through the platform,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our fiscal 2020 revenue. However, as we eliminated the technology services fee on January 1, 2021, and given the pricing model of our other products, it is not possible to quantify any other impact of the pandemic on revenue.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Cost of Revenue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7,074</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7,630</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Gross margin</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95%</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95%</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Cost of revenue increased by $0.6 million, or 8%, for the year ended December 31, 2020, compared to the same period in 2019. Credit card processing fees increased by $0.6 million as revenue increased and more clients opted to use credit cards as a form of payment.</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Sales and Marketing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39,746</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30,716</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(9,030)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28%</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6"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Sales and marketing expenses 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000" w:type="dxa"/>
            <w:vAlign w:val="bottom"/>
            <w:gridSpan w:val="2"/>
          </w:tcPr>
          <w:p>
            <w:pPr>
              <w:ind w:left="200"/>
              <w:spacing w:after="0"/>
              <w:rPr>
                <w:sz w:val="20"/>
                <w:szCs w:val="20"/>
                <w:color w:val="auto"/>
              </w:rPr>
            </w:pPr>
            <w:r>
              <w:rPr>
                <w:rFonts w:ascii="Arial" w:cs="Arial" w:eastAsia="Arial" w:hAnsi="Arial"/>
                <w:sz w:val="12"/>
                <w:szCs w:val="12"/>
                <w:i w:val="1"/>
                <w:iCs w:val="1"/>
                <w:color w:val="auto"/>
              </w:rPr>
              <w:t>Product Development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Product development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29,497</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27,142</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(2,355)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w:t>
            </w:r>
          </w:p>
        </w:tc>
      </w:tr>
      <w:tr>
        <w:trPr>
          <w:trHeight w:val="153"/>
        </w:trPr>
        <w:tc>
          <w:tcPr>
            <w:tcW w:w="6000" w:type="dxa"/>
            <w:vAlign w:val="bottom"/>
            <w:gridSpan w:val="2"/>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Product development expenses decreased by $2.3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were to drive operating efficiencies and increase our liquidity position at the time. Travel related expenses also decreased by $0.2 million due to the COVID-19 pandemic.</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General and Administrative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56,466</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51,127</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(5,339)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39%</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32%</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0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General and administrative 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bad debt expense of $1.3 million during the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ind w:left="200"/>
              <w:spacing w:after="0"/>
              <w:rPr>
                <w:sz w:val="20"/>
                <w:szCs w:val="20"/>
                <w:color w:val="auto"/>
              </w:rPr>
            </w:pPr>
            <w:r>
              <w:rPr>
                <w:rFonts w:ascii="Arial" w:cs="Arial" w:eastAsia="Arial" w:hAnsi="Arial"/>
                <w:sz w:val="12"/>
                <w:szCs w:val="12"/>
                <w:i w:val="1"/>
                <w:iCs w:val="1"/>
                <w:color w:val="auto"/>
              </w:rPr>
              <w:t>Depreciation and Amortization expense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6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5,162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3,978</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(1,184)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Depreciation and amortization expenses decreased by $1.2 million, or 23%, for the year ended December 31, 2020, compared to the same period in 2019. The decrease is due to accelerated amortization of $2.5 million related to intangible assets of the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000" w:type="dxa"/>
            <w:vAlign w:val="bottom"/>
            <w:gridSpan w:val="2"/>
          </w:tcPr>
          <w:p>
            <w:pPr>
              <w:ind w:left="200"/>
              <w:spacing w:after="0"/>
              <w:rPr>
                <w:sz w:val="20"/>
                <w:szCs w:val="20"/>
                <w:color w:val="auto"/>
              </w:rPr>
            </w:pPr>
            <w:r>
              <w:rPr>
                <w:rFonts w:ascii="Arial" w:cs="Arial" w:eastAsia="Arial" w:hAnsi="Arial"/>
                <w:sz w:val="12"/>
                <w:szCs w:val="12"/>
                <w:i w:val="1"/>
                <w:iCs w:val="1"/>
                <w:color w:val="auto"/>
              </w:rPr>
              <w:t>Other Expense, net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(5,341)</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(2,368)</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2,973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w:t>
            </w:r>
          </w:p>
        </w:tc>
      </w:tr>
      <w:tr>
        <w:trPr>
          <w:trHeight w:val="153"/>
        </w:trPr>
        <w:tc>
          <w:tcPr>
            <w:tcW w:w="6000" w:type="dxa"/>
            <w:vAlign w:val="bottom"/>
            <w:gridSpan w:val="2"/>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Other expenses decreased by $3.0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Year Ended December 31, 2018 and 2019</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Revenue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101,402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144,232</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42,830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r>
    </w:tbl>
    <w:p>
      <w:pPr>
        <w:spacing w:after="0" w:line="11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Total revenue increased by $42.8 million, or 42% in 2019 compared to 2018. The increase was driven by a 15% increase in total paying clients and a 14% increase in the monthly revenue per paying client. Our growth in total paying clients reflected our continued expansion in U.S. states outside of California as well as Canada. Our growth in monthly revenue per paying client reflects continued growth in the average price paid for our featured listings as well as more client engagement driven by the increased functionality across our WM Business suite of solutions.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80" w:type="dxa"/>
            <w:vAlign w:val="bottom"/>
          </w:tcPr>
          <w:p>
            <w:pPr>
              <w:ind w:left="200"/>
              <w:spacing w:after="0"/>
              <w:rPr>
                <w:sz w:val="20"/>
                <w:szCs w:val="20"/>
                <w:color w:val="auto"/>
              </w:rPr>
            </w:pPr>
            <w:r>
              <w:rPr>
                <w:rFonts w:ascii="Arial" w:cs="Arial" w:eastAsia="Arial" w:hAnsi="Arial"/>
                <w:sz w:val="12"/>
                <w:szCs w:val="12"/>
                <w:i w:val="1"/>
                <w:iCs w:val="1"/>
                <w:color w:val="auto"/>
              </w:rPr>
              <w:t>Cost of Revenue</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5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40" w:type="dxa"/>
            <w:vAlign w:val="bottom"/>
            <w:gridSpan w:val="3"/>
          </w:tcPr>
          <w:p>
            <w:pPr>
              <w:jc w:val="center"/>
              <w:ind w:left="440"/>
              <w:spacing w:after="0"/>
              <w:rPr>
                <w:sz w:val="20"/>
                <w:szCs w:val="20"/>
                <w:color w:val="auto"/>
              </w:rPr>
            </w:pPr>
            <w:r>
              <w:rPr>
                <w:rFonts w:ascii="Arial" w:cs="Arial" w:eastAsia="Arial" w:hAnsi="Arial"/>
                <w:sz w:val="12"/>
                <w:szCs w:val="12"/>
                <w:b w:val="1"/>
                <w:bCs w:val="1"/>
                <w:color w:val="auto"/>
                <w:w w:val="90"/>
              </w:rPr>
              <w:t>Years Ended</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5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2"/>
                <w:szCs w:val="12"/>
                <w:b w:val="1"/>
                <w:bCs w:val="1"/>
                <w:color w:val="auto"/>
                <w:w w:val="89"/>
              </w:rPr>
              <w:t>December 31,</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8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(dollars in</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6,304</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7,074</w:t>
            </w:r>
          </w:p>
        </w:tc>
        <w:tc>
          <w:tcPr>
            <w:tcW w:w="50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770</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w:t>
            </w:r>
          </w:p>
        </w:tc>
      </w:tr>
      <w:tr>
        <w:trPr>
          <w:trHeight w:val="180"/>
        </w:trPr>
        <w:tc>
          <w:tcPr>
            <w:tcW w:w="5880" w:type="dxa"/>
            <w:vAlign w:val="bottom"/>
          </w:tcPr>
          <w:p>
            <w:pPr>
              <w:spacing w:after="0"/>
              <w:rPr>
                <w:sz w:val="20"/>
                <w:szCs w:val="20"/>
                <w:color w:val="auto"/>
              </w:rPr>
            </w:pPr>
            <w:r>
              <w:rPr>
                <w:rFonts w:ascii="Arial" w:cs="Arial" w:eastAsia="Arial" w:hAnsi="Arial"/>
                <w:sz w:val="12"/>
                <w:szCs w:val="12"/>
                <w:color w:val="auto"/>
              </w:rPr>
              <w:t>Gross margin</w:t>
            </w:r>
          </w:p>
        </w:tc>
        <w:tc>
          <w:tcPr>
            <w:tcW w:w="3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94%</w:t>
            </w:r>
          </w:p>
        </w:tc>
        <w:tc>
          <w:tcPr>
            <w:tcW w:w="4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95%</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Cost of revenue increased by $0.8 million, or 12%, in 2019 compared to 2018. Credit card processing fees increased by $1.2 million as revenue increased and more clients opted to use credit cards as a form of payment. The increase was partially offset by a decrease of $0.5 million in web hosting and internet services cost as we were able to more efficiently manage these expenses.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000" w:type="dxa"/>
            <w:vAlign w:val="bottom"/>
            <w:gridSpan w:val="2"/>
          </w:tcPr>
          <w:p>
            <w:pPr>
              <w:ind w:left="200"/>
              <w:spacing w:after="0"/>
              <w:rPr>
                <w:sz w:val="20"/>
                <w:szCs w:val="20"/>
                <w:color w:val="auto"/>
              </w:rPr>
            </w:pPr>
            <w:r>
              <w:rPr>
                <w:rFonts w:ascii="Arial" w:cs="Arial" w:eastAsia="Arial" w:hAnsi="Arial"/>
                <w:sz w:val="12"/>
                <w:szCs w:val="12"/>
                <w:i w:val="1"/>
                <w:iCs w:val="1"/>
                <w:color w:val="auto"/>
              </w:rPr>
              <w:t>Sales and Marketing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17,799</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39,746</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21,947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w:t>
            </w:r>
          </w:p>
        </w:tc>
      </w:tr>
      <w:tr>
        <w:trPr>
          <w:trHeight w:val="153"/>
        </w:trPr>
        <w:tc>
          <w:tcPr>
            <w:tcW w:w="6000" w:type="dxa"/>
            <w:vAlign w:val="bottom"/>
            <w:gridSpan w:val="2"/>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18%</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28%</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Sales and marketing expenses increased by $22.0 million, or 123%, in 2019 compared to 2018. Personnel -related cost increased by $8.0 million due to an increase in headcount, accrual of compensation cost related to the reduction in force, and an increase in sales incentive plan compensation due to higher revenues. Branding and advertising expense, that mostly consisted of out of home advertising, increased by $5.9 million and online advertising increased by $4.4 million as more advertising options became available in the cannabis industry and we continued to invest in marketing spend. Event cost also increased by $3.5 million, mostly related to the Weedmaps Museum of Weed and sponsorships for other events.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Product Development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Product development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20,034</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29,497</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9,463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08"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Product development expenses increased by $9.5 million, or 47%, in 2019 compared to 2018. This increase was primarily due to an increase in personnel-related cost of $10.1 million as headcount increased, including an accrual for compensation cost related to the reduction in force, partially offset by a decrease in outside development services of $0.7 million. Increase in headcount was driven by development of new products and features.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General and Administrative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38,935</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56,466</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17,531</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38%</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39%</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General and administrative expenses increased by $17.5 million, or 45%, in 2019 compared to 2018. The increase is primarily due to an increase in personnel-related cost of $10.2 million reflecting an increase in headcount and employee benefits cost, including an accrual for compensation cost related to the reduction in force in October 2019. The headcount increases also resulted in an increase in facility cost of $0.9 million. Professional and outside services cost increased by $2.9 million, mostly related to lobbying and legal fees. Rent expense increased by $1.5 million due to leasing of additional office space and software cost increased by $2.0 million as we signed up for additional software solutions as well as an increase in licensing due to increased headcount.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15"/>
        </w:trPr>
        <w:tc>
          <w:tcPr>
            <w:tcW w:w="60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000" w:type="dxa"/>
            <w:vAlign w:val="bottom"/>
            <w:gridSpan w:val="2"/>
          </w:tcPr>
          <w:p>
            <w:pPr>
              <w:ind w:left="200"/>
              <w:spacing w:after="0"/>
              <w:rPr>
                <w:sz w:val="20"/>
                <w:szCs w:val="20"/>
                <w:color w:val="auto"/>
              </w:rPr>
            </w:pPr>
            <w:r>
              <w:rPr>
                <w:rFonts w:ascii="Arial" w:cs="Arial" w:eastAsia="Arial" w:hAnsi="Arial"/>
                <w:sz w:val="12"/>
                <w:szCs w:val="12"/>
                <w:i w:val="1"/>
                <w:iCs w:val="1"/>
                <w:color w:val="auto"/>
              </w:rPr>
              <w:t>Depreciation and Amortization expense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2,149</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5,162</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3,013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w:t>
            </w:r>
          </w:p>
        </w:tc>
      </w:tr>
      <w:tr>
        <w:trPr>
          <w:trHeight w:val="153"/>
        </w:trPr>
        <w:tc>
          <w:tcPr>
            <w:tcW w:w="6000" w:type="dxa"/>
            <w:vAlign w:val="bottom"/>
            <w:gridSpan w:val="2"/>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9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Depreciation and amortization expenses increased by $3.0 million, or 140%, in 2019 compared to 2018, mostly due to $2.5 million of accelerated depreciation related to assets capitalized for Weedmaps Museum of Weed in fiscal year 2019. The remaining increase was due to an increase in headcount and leased office space in 2019.</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Other expense, net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0"/>
              </w:rPr>
              <w:t>Years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2"/>
                <w:szCs w:val="12"/>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 Expense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(1,827)</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(5,341)</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(3,514)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192</w:t>
            </w: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Percentage of revenue</w:t>
            </w:r>
          </w:p>
        </w:tc>
        <w:tc>
          <w:tcPr>
            <w:tcW w:w="26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-2%</w:t>
            </w:r>
          </w:p>
        </w:tc>
        <w:tc>
          <w:tcPr>
            <w:tcW w:w="3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0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Other expense increased by $3.5 million, or 192%, in 2019 compared to 2018, mostly due to an increase in financing fees of $3.3 million related to several equity and debt transactions that we were evaluating but ultimately decided not to pursue, an increase in tax expenses of $0.5 million related to revenue generated by our foreign subsidiary in Canada along with an increase of $0.2 million in political contribution, partially offset by a decrease in interest expense of $0.5 million due to the repayment and closure of our secured line of credit in April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20"/>
                <w:szCs w:val="20"/>
                <w:color w:val="auto"/>
              </w:rPr>
            </w:pPr>
            <w:r>
              <w:rPr>
                <w:rFonts w:ascii="Arial" w:cs="Arial" w:eastAsia="Arial" w:hAnsi="Arial"/>
                <w:sz w:val="12"/>
                <w:szCs w:val="12"/>
                <w:b w:val="1"/>
                <w:bCs w:val="1"/>
                <w:i w:val="1"/>
                <w:iCs w:val="1"/>
                <w:color w:val="auto"/>
              </w:rPr>
              <w:t>Liquidity and Capital Resources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ind w:left="200"/>
              <w:spacing w:after="0"/>
              <w:rPr>
                <w:sz w:val="20"/>
                <w:szCs w:val="20"/>
                <w:color w:val="auto"/>
              </w:rPr>
            </w:pPr>
            <w:r>
              <w:rPr>
                <w:rFonts w:ascii="Arial" w:cs="Arial" w:eastAsia="Arial" w:hAnsi="Arial"/>
                <w:sz w:val="12"/>
                <w:szCs w:val="12"/>
                <w:color w:val="auto"/>
              </w:rPr>
              <w:t>The following tables show our cash, accounts receivable and working capital as of the dates indicated: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8"/>
        </w:trPr>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As of the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As of</w:t>
            </w:r>
          </w:p>
        </w:tc>
      </w:tr>
      <w:tr>
        <w:trPr>
          <w:trHeight w:val="157"/>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September 30,</w:t>
            </w:r>
          </w:p>
        </w:tc>
      </w:tr>
      <w:tr>
        <w:trPr>
          <w:trHeight w:val="142"/>
        </w:trPr>
        <w:tc>
          <w:tcPr>
            <w:tcW w:w="6000" w:type="dxa"/>
            <w:vAlign w:val="bottom"/>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25,771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19,919</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81"/>
              </w:rPr>
              <w:t>77,935</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Accounts receivable, net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1,357</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3,929</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9,428</w:t>
            </w:r>
          </w:p>
        </w:tc>
        <w:tc>
          <w:tcPr>
            <w:tcW w:w="1240" w:type="dxa"/>
            <w:vAlign w:val="bottom"/>
            <w:gridSpan w:val="2"/>
          </w:tcPr>
          <w:p>
            <w:pPr>
              <w:ind w:left="800"/>
              <w:spacing w:after="0"/>
              <w:rPr>
                <w:sz w:val="20"/>
                <w:szCs w:val="20"/>
                <w:color w:val="auto"/>
              </w:rPr>
            </w:pPr>
            <w:r>
              <w:rPr>
                <w:rFonts w:ascii="Arial" w:cs="Arial" w:eastAsia="Arial" w:hAnsi="Arial"/>
                <w:sz w:val="12"/>
                <w:szCs w:val="12"/>
                <w:color w:val="auto"/>
              </w:rPr>
              <w:t>12,748</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10,659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(9,970)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10,917</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68,161</w:t>
            </w:r>
          </w:p>
        </w:tc>
      </w:tr>
    </w:tbl>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As of September 30, 2021, we have cash of $77.9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captioned “Risk Factors.” We may not be able to secure additional financing to meet our operating requirements on acceptable terms, or at all.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73" w:name="page74"/>
    <w:bookmarkEnd w:id="7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8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20"/>
                <w:szCs w:val="20"/>
                <w:color w:val="auto"/>
              </w:rPr>
            </w:pPr>
            <w:r>
              <w:rPr>
                <w:rFonts w:ascii="Arial" w:cs="Arial" w:eastAsia="Arial" w:hAnsi="Arial"/>
                <w:sz w:val="12"/>
                <w:szCs w:val="12"/>
                <w:b w:val="1"/>
                <w:bCs w:val="1"/>
                <w:i w:val="1"/>
                <w:iCs w:val="1"/>
                <w:color w:val="auto"/>
              </w:rPr>
              <w:t>Historical Cash Flows</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4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2"/>
              </w:rPr>
              <w:t>Year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w w:val="96"/>
              </w:rPr>
              <w:t>Nine Months Ended September 30,</w:t>
            </w:r>
          </w:p>
        </w:tc>
      </w:tr>
      <w:tr>
        <w:trPr>
          <w:trHeight w:val="142"/>
        </w:trPr>
        <w:tc>
          <w:tcPr>
            <w:tcW w:w="46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17,689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6,295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38,620</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29,566</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25,173</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(2,124)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(5,129)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(1,311)</w:t>
            </w: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(903)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(23,246)</w:t>
            </w: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7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3,244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(21,969)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(22,358)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(9,499)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56,089</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Net Cash Provided by Operating Activities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Net cash from operating activities for the nine months ended September 30, 2021 was $25.2 million, which resulted from net income of $73.8 million, together with a net cash inflows of $3.0 million from changes in operating assets and liabilities, and non-cash items of $51.6 million, consisting of depreciation and amortization of $3.0 million, fair value of warrant liability of $83.6 million, impairment loss of $2.4 million, stock-based compensation of $23.6 million and provision for doubtful accounts of $3.0 million. The net cash inflows from changes in operating assets and liabilities were primarily due to a decrease in prepaid and other current assets of $6.5 million, an increase in accounts payable and accrued expenses of $0.3 million and an increase in deferred revenue of $2.5 million, offset by an increase in accounts receivable of $6.4 million. The changes in operating assets and liabilities are mostly due to fluctuations in timing of cash receipts and payments.</w:t>
      </w:r>
    </w:p>
    <w:p>
      <w:pPr>
        <w:spacing w:after="0" w:line="10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Net cash from operating activities for the nine months ended September 30, 2020 was $29.6 million, which resulted from net income of $28.7 million, together with a net cash outflows of $2.1 million from changes in operating assets and liabilities, and non-cash items of $3.0 million, consisting of depreciation and amortization. The net cash outflows from changes in operating assets and liabilities were primarily due to an increase in accounts receivables of $4.3 million, a decrease in accounts payable and accrued expenses of $1.1 million and an increase in prepaid expenses and other current assets of $0.5 million. These changes were partially offset by an increase in deferred revenue of $3.2 million and a decrease in other assets of $0.5 million. The changes in operating assets and liabilities are mostly due to fluctuations in timing of cash receipts and payments.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4" w:name="page75"/>
    <w:bookmarkEnd w:id="7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Net cash from operating activities during 2020 was $38.6 million, which resulted from net income of $38.8 million, together with a net cash outflow of $4.2 million from changes in operating assets and liabilities, and non-cash charges of $4.0 million, consisting of depreciation and amortization. The net cash outflows from changes in operating assets and liabilities were primarily due to an increase in accounts receivable of $5.5 million, an increase in prepaid expenses and other current asset of $3.1 million and a decrease in accounts payable and accrued expenses of $1.0 million. These changes were partially offset by an increase in deferred revenue of $0.9 million, an increase in deferred rent of $3.7 million and an increase in other assets of $0.7 million. The changes in operating assets and liabilities are mostly due to fluctuations in timing of cash receipts and payments.</w:t>
      </w:r>
    </w:p>
    <w:p>
      <w:pPr>
        <w:spacing w:after="0" w:line="9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Net cash from operating activities during 2019 was $6.3 million, which resulted from net loss of $0.4 million, together with a net cash inflow of $1.5 million from changes in operating assets and liabilities, and non-cash charges of $5.2 million, consisting of depreciation and amortization expense. The net cash inflows from changes in operating assets and liabilities were primarily due to an increase in accounts payable and accrued liabilities of $7.4 million, an increase in deferred rent of $0.5 million, together with an increase in deferred revenue of $0.2 million. These changes were partially offset by an increase in accounts receivable of $2.6 million and an increase in prepaid expense and other assets of $4.0 million. The changes in operating assets and liabilities are mostly due to fluctuations in timing of cash receipts and payments.</w:t>
      </w:r>
    </w:p>
    <w:p>
      <w:pPr>
        <w:spacing w:after="0" w:line="9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Net cash from operating activities during 2018 was $17.7 million, which resulted from net income of $12.7 million, together with a net cash inflow of $2.8 million from changes in operating assets and liabilities, and non-cash charges of $2.2 million, mainly consisting of depreciation and amortization expense. The net cash inflows from changes in operating assets and liabilities were primarily due to an increase in accounts payable and accrued liabilities of $1.6 million, an increase in deferred revenue of $0.7 million, together with a decrease in prepaid expenses and other assets of $0.9 million. These changes were partially offset by an increase in accounts receivable of $0.4 million. The changes in operating assets and liabilities are mostly due to fluctuations in timing of cash receipts and payments.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Net Cash Used in Investing Activities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primary investing activities have consisted of purchases of property and equipment.</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Cash used in investing activities for the nine months ended September 30, 2021 was $23.2 million, which resulted from $16.0 million cash paid for acquisitions, $4.2 million cash paid for purchases of property and equipment, including certain capitalized software development cost and $3.0 million cash paid for other investments.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Cash used in investing activities for the nine months ended September 30, 2020 was $0.9 million for purchases of property and equipment.</w:t>
      </w:r>
    </w:p>
    <w:p>
      <w:pPr>
        <w:spacing w:after="0" w:line="12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Net cash used in investing activities was $1.3 million in 2020, which resulted from purchases of property and equipment. These expenses decreased compared to the same period in 2019 due to no large marketing projects that required significant capital expenditures.</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cash used in investing activities was $5.1 million in 2019, which resulted from purchases of assets related to Weedmaps Museum of Weed as well as other property and equipment and capitalized software development costs related to development of our POS solution. These expenses increased compared to 2018 due to one-time capital expenditures related to the Weedmaps Museum of Weed.</w:t>
      </w:r>
    </w:p>
    <w:p>
      <w:pPr>
        <w:spacing w:after="0" w:line="9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Net cash used in investing activities was $2.1 million in 2018, which resulted from purchases of property and equipment and leasehold improvements and capitalized software development costs related to development of our POS solution. These expenses decreased in 2018 compared to 2017 due to a reduction in leasehold improvements.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Net Cash Provided by (Used in) Financing Activities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Financing activities consist primarily of borrowings, sale of Class A units, repayments related to the existing line of credit and notes payable, distribution to members, the repurchase of Class B units and net proceeds from the Business Combination.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5" w:name="page76"/>
    <w:bookmarkEnd w:id="7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Cash provided by financing activities for the nine months ended September 30, 2021 was $56.1 million, which resulted from net proceeds from Business Combination of $80.0 million, offset by $18.1 million distribution payments to members, $5.6 million paid for the repurchase of Class B Units and $0.2 million repayment of notes payable to members.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1"/>
          <w:szCs w:val="11"/>
          <w:color w:val="auto"/>
        </w:rPr>
        <w:t>Net cash used in financing activities for the nine months ended September 30, 2020 was $9.5 million, which resulted from $9.2 million distributions to members and $0.3 million paid for the repurchase of Class B Units.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cash used in financing activities was $22.4 million in 2020, which was the result of $22.0 million in distribution payments to members and $0.4 million for the repurchase of Class B units.</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cash used in financing activities was $22.0 million in 2019, which was attributable to $15.4 million in distribution payments to members, $5.0 million repayment of the secured line of credit, and $1.6 million for the repurchase of Class B units.</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Net cash provided by financing activities was $3.2 million in 2018, which was attributable to $17.6 million related to the sale of Class A units and an additional $1.7 million borrowed on the line of credit, offset by $11.4 million distribution payments to members, $2.3 million repayment of notes payable to members, $1.7 million for the repurchase of Class B units, and repayment of other notes payable of $0.7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 Balance Sheet Arrangements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did not have any off-balance sheet arrangements in any of the periods presented in this prospectus, except for operating leases as discussed below.</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2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As of September 30, 2021, we leased various office facilities, including our corporate headquarters in Irvine, California under operating lease agreements that expire from 2021 to 2031. We recognize rent expense on a straight-line basis over the lease periods in accordance with the new lease accounting guidance. We do not have any debt or material capital lease obligations and most of our property, equipment and software have been purchased with cash. Our future minimum payments under non-cancelable operating leases for office facilities are as follows as of September 30,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89"/>
              </w:rPr>
              <w:t>Payments Due by Period</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4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ind w:left="224"/>
              <w:spacing w:after="0" w:line="129" w:lineRule="exact"/>
              <w:rPr>
                <w:sz w:val="20"/>
                <w:szCs w:val="20"/>
                <w:color w:val="auto"/>
              </w:rPr>
            </w:pPr>
            <w:r>
              <w:rPr>
                <w:rFonts w:ascii="Arial" w:cs="Arial" w:eastAsia="Arial" w:hAnsi="Arial"/>
                <w:sz w:val="12"/>
                <w:szCs w:val="12"/>
                <w:b w:val="1"/>
                <w:bCs w:val="1"/>
                <w:color w:val="auto"/>
                <w:w w:val="85"/>
              </w:rPr>
              <w:t>Less than</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420"/>
              <w:spacing w:after="0" w:line="129" w:lineRule="exact"/>
              <w:rPr>
                <w:sz w:val="20"/>
                <w:szCs w:val="20"/>
                <w:color w:val="auto"/>
              </w:rPr>
            </w:pPr>
            <w:r>
              <w:rPr>
                <w:rFonts w:ascii="Arial" w:cs="Arial" w:eastAsia="Arial" w:hAnsi="Arial"/>
                <w:sz w:val="12"/>
                <w:szCs w:val="12"/>
                <w:b w:val="1"/>
                <w:bCs w:val="1"/>
                <w:color w:val="auto"/>
              </w:rPr>
              <w:t>1-3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420"/>
              <w:spacing w:after="0" w:line="129" w:lineRule="exact"/>
              <w:rPr>
                <w:sz w:val="20"/>
                <w:szCs w:val="20"/>
                <w:color w:val="auto"/>
              </w:rPr>
            </w:pPr>
            <w:r>
              <w:rPr>
                <w:rFonts w:ascii="Arial" w:cs="Arial" w:eastAsia="Arial" w:hAnsi="Arial"/>
                <w:sz w:val="12"/>
                <w:szCs w:val="12"/>
                <w:b w:val="1"/>
                <w:bCs w:val="1"/>
                <w:color w:val="auto"/>
              </w:rPr>
              <w:t>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00"/>
              <w:spacing w:after="0" w:line="129" w:lineRule="exact"/>
              <w:rPr>
                <w:sz w:val="20"/>
                <w:szCs w:val="20"/>
                <w:color w:val="auto"/>
              </w:rPr>
            </w:pPr>
            <w:r>
              <w:rPr>
                <w:rFonts w:ascii="Arial" w:cs="Arial" w:eastAsia="Arial" w:hAnsi="Arial"/>
                <w:sz w:val="12"/>
                <w:szCs w:val="12"/>
                <w:b w:val="1"/>
                <w:bCs w:val="1"/>
                <w:color w:val="auto"/>
                <w:w w:val="94"/>
              </w:rPr>
              <w:t>More than</w:t>
            </w:r>
          </w:p>
        </w:tc>
        <w:tc>
          <w:tcPr>
            <w:tcW w:w="120" w:type="dxa"/>
            <w:vAlign w:val="bottom"/>
          </w:tcPr>
          <w:p>
            <w:pPr>
              <w:spacing w:after="0"/>
              <w:rPr>
                <w:sz w:val="11"/>
                <w:szCs w:val="11"/>
                <w:color w:val="auto"/>
              </w:rPr>
            </w:pPr>
          </w:p>
        </w:tc>
      </w:tr>
      <w:tr>
        <w:trPr>
          <w:trHeight w:val="157"/>
        </w:trPr>
        <w:tc>
          <w:tcPr>
            <w:tcW w:w="464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2"/>
                <w:szCs w:val="12"/>
                <w:b w:val="1"/>
                <w:bCs w:val="1"/>
                <w:color w:val="auto"/>
              </w:rPr>
              <w:t>Total</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left="224"/>
              <w:spacing w:after="0"/>
              <w:rPr>
                <w:sz w:val="20"/>
                <w:szCs w:val="20"/>
                <w:color w:val="auto"/>
              </w:rPr>
            </w:pPr>
            <w:r>
              <w:rPr>
                <w:rFonts w:ascii="Arial" w:cs="Arial" w:eastAsia="Arial" w:hAnsi="Arial"/>
                <w:sz w:val="12"/>
                <w:szCs w:val="12"/>
                <w:b w:val="1"/>
                <w:bCs w:val="1"/>
                <w:color w:val="auto"/>
                <w:w w:val="92"/>
              </w:rPr>
              <w:t>1 year</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Years</w:t>
            </w:r>
          </w:p>
        </w:tc>
        <w:tc>
          <w:tcPr>
            <w:tcW w:w="240" w:type="dxa"/>
            <w:vAlign w:val="bottom"/>
          </w:tcPr>
          <w:p>
            <w:pPr>
              <w:spacing w:after="0"/>
              <w:rPr>
                <w:sz w:val="13"/>
                <w:szCs w:val="13"/>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5"/>
              </w:rPr>
              <w:t>Years</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5 Years</w:t>
            </w:r>
          </w:p>
        </w:tc>
      </w:tr>
      <w:tr>
        <w:trPr>
          <w:trHeight w:val="142"/>
        </w:trPr>
        <w:tc>
          <w:tcPr>
            <w:tcW w:w="46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obligations</w:t>
            </w:r>
          </w:p>
        </w:tc>
        <w:tc>
          <w:tcPr>
            <w:tcW w:w="760" w:type="dxa"/>
            <w:vAlign w:val="bottom"/>
            <w:shd w:val="clear" w:color="auto" w:fill="CCEEFF"/>
          </w:tcPr>
          <w:p>
            <w:pPr>
              <w:jc w:val="right"/>
              <w:ind w:right="646"/>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66,805</w:t>
            </w:r>
          </w:p>
        </w:tc>
        <w:tc>
          <w:tcPr>
            <w:tcW w:w="840" w:type="dxa"/>
            <w:vAlign w:val="bottom"/>
            <w:shd w:val="clear" w:color="auto" w:fill="CCEEFF"/>
          </w:tcPr>
          <w:p>
            <w:pPr>
              <w:jc w:val="right"/>
              <w:ind w:right="724"/>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8,713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26,603</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10,871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20,618</w:t>
            </w:r>
          </w:p>
        </w:tc>
      </w:tr>
    </w:tbl>
    <w:p>
      <w:pPr>
        <w:spacing w:after="0" w:line="10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contractual commitment amounts in the table above are associated with agreements that are enforceable and legally binding.</w:t>
      </w:r>
    </w:p>
    <w:p>
      <w:pPr>
        <w:spacing w:after="0" w:line="123"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expect that the payments we will be required to make under the Tax Receivable Agreement (as defined below) will be substantial, and such payments are not reflected in the table above.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date of the Closing. Under this scenario, we would be required to pay to the Class A Unit holders approximately 85% of such amount, or $126.2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(as defined below)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6" w:name="page77"/>
    <w:bookmarkEnd w:id="7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2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0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believe that the assumptions and estimates associated with revenue recognition, website and internal-use software development costs, income taxes, fair value measurements and equity-based compensation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elsewhere in this prospectus.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8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Website and Internal-Use Software Development Costs</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We capitalize certain costs related to the development of our SaaS solutions.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For the nine months ended September 30, 2021, we capitalized $3.7 million of costs related to the development of software applications.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7" w:name="page78"/>
    <w:bookmarkEnd w:id="7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We follow the guidance in ASC 820 -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for our financial assets and liabilities that are re-measured and reported at fair value at each reporting period.</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its assets and liabilities, we seek to maximize the use of observable inputs (market data obtained from independent sources) and to minimize the use of unobservable inputs (internal assumptions about how market participants would price assets and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 xml:space="preserve">Effective January 1, 2021, we adopted ASC 842 - </w:t>
      </w:r>
      <w:r>
        <w:rPr>
          <w:rFonts w:ascii="Arial" w:cs="Arial" w:eastAsia="Arial" w:hAnsi="Arial"/>
          <w:sz w:val="11"/>
          <w:szCs w:val="11"/>
          <w:i w:val="1"/>
          <w:iCs w:val="1"/>
          <w:color w:val="auto"/>
        </w:rPr>
        <w:t>Leases</w:t>
      </w:r>
      <w:r>
        <w:rPr>
          <w:rFonts w:ascii="Arial" w:cs="Arial" w:eastAsia="Arial" w:hAnsi="Arial"/>
          <w:sz w:val="11"/>
          <w:szCs w:val="11"/>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9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We continued to account for leases in the prior period financial statements under ASC 840 - </w:t>
      </w:r>
      <w:r>
        <w:rPr>
          <w:rFonts w:ascii="Arial" w:cs="Arial" w:eastAsia="Arial" w:hAnsi="Arial"/>
          <w:sz w:val="12"/>
          <w:szCs w:val="12"/>
          <w:i w:val="1"/>
          <w:iCs w:val="1"/>
          <w:color w:val="auto"/>
        </w:rPr>
        <w:t>Leases</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Fluctuation Risk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consider all highly liquid investments with an original maturity of three months or less to be cash equivalents. As of September 30, 2021, we did not have any cash equivalents.</w:t>
      </w:r>
    </w:p>
    <w:p>
      <w:pPr>
        <w:spacing w:after="0" w:line="13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w:t>
      </w:r>
    </w:p>
    <w:p>
      <w:pPr>
        <w:spacing w:after="0" w:line="15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8" w:name="page79"/>
    <w:bookmarkEnd w:id="7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 and Smaller Reporting Company Status</w:t>
      </w:r>
    </w:p>
    <w:p>
      <w:pPr>
        <w:spacing w:after="0" w:line="12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8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We will no longer qualify as an emerging growth company or a smaller reporting company for Securities Act or Exchange Act reporting after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Note 2 to our condensed consolidated financial statements included elsewhere in this prospectus for additional information regarding recent accounting pronouncements.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Controls and Procedures</w:t>
      </w:r>
    </w:p>
    <w:p>
      <w:pPr>
        <w:spacing w:after="0" w:line="127"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warrants originally issued in a private placement (the “Private Placement Warrants” and together with the Public Warrants, the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during the period covered by this report, our disclosure controls and procedures were not effective.</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79" w:name="page80"/>
    <w:bookmarkEnd w:id="7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27"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0" w:name="page81"/>
    <w:bookmarkEnd w:id="8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Company</w:t>
      </w:r>
    </w:p>
    <w:p>
      <w:pPr>
        <w:spacing w:after="0" w:line="12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were founded in 2008, and operates a leading listings marketplace with one of the most comprehensive SaaS subscription offerings sold to retailers and brands in the U.S. state-legal and Canadian cannabis markets. We also provide information on the cannabis plant and the industry and advocates for legalization. The state-legal cannabis industry in the United States has grown consistently in recent years and is expected to double over the next five years (according to Arcview Market Research/BDS Analytics13 and Gallup), with 91% of U.S. adults now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compliantly manage their operations. Cannabis users within the United States represent less than 12% of the adult population as of December 31, 2019, with those consuming at least one time a month representing an even smaller percentage, according to the National Survey on Drug Use and Health estimates. At the same time, there are only approximately 11,500 retail licenses across U.S. and Canadian markets with medical and/or adult-use regulations in place, which is an effective retail density of approximately one retail license per 40,000 residents across these markets in the aggregate, based on data available from individual governmental cannabis license databases, U.S. Census Bureau estimates and Statistics Canada for both licenses and population.</w:t>
      </w:r>
    </w:p>
    <w:p>
      <w:pPr>
        <w:spacing w:after="0" w:line="11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discovery and price comparison across multiple channels, and transparency of information from cannabis businesses that they expect from other retailers or brands. These consumer expectations, coupled with the unique attributes of cannabis as a nascent and highly regulated consumer product, create significant challenges for retailers and brands who serve cannabis users. Retailers and brands must meet these consumer expectations and provide omni-channel engagement opportunities (to a narrow segment of the population) with the same level of (i) service, (ii) richness of product information, (iii) ability to compare prices, and (iv) ease of product and brand discovery that consumers would receive when researching other consumer product categories.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03"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14 million monthly active users (“MAUs”) as of September 30, 2021 on the demand-side and 4,194 average monthly paying business clients during the nine months ended September 30, 2021 on the supply-side of our marketplace. These paying clients include retailers, brands and other client types (such as doctors). Further, these clients, who can choose to purchase multiple listings solutions for each business, had purchased approximately 9,100 listing pages as of September 30, 2021 (of the over 18,300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reservations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1" w:name="page82"/>
    <w:bookmarkEnd w:id="8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66040</wp:posOffset>
            </wp:positionV>
            <wp:extent cx="2783205" cy="1417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83205"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75565</wp:posOffset>
            </wp:positionV>
            <wp:extent cx="2708910" cy="1508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0891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2" w:name="page83"/>
    <w:bookmarkEnd w:id="8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September 30, 2021, we actively operated in over 20 U.S. states and territories that have adult-use and/or medical-use regulations in place. We define actively operated markets as those with greater than $1,000 monthly recurring revenue.</w:t>
      </w:r>
    </w:p>
    <w:p>
      <w:pPr>
        <w:spacing w:after="0" w:line="106"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8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We have a history of growth since our inception in 2008. From fiscal year 2014 through 2020, we grew our revenue at a compound annual growth rate, or CAGR, of 35% and expanded our gross margin rate from 92% to 95%. For the year ended December 31, 2020, we generated $162 million in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nine months ended September 30, 2021, we generated $139 million in revenue, which represented 18% growth over the same period in the prior year. For the nine months ended September 30, 2021, we generated net income of $74 million and EBITDA of $77 million. For further information about how we calculate EBITDA, limitations of its use and a reconciliation of EBITDA to net income, see “—Key Operating and Financial Metrics-EBITDA and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3" w:name="page84"/>
    <w:bookmarkEnd w:id="8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Challenges in Our End-Markets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Despite cannabis being a large and growing sector in the U.S., we believe that cannabis is unlike many other consumer goods and retail categories for a number of reasons:</w:t>
      </w:r>
    </w:p>
    <w:p>
      <w:pPr>
        <w:spacing w:after="0" w:line="132" w:lineRule="exact"/>
        <w:rPr>
          <w:sz w:val="20"/>
          <w:szCs w:val="20"/>
          <w:color w:val="auto"/>
        </w:rPr>
      </w:pPr>
    </w:p>
    <w:p>
      <w:pPr>
        <w:jc w:val="both"/>
        <w:ind w:left="420" w:hanging="212"/>
        <w:spacing w:after="0" w:line="263"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Cannabis as a regulated industry is still in a nascent stage of development. </w:t>
      </w:r>
      <w:r>
        <w:rPr>
          <w:rFonts w:ascii="Arial" w:cs="Arial" w:eastAsia="Arial" w:hAnsi="Arial"/>
          <w:sz w:val="12"/>
          <w:szCs w:val="12"/>
          <w:color w:val="auto"/>
        </w:rPr>
        <w:t>As such, the industry lacks foundational components such as a master product catalog with standardized stock-keeping units/SKUs, normalized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inventory data, consistent retail layouts, price transparency across products within markets, or other common product characteristic data. The lack of these foundational components creates challenges for consumers seeking to understand the local cannabis market as well as retailers and brands seeking brand awareness.</w:t>
      </w:r>
    </w:p>
    <w:p>
      <w:pPr>
        <w:spacing w:after="0" w:line="95" w:lineRule="exact"/>
        <w:rPr>
          <w:rFonts w:ascii="Arial" w:cs="Arial" w:eastAsia="Arial" w:hAnsi="Arial"/>
          <w:sz w:val="12"/>
          <w:szCs w:val="12"/>
          <w:color w:val="auto"/>
        </w:rPr>
      </w:pPr>
    </w:p>
    <w:p>
      <w:pPr>
        <w:jc w:val="both"/>
        <w:ind w:left="420" w:hanging="212"/>
        <w:spacing w:after="0" w:line="256"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Cannabis users are less than 12% of the population today without a “typical” user profile. </w:t>
      </w:r>
      <w:r>
        <w:rPr>
          <w:rFonts w:ascii="Arial" w:cs="Arial" w:eastAsia="Arial" w:hAnsi="Arial"/>
          <w:sz w:val="12"/>
          <w:szCs w:val="12"/>
          <w:color w:val="auto"/>
        </w:rPr>
        <w:t>The National Survey on Drug Use and Health estimated that, as of 2019, less than 12% of the U.S. adult population consumed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cannabis monthly. These users are hard to target as they are statistically distributed relatively evenly across age, gender, income levels based on our consumer survey work and do not fit a narrow user profile or segment. The impact of these dynamics on traditional channels create pain-points for retailers and brands seeking to cost-effectively target cannabis consumers in compliance with audience restriction requirements under applicable law while balancing the need to preserve brand equity by ensuring the messaging is not viewed by non-cannabis consumers who still stigmatize the cannabis industry, thereby limiting future potential conversion opportunities for such consumer that could arise as cannabis continues to gain mainstream acceptance.</w:t>
      </w:r>
    </w:p>
    <w:p>
      <w:pPr>
        <w:spacing w:after="0" w:line="101" w:lineRule="exact"/>
        <w:rPr>
          <w:rFonts w:ascii="Arial" w:cs="Arial" w:eastAsia="Arial" w:hAnsi="Arial"/>
          <w:sz w:val="12"/>
          <w:szCs w:val="12"/>
          <w:color w:val="auto"/>
        </w:rPr>
      </w:pPr>
    </w:p>
    <w:p>
      <w:pPr>
        <w:jc w:val="both"/>
        <w:ind w:left="420" w:hanging="212"/>
        <w:spacing w:after="0" w:line="254"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Regulations governing cannabis are complex and vary state-by-state and by city and county within states. </w:t>
      </w:r>
      <w:r>
        <w:rPr>
          <w:rFonts w:ascii="Arial" w:cs="Arial" w:eastAsia="Arial" w:hAnsi="Arial"/>
          <w:sz w:val="12"/>
          <w:szCs w:val="12"/>
          <w:color w:val="auto"/>
        </w:rPr>
        <w:t>Cannabis regulations have been governed at the state as well as city / county level resulting in disparate regulatory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frameworks and “closed-border” systems that prohibit interstate commerce. Those state and local laws, regulations, and ordinances are generally materially divergent with respect to many technical aspects of operating a legal cannabis business. Additionally, several states allow local governments an unusual degree of latitude to not only set licensing limits, but also to implement their own taxes and additional regulatory requirements. The net effect of this complex regulatory framework is that the cannabis industry within the U.S. is highly fragmented, and the disparate regulatory frameworks render it difficult to standardize products or business operations across different jurisdictions. Cannabis as a product is regulated more like hazardous waste material as opposed to a consumer good, given incredibly stringent policies governing pesticide limits and track-and-trace compliance, among other restrictions governing the production, distribution and sale of cannabis products. The penalties for non-compliance with these laws and regulations can often be costly, with permanent loss of licensed operations being a possible penalty for material violations. Given this context, software that supports and enables businesses to be compliant and helps businesses identify non-compliance is an important tool to help mitigate the serious risks of non-compliance.</w:t>
      </w:r>
    </w:p>
    <w:p>
      <w:pPr>
        <w:spacing w:after="0" w:line="109"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Cannabis has wide variance in characteristics that make it complex to make an informed purchase decision. </w:t>
      </w:r>
      <w:r>
        <w:rPr>
          <w:rFonts w:ascii="Arial" w:cs="Arial" w:eastAsia="Arial" w:hAnsi="Arial"/>
          <w:sz w:val="12"/>
          <w:szCs w:val="12"/>
          <w:color w:val="auto"/>
        </w:rPr>
        <w:t>Cannabis products have wide ranges of use-cases, flavors, and clinical effects on different users, many of which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are not well-understood today given the nascency of legalized cannabis usage and limited academic research. This makes gathering information regarding cannabis products more complex than many other consumer good verticals.</w:t>
      </w:r>
    </w:p>
    <w:p>
      <w:pPr>
        <w:spacing w:after="0" w:line="95"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Cannabis is a perishable good with a lack of product homogeneity. </w:t>
      </w:r>
      <w:r>
        <w:rPr>
          <w:rFonts w:ascii="Arial" w:cs="Arial" w:eastAsia="Arial" w:hAnsi="Arial"/>
          <w:sz w:val="12"/>
          <w:szCs w:val="12"/>
          <w:color w:val="auto"/>
        </w:rPr>
        <w:t>Cannabis flower and concentrate generally has limited shelf-stability and loses potency, flavor, and odor over time, creating additional challenges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retailers, who are required in certain states to report on changes in inventory weights to comply with state-level track-and-trace requirements. This, combined with the seasonality of cannabis cultivation and harvest, means that retailer and brand inventory have a wider degree of variance heterogeneity than is seen in many other consumer goods, such as alcohol.</w:t>
      </w:r>
    </w:p>
    <w:p>
      <w:pPr>
        <w:spacing w:after="0" w:line="95" w:lineRule="exact"/>
        <w:rPr>
          <w:rFonts w:ascii="Arial" w:cs="Arial" w:eastAsia="Arial" w:hAnsi="Arial"/>
          <w:sz w:val="12"/>
          <w:szCs w:val="12"/>
          <w:color w:val="auto"/>
        </w:rPr>
      </w:pPr>
    </w:p>
    <w:p>
      <w:pPr>
        <w:jc w:val="both"/>
        <w:ind w:left="420" w:right="20" w:hanging="212"/>
        <w:spacing w:after="0" w:line="263"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Brands are only in the early innings of establishing a consumer presence. </w:t>
      </w:r>
      <w:r>
        <w:rPr>
          <w:rFonts w:ascii="Arial" w:cs="Arial" w:eastAsia="Arial" w:hAnsi="Arial"/>
          <w:sz w:val="12"/>
          <w:szCs w:val="12"/>
          <w:color w:val="auto"/>
        </w:rPr>
        <w:t>Very few brands have been able to establish a national or regional awareness or following given state-level restrictions and federal enforcement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priorities prohibiting interstate commerce. Brands also often face restrictions and are almost always restricted from selling direct to consumers, creating challenges in winning consumer loyalty and brand affinity. There are limited data sources for brands to be able to quantitatively demonstrate their reach or affinity with cannabis consumers to retailers.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4" w:name="page85"/>
    <w:bookmarkEnd w:id="8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left="420" w:hanging="212"/>
        <w:spacing w:after="0" w:line="263" w:lineRule="auto"/>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Competition with the illicit market. </w:t>
      </w:r>
      <w:r>
        <w:rPr>
          <w:rFonts w:ascii="Arial" w:cs="Arial" w:eastAsia="Arial" w:hAnsi="Arial"/>
          <w:sz w:val="12"/>
          <w:szCs w:val="12"/>
          <w:color w:val="auto"/>
        </w:rPr>
        <w:t>Unlike many other consumer goods, state-legal cannabis companies are competing with illicit producers, particularly in states like California and New York. Unlike in other consumer goods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sectors, the price of state-legal cannabis is significantly higher than cannabis sold on the illicit market, which is not subject to state and local taxes, compliance costs, and testing requirements. This can make it challenging for brands and cannabis companies to compete for consumers.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Solution</w:t>
      </w:r>
    </w:p>
    <w:p>
      <w:pPr>
        <w:spacing w:after="0" w:line="13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listings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retailer clients, which include both dispensaries and delivery services. We recently migrated all of our business clients from our Standard Listings subscription (which provided access to several of our SaaS solutions at no additional charge for clients with paid listings services) to our new WM Business subscription offering, which was completed by January 1, 2021. Our current solutions include:</w:t>
      </w:r>
    </w:p>
    <w:p>
      <w:pPr>
        <w:spacing w:after="0" w:line="101" w:lineRule="exact"/>
        <w:rPr>
          <w:sz w:val="20"/>
          <w:szCs w:val="20"/>
          <w:color w:val="auto"/>
        </w:rPr>
      </w:pPr>
    </w:p>
    <w:p>
      <w:pPr>
        <w:ind w:left="420" w:hanging="212"/>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WM Business subscription offering. </w:t>
      </w:r>
      <w:r>
        <w:rPr>
          <w:rFonts w:ascii="Arial" w:cs="Arial" w:eastAsia="Arial" w:hAnsi="Arial"/>
          <w:sz w:val="12"/>
          <w:szCs w:val="12"/>
          <w:color w:val="auto"/>
        </w:rPr>
        <w:t>Our WM Business monthly subscription package consists of the following solutions, the availability of which depends on the client’s market:</w:t>
      </w:r>
    </w:p>
    <w:p>
      <w:pPr>
        <w:spacing w:after="0" w:line="123" w:lineRule="exact"/>
        <w:rPr>
          <w:rFonts w:ascii="Arial" w:cs="Arial" w:eastAsia="Arial" w:hAnsi="Arial"/>
          <w:sz w:val="12"/>
          <w:szCs w:val="12"/>
          <w:color w:val="auto"/>
        </w:rPr>
      </w:pPr>
    </w:p>
    <w:p>
      <w:pPr>
        <w:ind w:left="640" w:right="20" w:hanging="216"/>
        <w:spacing w:after="0" w:line="276" w:lineRule="auto"/>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i w:val="1"/>
          <w:iCs w:val="1"/>
          <w:color w:val="auto"/>
        </w:rPr>
        <w:t>WM Pages</w:t>
      </w:r>
      <w:r>
        <w:rPr>
          <w:rFonts w:ascii="Arial" w:cs="Arial" w:eastAsia="Arial" w:hAnsi="Arial"/>
          <w:sz w:val="12"/>
          <w:szCs w:val="12"/>
          <w:color w:val="auto"/>
        </w:rPr>
        <w:t>. Listing page with product menu, which allows clients to disclose their license information, hours of operation, contact information, discount policies, and other information that may be required under</w:t>
      </w:r>
      <w:r>
        <w:rPr>
          <w:rFonts w:ascii="Arial" w:cs="Arial" w:eastAsia="Arial" w:hAnsi="Arial"/>
          <w:sz w:val="12"/>
          <w:szCs w:val="12"/>
          <w:i w:val="1"/>
          <w:iCs w:val="1"/>
          <w:color w:val="auto"/>
        </w:rPr>
        <w:t xml:space="preserve"> </w:t>
      </w:r>
      <w:r>
        <w:rPr>
          <w:rFonts w:ascii="Arial" w:cs="Arial" w:eastAsia="Arial" w:hAnsi="Arial"/>
          <w:sz w:val="12"/>
          <w:szCs w:val="12"/>
          <w:color w:val="auto"/>
        </w:rPr>
        <w:t>applicable state law.</w:t>
      </w:r>
    </w:p>
    <w:p>
      <w:pPr>
        <w:spacing w:after="0" w:line="114" w:lineRule="exact"/>
        <w:rPr>
          <w:rFonts w:ascii="Arial" w:cs="Arial" w:eastAsia="Arial" w:hAnsi="Arial"/>
          <w:sz w:val="12"/>
          <w:szCs w:val="12"/>
          <w:color w:val="auto"/>
        </w:rPr>
      </w:pPr>
    </w:p>
    <w:p>
      <w:pPr>
        <w:jc w:val="both"/>
        <w:ind w:left="640" w:hanging="216"/>
        <w:spacing w:after="0" w:line="298" w:lineRule="auto"/>
        <w:tabs>
          <w:tab w:leader="none" w:pos="640" w:val="left"/>
        </w:tabs>
        <w:numPr>
          <w:ilvl w:val="1"/>
          <w:numId w:val="31"/>
        </w:numPr>
        <w:rPr>
          <w:rFonts w:ascii="Arial" w:cs="Arial" w:eastAsia="Arial" w:hAnsi="Arial"/>
          <w:sz w:val="11"/>
          <w:szCs w:val="11"/>
          <w:color w:val="auto"/>
        </w:rPr>
      </w:pPr>
      <w:r>
        <w:rPr>
          <w:rFonts w:ascii="Arial" w:cs="Arial" w:eastAsia="Arial" w:hAnsi="Arial"/>
          <w:sz w:val="11"/>
          <w:szCs w:val="11"/>
          <w:i w:val="1"/>
          <w:iCs w:val="1"/>
          <w:color w:val="auto"/>
        </w:rPr>
        <w:t xml:space="preserve">WM Orders. </w:t>
      </w:r>
      <w:r>
        <w:rPr>
          <w:rFonts w:ascii="Arial" w:cs="Arial" w:eastAsia="Arial" w:hAnsi="Arial"/>
          <w:sz w:val="11"/>
          <w:szCs w:val="11"/>
          <w:color w:val="auto"/>
        </w:rPr>
        <w:t>Transmission of requests for reservation of products for pick-up by consumers or delivery to consumers, allowing retailers to confirm product availability (and to complete orders and process payments - both</w:t>
      </w:r>
      <w:r>
        <w:rPr>
          <w:rFonts w:ascii="Arial" w:cs="Arial" w:eastAsia="Arial" w:hAnsi="Arial"/>
          <w:sz w:val="11"/>
          <w:szCs w:val="11"/>
          <w:i w:val="1"/>
          <w:iCs w:val="1"/>
          <w:color w:val="auto"/>
        </w:rPr>
        <w:t xml:space="preserve"> </w:t>
      </w:r>
      <w:r>
        <w:rPr>
          <w:rFonts w:ascii="Arial" w:cs="Arial" w:eastAsia="Arial" w:hAnsi="Arial"/>
          <w:sz w:val="11"/>
          <w:szCs w:val="11"/>
          <w:color w:val="auto"/>
        </w:rPr>
        <w:t>of which only occur outside the Weedmaps listings marketplace). Weedmaps serves as a passive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04" w:lineRule="exact"/>
        <w:rPr>
          <w:rFonts w:ascii="Arial" w:cs="Arial" w:eastAsia="Arial" w:hAnsi="Arial"/>
          <w:sz w:val="11"/>
          <w:szCs w:val="11"/>
          <w:color w:val="auto"/>
        </w:rPr>
      </w:pPr>
    </w:p>
    <w:p>
      <w:pPr>
        <w:ind w:left="640" w:hanging="216"/>
        <w:spacing w:after="0" w:line="323" w:lineRule="auto"/>
        <w:tabs>
          <w:tab w:leader="none" w:pos="640" w:val="left"/>
        </w:tabs>
        <w:numPr>
          <w:ilvl w:val="1"/>
          <w:numId w:val="31"/>
        </w:numPr>
        <w:rPr>
          <w:rFonts w:ascii="Arial" w:cs="Arial" w:eastAsia="Arial" w:hAnsi="Arial"/>
          <w:sz w:val="11"/>
          <w:szCs w:val="11"/>
          <w:color w:val="auto"/>
        </w:rPr>
      </w:pPr>
      <w:r>
        <w:rPr>
          <w:rFonts w:ascii="Arial" w:cs="Arial" w:eastAsia="Arial" w:hAnsi="Arial"/>
          <w:sz w:val="11"/>
          <w:szCs w:val="11"/>
          <w:i w:val="1"/>
          <w:iCs w:val="1"/>
          <w:color w:val="auto"/>
        </w:rPr>
        <w:t xml:space="preserve">WM Dispatch and Cannveya. </w:t>
      </w:r>
      <w:r>
        <w:rPr>
          <w:rFonts w:ascii="Arial" w:cs="Arial" w:eastAsia="Arial" w:hAnsi="Arial"/>
          <w:sz w:val="11"/>
          <w:szCs w:val="11"/>
          <w:color w:val="auto"/>
        </w:rPr>
        <w:t>In September 2021, we acquired Transport Logistics Holding Company, LLC, which is the parent company to Cannveya. Together with WM Dispatch, these services provide logistics and</w:t>
      </w:r>
      <w:r>
        <w:rPr>
          <w:rFonts w:ascii="Arial" w:cs="Arial" w:eastAsia="Arial" w:hAnsi="Arial"/>
          <w:sz w:val="11"/>
          <w:szCs w:val="11"/>
          <w:i w:val="1"/>
          <w:iCs w:val="1"/>
          <w:color w:val="auto"/>
        </w:rPr>
        <w:t xml:space="preserve"> </w:t>
      </w:r>
      <w:r>
        <w:rPr>
          <w:rFonts w:ascii="Arial" w:cs="Arial" w:eastAsia="Arial" w:hAnsi="Arial"/>
          <w:sz w:val="11"/>
          <w:szCs w:val="11"/>
          <w:color w:val="auto"/>
        </w:rPr>
        <w:t>fulfillment software and driver apps, which provide tools that can be used for legally compliant delivery and tracking of product reserved online through WM Orders and real-time routing and tracking of delivery fleet.</w:t>
      </w:r>
    </w:p>
    <w:p>
      <w:pPr>
        <w:spacing w:after="0" w:line="91" w:lineRule="exact"/>
        <w:rPr>
          <w:rFonts w:ascii="Arial" w:cs="Arial" w:eastAsia="Arial" w:hAnsi="Arial"/>
          <w:sz w:val="11"/>
          <w:szCs w:val="11"/>
          <w:color w:val="auto"/>
        </w:rPr>
      </w:pPr>
    </w:p>
    <w:p>
      <w:pPr>
        <w:ind w:left="640" w:hanging="216"/>
        <w:spacing w:after="0" w:line="276" w:lineRule="auto"/>
        <w:tabs>
          <w:tab w:leader="none" w:pos="640" w:val="left"/>
        </w:tabs>
        <w:numPr>
          <w:ilvl w:val="1"/>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Sprout. </w:t>
      </w:r>
      <w:r>
        <w:rPr>
          <w:rFonts w:ascii="Arial" w:cs="Arial" w:eastAsia="Arial" w:hAnsi="Arial"/>
          <w:sz w:val="12"/>
          <w:szCs w:val="12"/>
          <w:color w:val="auto"/>
        </w:rPr>
        <w:t>In September 2021, we acquired certain assets of the Sprout business (“Sprout”). Sprout is a cloud-based customer relationship management (“CRM”) and marketing platform with the ability to run text messaging,</w:t>
      </w:r>
      <w:r>
        <w:rPr>
          <w:rFonts w:ascii="Arial" w:cs="Arial" w:eastAsia="Arial" w:hAnsi="Arial"/>
          <w:sz w:val="12"/>
          <w:szCs w:val="12"/>
          <w:i w:val="1"/>
          <w:iCs w:val="1"/>
          <w:color w:val="auto"/>
        </w:rPr>
        <w:t xml:space="preserve"> </w:t>
      </w:r>
      <w:r>
        <w:rPr>
          <w:rFonts w:ascii="Arial" w:cs="Arial" w:eastAsia="Arial" w:hAnsi="Arial"/>
          <w:sz w:val="12"/>
          <w:szCs w:val="12"/>
          <w:color w:val="auto"/>
        </w:rPr>
        <w:t>email, and loyalty campaigns to retarget and reengage cannabis consumers.</w:t>
      </w:r>
    </w:p>
    <w:p>
      <w:pPr>
        <w:spacing w:after="0" w:line="114" w:lineRule="exact"/>
        <w:rPr>
          <w:rFonts w:ascii="Arial" w:cs="Arial" w:eastAsia="Arial" w:hAnsi="Arial"/>
          <w:sz w:val="12"/>
          <w:szCs w:val="12"/>
          <w:color w:val="auto"/>
        </w:rPr>
      </w:pPr>
    </w:p>
    <w:p>
      <w:pPr>
        <w:jc w:val="both"/>
        <w:ind w:left="640" w:hanging="216"/>
        <w:spacing w:after="0" w:line="289" w:lineRule="auto"/>
        <w:tabs>
          <w:tab w:leader="none" w:pos="640" w:val="left"/>
        </w:tabs>
        <w:numPr>
          <w:ilvl w:val="1"/>
          <w:numId w:val="31"/>
        </w:numPr>
        <w:rPr>
          <w:rFonts w:ascii="Arial" w:cs="Arial" w:eastAsia="Arial" w:hAnsi="Arial"/>
          <w:sz w:val="11"/>
          <w:szCs w:val="11"/>
          <w:color w:val="auto"/>
        </w:rPr>
      </w:pPr>
      <w:r>
        <w:rPr>
          <w:rFonts w:ascii="Arial" w:cs="Arial" w:eastAsia="Arial" w:hAnsi="Arial"/>
          <w:sz w:val="11"/>
          <w:szCs w:val="11"/>
          <w:i w:val="1"/>
          <w:iCs w:val="1"/>
          <w:color w:val="auto"/>
        </w:rPr>
        <w:t xml:space="preserve">WM Retail. </w:t>
      </w:r>
      <w:r>
        <w:rPr>
          <w:rFonts w:ascii="Arial" w:cs="Arial" w:eastAsia="Arial" w:hAnsi="Arial"/>
          <w:sz w:val="11"/>
          <w:szCs w:val="11"/>
          <w:color w:val="auto"/>
        </w:rPr>
        <w:t>Retail POS system, which provides inventory management and track-and-trace compliance reporting functionality along with built-in integrations with the listing page product menu and digital product</w:t>
      </w:r>
      <w:r>
        <w:rPr>
          <w:rFonts w:ascii="Arial" w:cs="Arial" w:eastAsia="Arial" w:hAnsi="Arial"/>
          <w:sz w:val="11"/>
          <w:szCs w:val="11"/>
          <w:i w:val="1"/>
          <w:iCs w:val="1"/>
          <w:color w:val="auto"/>
        </w:rPr>
        <w:t xml:space="preserve"> </w:t>
      </w:r>
      <w:r>
        <w:rPr>
          <w:rFonts w:ascii="Arial" w:cs="Arial" w:eastAsia="Arial" w:hAnsi="Arial"/>
          <w:sz w:val="11"/>
          <w:szCs w:val="11"/>
          <w:color w:val="auto"/>
        </w:rPr>
        <w:t>reservation functionality to stream-line workflows. Our retail POS system is available in only a limited number of markets today, including Oklahoma, Michigan, and Missouri, though we have plans to continue expanding into additional states. We also support API integrations with third-party POS providers to make the Weedmaps listings marketplace more attractive for retailers who have not yet adopted our retail POS solution, including retailers in markets where our POS is not available, to replicate the labor efficiencies of the built-in listing menu and order integrations that come with our retail POS solution.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5" w:name="page86"/>
    <w:bookmarkEnd w:id="8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5" w:lineRule="exact"/>
        <w:rPr>
          <w:sz w:val="20"/>
          <w:szCs w:val="20"/>
          <w:color w:val="auto"/>
        </w:rPr>
      </w:pPr>
    </w:p>
    <w:p>
      <w:pPr>
        <w:ind w:left="640" w:hanging="216"/>
        <w:spacing w:after="0"/>
        <w:tabs>
          <w:tab w:leader="none" w:pos="640" w:val="left"/>
        </w:tabs>
        <w:numPr>
          <w:ilvl w:val="1"/>
          <w:numId w:val="32"/>
        </w:numPr>
        <w:rPr>
          <w:rFonts w:ascii="Arial" w:cs="Arial" w:eastAsia="Arial" w:hAnsi="Arial"/>
          <w:sz w:val="12"/>
          <w:szCs w:val="12"/>
          <w:color w:val="auto"/>
        </w:rPr>
      </w:pPr>
      <w:r>
        <w:rPr>
          <w:rFonts w:ascii="Arial" w:cs="Arial" w:eastAsia="Arial" w:hAnsi="Arial"/>
          <w:sz w:val="12"/>
          <w:szCs w:val="12"/>
          <w:i w:val="1"/>
          <w:iCs w:val="1"/>
          <w:color w:val="auto"/>
        </w:rPr>
        <w:t>WM Dashboard</w:t>
      </w:r>
      <w:r>
        <w:rPr>
          <w:rFonts w:ascii="Arial" w:cs="Arial" w:eastAsia="Arial" w:hAnsi="Arial"/>
          <w:sz w:val="12"/>
          <w:szCs w:val="12"/>
          <w:color w:val="auto"/>
        </w:rPr>
        <w:t>. Insights dashboard, which provides data and analytics on user engagement and traffic trends to a client’s listing page.</w:t>
      </w:r>
    </w:p>
    <w:p>
      <w:pPr>
        <w:spacing w:after="0" w:line="150" w:lineRule="exact"/>
        <w:rPr>
          <w:rFonts w:ascii="Arial" w:cs="Arial" w:eastAsia="Arial" w:hAnsi="Arial"/>
          <w:sz w:val="12"/>
          <w:szCs w:val="12"/>
          <w:color w:val="auto"/>
        </w:rPr>
      </w:pPr>
    </w:p>
    <w:p>
      <w:pPr>
        <w:jc w:val="both"/>
        <w:ind w:left="640" w:hanging="216"/>
        <w:spacing w:after="0" w:line="263" w:lineRule="auto"/>
        <w:tabs>
          <w:tab w:leader="none" w:pos="640" w:val="left"/>
        </w:tabs>
        <w:numPr>
          <w:ilvl w:val="1"/>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WM Store. </w:t>
      </w:r>
      <w:r>
        <w:rPr>
          <w:rFonts w:ascii="Arial" w:cs="Arial" w:eastAsia="Arial" w:hAnsi="Arial"/>
          <w:sz w:val="12"/>
          <w:szCs w:val="12"/>
          <w:color w:val="auto"/>
        </w:rPr>
        <w:t>Orders and menu embed, which allows retailers to import their Weedmaps listing menu or product reservation functionality to their own white-labeled WM Store site or separately owned third party sites in a</w:t>
      </w:r>
      <w:r>
        <w:rPr>
          <w:rFonts w:ascii="Arial" w:cs="Arial" w:eastAsia="Arial" w:hAnsi="Arial"/>
          <w:sz w:val="12"/>
          <w:szCs w:val="12"/>
          <w:i w:val="1"/>
          <w:iCs w:val="1"/>
          <w:color w:val="auto"/>
        </w:rPr>
        <w:t xml:space="preserve"> </w:t>
      </w:r>
      <w:r>
        <w:rPr>
          <w:rFonts w:ascii="Arial" w:cs="Arial" w:eastAsia="Arial" w:hAnsi="Arial"/>
          <w:sz w:val="12"/>
          <w:szCs w:val="12"/>
          <w:color w:val="auto"/>
        </w:rPr>
        <w:t>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listings marketplace.</w:t>
      </w:r>
    </w:p>
    <w:p>
      <w:pPr>
        <w:spacing w:after="0" w:line="122" w:lineRule="exact"/>
        <w:rPr>
          <w:rFonts w:ascii="Arial" w:cs="Arial" w:eastAsia="Arial" w:hAnsi="Arial"/>
          <w:sz w:val="12"/>
          <w:szCs w:val="12"/>
          <w:color w:val="auto"/>
        </w:rPr>
      </w:pPr>
    </w:p>
    <w:p>
      <w:pPr>
        <w:jc w:val="both"/>
        <w:ind w:left="640" w:hanging="216"/>
        <w:spacing w:after="0" w:line="259" w:lineRule="auto"/>
        <w:tabs>
          <w:tab w:leader="none" w:pos="640" w:val="left"/>
        </w:tabs>
        <w:numPr>
          <w:ilvl w:val="1"/>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WM Exchange. </w:t>
      </w:r>
      <w:r>
        <w:rPr>
          <w:rFonts w:ascii="Arial" w:cs="Arial" w:eastAsia="Arial" w:hAnsi="Arial"/>
          <w:sz w:val="12"/>
          <w:szCs w:val="12"/>
          <w:color w:val="auto"/>
        </w:rPr>
        <w:t>Access to our wholesale online exchange, which allows retailers to browse brand catalogs and identify brands to obtain inventory from and brands to manage their customer relationships and wholesale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WM Exchange also facilitates the sharing of license information and certificates of analysis between wholesale buyers and sellers, and offers other compliance features including invoice and transportation manifest generation and recordkeeping. Our wholesale exchange is currently available in California, Oklahoma, Michigan, Maryland, Missouri, and Maine, though we have plans to continue expanding into additional states.</w:t>
      </w:r>
    </w:p>
    <w:p>
      <w:pPr>
        <w:spacing w:after="0" w:line="12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offerings for subscription clients. </w:t>
      </w:r>
      <w:r>
        <w:rPr>
          <w:rFonts w:ascii="Arial" w:cs="Arial" w:eastAsia="Arial" w:hAnsi="Arial"/>
          <w:sz w:val="12"/>
          <w:szCs w:val="12"/>
          <w:color w:val="auto"/>
        </w:rPr>
        <w:t>We offer several add-on and upsell solutions only to paying subscription clients, including:</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1"/>
          <w:numId w:val="32"/>
        </w:numPr>
        <w:rPr>
          <w:rFonts w:ascii="Arial" w:cs="Arial" w:eastAsia="Arial" w:hAnsi="Arial"/>
          <w:sz w:val="12"/>
          <w:szCs w:val="12"/>
          <w:color w:val="auto"/>
        </w:rPr>
      </w:pPr>
      <w:r>
        <w:rPr>
          <w:rFonts w:ascii="Arial" w:cs="Arial" w:eastAsia="Arial" w:hAnsi="Arial"/>
          <w:sz w:val="12"/>
          <w:szCs w:val="12"/>
          <w:color w:val="auto"/>
        </w:rPr>
        <w:t>Featured listings on our weedmaps.com marketplace;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1"/>
          <w:numId w:val="32"/>
        </w:numPr>
        <w:rPr>
          <w:rFonts w:ascii="Arial" w:cs="Arial" w:eastAsia="Arial" w:hAnsi="Arial"/>
          <w:sz w:val="12"/>
          <w:szCs w:val="12"/>
          <w:color w:val="auto"/>
        </w:rPr>
      </w:pPr>
      <w:r>
        <w:rPr>
          <w:rFonts w:ascii="Arial" w:cs="Arial" w:eastAsia="Arial" w:hAnsi="Arial"/>
          <w:sz w:val="12"/>
          <w:szCs w:val="12"/>
          <w:color w:val="auto"/>
        </w:rPr>
        <w:t>Promoted deals, which allows retailers to showcase discounts (as is required by applicable law in some jurisdictions) and promotions on products to assist price-conscious consumers.</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advertising products. </w:t>
      </w:r>
      <w:r>
        <w:rPr>
          <w:rFonts w:ascii="Arial" w:cs="Arial" w:eastAsia="Arial" w:hAnsi="Arial"/>
          <w:sz w:val="12"/>
          <w:szCs w:val="12"/>
          <w:color w:val="auto"/>
        </w:rPr>
        <w:t>We also provide several a la carte advertising solutions including banner ads and promotion tile cards on our Weedmaps listings marketplace, as well as banner ads that can be tied to keyword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searches. These products provide clients with targeted ad solutions in highly visible slots across our digital surfaces.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Competitive Strengths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Since our founding in 2008, we have grown to become a leading provider of technology solutions to the cannabis industry by leveraging our competitive strengths, including:</w:t>
      </w:r>
    </w:p>
    <w:p>
      <w:pPr>
        <w:spacing w:after="0" w:line="123" w:lineRule="exact"/>
        <w:rPr>
          <w:sz w:val="20"/>
          <w:szCs w:val="20"/>
          <w:color w:val="auto"/>
        </w:rPr>
      </w:pPr>
    </w:p>
    <w:p>
      <w:pPr>
        <w:jc w:val="both"/>
        <w:ind w:left="420" w:hanging="212"/>
        <w:spacing w:after="0" w:line="340" w:lineRule="auto"/>
        <w:tabs>
          <w:tab w:leader="none" w:pos="420" w:val="left"/>
        </w:tabs>
        <w:numPr>
          <w:ilvl w:val="0"/>
          <w:numId w:val="33"/>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Long History as a Technology Leader Serving the Cannabis Industry. </w:t>
      </w:r>
      <w:r>
        <w:rPr>
          <w:rFonts w:ascii="Arial" w:cs="Arial" w:eastAsia="Arial" w:hAnsi="Arial"/>
          <w:sz w:val="10"/>
          <w:szCs w:val="10"/>
          <w:color w:val="auto"/>
        </w:rPr>
        <w:t>Founded in 2008, we have a long history and established relationships with cannabis businesses and consumers, particularly in California and other more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established cannabis markets.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60" w:lineRule="exact"/>
        <w:rPr>
          <w:rFonts w:ascii="Arial" w:cs="Arial" w:eastAsia="Arial" w:hAnsi="Arial"/>
          <w:sz w:val="10"/>
          <w:szCs w:val="10"/>
          <w:color w:val="auto"/>
        </w:rPr>
      </w:pPr>
    </w:p>
    <w:p>
      <w:pPr>
        <w:jc w:val="both"/>
        <w:ind w:left="420" w:hanging="212"/>
        <w:spacing w:after="0" w:line="285" w:lineRule="auto"/>
        <w:tabs>
          <w:tab w:leader="none" w:pos="420" w:val="left"/>
        </w:tabs>
        <w:numPr>
          <w:ilvl w:val="0"/>
          <w:numId w:val="33"/>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Largest Two-Sided Platform for Cannabis Businesses and Consumers. </w:t>
      </w:r>
      <w:r>
        <w:rPr>
          <w:rFonts w:ascii="Arial" w:cs="Arial" w:eastAsia="Arial" w:hAnsi="Arial"/>
          <w:sz w:val="11"/>
          <w:szCs w:val="11"/>
          <w:color w:val="auto"/>
        </w:rPr>
        <w:t>We estimate that we have approximately 52% share of all licensed cannabis retailers across the U.S. markets we serve as paying clients on the platform.</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of September 30, 2021, our Weedmaps mobile app has received 4.9 and 4.6 ratings (in each case, out of a 5.0 scale) on the Apple App Store and Google Play Store, respectively.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6" w:name="page87"/>
    <w:bookmarkEnd w:id="8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left="420" w:hanging="212"/>
        <w:spacing w:after="0" w:line="259" w:lineRule="auto"/>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The Only Fully-Integrated Business-in-a-Box SaaS Solution Specific to the Cannabis Industry. </w:t>
      </w:r>
      <w:r>
        <w:rPr>
          <w:rFonts w:ascii="Arial" w:cs="Arial" w:eastAsia="Arial" w:hAnsi="Arial"/>
          <w:sz w:val="12"/>
          <w:szCs w:val="12"/>
          <w:color w:val="auto"/>
        </w:rPr>
        <w:t>Our WM Business solution enables licensed cannabis clients to comply with state law through integrated software solutions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ranging from live menus, logistics and fulfillment, POS, and inventory management, and data and analytics. We believe we offer the only comprehensive software platform that allows cannabis retailers to reach their target audience, quickly and cost effectively, addressing a wide range of needs, with compliance front-of-mind.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106" w:lineRule="exact"/>
        <w:rPr>
          <w:rFonts w:ascii="Arial" w:cs="Arial" w:eastAsia="Arial" w:hAnsi="Arial"/>
          <w:sz w:val="12"/>
          <w:szCs w:val="12"/>
          <w:color w:val="auto"/>
        </w:rPr>
      </w:pPr>
    </w:p>
    <w:p>
      <w:pPr>
        <w:jc w:val="both"/>
        <w:ind w:left="420" w:hanging="212"/>
        <w:spacing w:after="0" w:line="340" w:lineRule="auto"/>
        <w:tabs>
          <w:tab w:leader="none" w:pos="420" w:val="left"/>
        </w:tabs>
        <w:numPr>
          <w:ilvl w:val="0"/>
          <w:numId w:val="34"/>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Unique and Growing Data Asset. </w:t>
      </w:r>
      <w:r>
        <w:rPr>
          <w:rFonts w:ascii="Arial" w:cs="Arial" w:eastAsia="Arial" w:hAnsi="Arial"/>
          <w:sz w:val="10"/>
          <w:szCs w:val="10"/>
          <w:color w:val="auto"/>
        </w:rPr>
        <w:t>Given our established presence, scale, and the breadth of product offerings that provide us with a high volume of retail-level information and user insights, we have a growing and unique data</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asset. Currently, the cannabis industry has few reliable sources of data.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60" w:lineRule="exact"/>
        <w:rPr>
          <w:rFonts w:ascii="Arial" w:cs="Arial" w:eastAsia="Arial" w:hAnsi="Arial"/>
          <w:sz w:val="10"/>
          <w:szCs w:val="10"/>
          <w:color w:val="auto"/>
        </w:rPr>
      </w:pPr>
    </w:p>
    <w:p>
      <w:pPr>
        <w:jc w:val="both"/>
        <w:ind w:left="420" w:hanging="212"/>
        <w:spacing w:after="0" w:line="281" w:lineRule="auto"/>
        <w:tabs>
          <w:tab w:leader="none" w:pos="420" w:val="left"/>
        </w:tabs>
        <w:numPr>
          <w:ilvl w:val="0"/>
          <w:numId w:val="34"/>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Ability to Innovate Rapidly and Launch New Products Efficiently at Scale. </w:t>
      </w:r>
      <w:r>
        <w:rPr>
          <w:rFonts w:ascii="Arial" w:cs="Arial" w:eastAsia="Arial" w:hAnsi="Arial"/>
          <w:sz w:val="11"/>
          <w:szCs w:val="11"/>
          <w:color w:val="auto"/>
        </w:rPr>
        <w:t>We have an agile product innovation and deployment process. Our sales team frequently engages with our paid clients about the products they use,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 For example, we were able to develop our WM Store product in approximately two months using a core team of only two engineers. When we then launch these initiatives and innovations, we are well-positioned to roll them out to a ready-made and already scaled market-the clients and users on our platform.</w:t>
      </w:r>
    </w:p>
    <w:p>
      <w:pPr>
        <w:spacing w:after="0" w:line="88" w:lineRule="exact"/>
        <w:rPr>
          <w:rFonts w:ascii="Arial" w:cs="Arial" w:eastAsia="Arial" w:hAnsi="Arial"/>
          <w:sz w:val="11"/>
          <w:szCs w:val="11"/>
          <w:color w:val="auto"/>
        </w:rPr>
      </w:pPr>
    </w:p>
    <w:p>
      <w:pPr>
        <w:jc w:val="both"/>
        <w:ind w:left="420" w:hanging="212"/>
        <w:spacing w:after="0" w:line="254" w:lineRule="auto"/>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Capital-Efficient Business Model with Strong Cashflow Generation. </w:t>
      </w:r>
      <w:r>
        <w:rPr>
          <w:rFonts w:ascii="Arial" w:cs="Arial" w:eastAsia="Arial" w:hAnsi="Arial"/>
          <w:sz w:val="12"/>
          <w:szCs w:val="12"/>
          <w:color w:val="auto"/>
        </w:rPr>
        <w:t>We operate a cloud-based platform, and unlike other cannabis-related businesses, we require minimal physical footprint and are not directly exposed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 From 2014 to 2020, we grew revenue at a CAGR of 35%. Over that period of time, we expanded our gross margin rate from 92% to 95%. For 2020, our net income was $39 million and EBITDA was $43 million. For the nine months ended September 30, 2021, we generated $139 million in revenue, which represented 18% growth over the prior year. For the nine months ended September 30, 2021, we generated net income of $74 million and EBITDA of $77 million. For further information about how we calculate EBITDA, limitations of its use and a reconciliation of EBITDA to net income, see “—Key Operating and Financial Metrics-EBITDA and Adjusted EBITDA.”</w:t>
      </w:r>
    </w:p>
    <w:p>
      <w:pPr>
        <w:spacing w:after="0" w:line="111" w:lineRule="exact"/>
        <w:rPr>
          <w:rFonts w:ascii="Arial" w:cs="Arial" w:eastAsia="Arial" w:hAnsi="Arial"/>
          <w:sz w:val="12"/>
          <w:szCs w:val="12"/>
          <w:color w:val="auto"/>
        </w:rPr>
      </w:pPr>
    </w:p>
    <w:p>
      <w:pPr>
        <w:jc w:val="both"/>
        <w:ind w:left="420" w:hanging="212"/>
        <w:spacing w:after="0" w:line="259" w:lineRule="auto"/>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Operationally-Focused Management Team with Deep Experience. </w:t>
      </w:r>
      <w:r>
        <w:rPr>
          <w:rFonts w:ascii="Arial" w:cs="Arial" w:eastAsia="Arial" w:hAnsi="Arial"/>
          <w:sz w:val="12"/>
          <w:szCs w:val="12"/>
          <w:color w:val="auto"/>
        </w:rPr>
        <w:t>Our executive leadership team has over 100 years of cumulative professional experience spanning the technology, consumer, retail, legal and financial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7" w:name="page88"/>
    <w:bookmarkEnd w:id="8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Growth Strategy</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With our leading share of cannabis consumers and businesses, we believe we are well-positioned to capitalize on underlying growth across our end-markets by executing against our strategy as follows:</w:t>
      </w:r>
    </w:p>
    <w:p>
      <w:pPr>
        <w:spacing w:after="0" w:line="132" w:lineRule="exact"/>
        <w:rPr>
          <w:sz w:val="20"/>
          <w:szCs w:val="20"/>
          <w:color w:val="auto"/>
        </w:rPr>
      </w:pPr>
    </w:p>
    <w:p>
      <w:pPr>
        <w:jc w:val="both"/>
        <w:ind w:left="420" w:hanging="212"/>
        <w:spacing w:after="0" w:line="263"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Grow Our Two-Sided Marketplace. </w:t>
      </w:r>
      <w:r>
        <w:rPr>
          <w:rFonts w:ascii="Arial" w:cs="Arial" w:eastAsia="Arial" w:hAnsi="Arial"/>
          <w:sz w:val="12"/>
          <w:szCs w:val="12"/>
          <w:color w:val="auto"/>
        </w:rPr>
        <w:t>We intend to continue growing the number of consumers on our platform through original content that educates, entertains, facilitates discovery of new products, increases awareness of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platform and encourages repeat usage. As we grow our users and user engagements, we can convince more businesses to increase adoption of our WM Business services through our WM Business subscription offering and additional offerings.</w:t>
      </w:r>
    </w:p>
    <w:p>
      <w:pPr>
        <w:spacing w:after="0" w:line="95" w:lineRule="exact"/>
        <w:rPr>
          <w:rFonts w:ascii="Arial" w:cs="Arial" w:eastAsia="Arial" w:hAnsi="Arial"/>
          <w:sz w:val="12"/>
          <w:szCs w:val="12"/>
          <w:color w:val="auto"/>
        </w:rPr>
      </w:pPr>
    </w:p>
    <w:p>
      <w:pPr>
        <w:jc w:val="both"/>
        <w:ind w:left="420" w:hanging="212"/>
        <w:spacing w:after="0" w:line="259" w:lineRule="auto"/>
        <w:tabs>
          <w:tab w:leader="none" w:pos="420" w:val="left"/>
        </w:tabs>
        <w:numPr>
          <w:ilvl w:val="0"/>
          <w:numId w:val="3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Expand Our Existing Markets and Enter New Markets. </w:t>
      </w:r>
      <w:r>
        <w:rPr>
          <w:rFonts w:ascii="Arial" w:cs="Arial" w:eastAsia="Arial" w:hAnsi="Arial"/>
          <w:sz w:val="12"/>
          <w:szCs w:val="12"/>
          <w:color w:val="auto"/>
        </w:rPr>
        <w:t>We have a significant opportunity to grow our client base both within existing markets that are continuing to grow and new markets as they become open to regulated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cannabis. Although we are increasingly becoming a more nationally-recognized brand, we are monetizing our platform in over 20 U.S. states and territories, as of September 30, 2021. Based on our internal research, we believe the minimum level of acceptable retail density to have a healthy and functioning licensed market is a minimum of one licensed retailer per 10,000 residents. As seen below, many of the U.S. states where we operate today are still under-penetrated with low levels of licensed retail density.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67310</wp:posOffset>
            </wp:positionV>
            <wp:extent cx="4783455" cy="2423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8345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believe that there are tremendous growth opportunities for us within our existing markets as retail licenses continue to be issued, and states move towards, and beyond, the one retail license per 10,000 people ratio. There are approximately 11,500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3.3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8" w:name="page89"/>
    <w:bookmarkEnd w:id="8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66040</wp:posOffset>
            </wp:positionV>
            <wp:extent cx="4772025" cy="2400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720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20" w:hanging="212"/>
        <w:spacing w:after="0" w:line="320" w:lineRule="auto"/>
        <w:tabs>
          <w:tab w:leader="none" w:pos="420" w:val="left"/>
        </w:tabs>
        <w:numPr>
          <w:ilvl w:val="0"/>
          <w:numId w:val="36"/>
        </w:numPr>
        <w:rPr>
          <w:rFonts w:ascii="Arial" w:cs="Arial" w:eastAsia="Arial" w:hAnsi="Arial"/>
          <w:sz w:val="10"/>
          <w:szCs w:val="10"/>
          <w:color w:val="auto"/>
        </w:rPr>
      </w:pPr>
      <w:r>
        <w:rPr>
          <w:rFonts w:ascii="Arial" w:cs="Arial" w:eastAsia="Arial" w:hAnsi="Arial"/>
          <w:sz w:val="10"/>
          <w:szCs w:val="10"/>
          <w:b w:val="1"/>
          <w:bCs w:val="1"/>
          <w:i w:val="1"/>
          <w:iCs w:val="1"/>
          <w:color w:val="auto"/>
        </w:rPr>
        <w:t xml:space="preserve">Expand our WM Business SaaS solution and grow Gross Merchandise Value (“GMV”). </w:t>
      </w:r>
      <w:r>
        <w:rPr>
          <w:rFonts w:ascii="Arial" w:cs="Arial" w:eastAsia="Arial" w:hAnsi="Arial"/>
          <w:sz w:val="10"/>
          <w:szCs w:val="10"/>
          <w:color w:val="auto"/>
        </w:rPr>
        <w:t>We intend to continue expanding the functionality of our SaaS solutions through additional offerings of premium analytics, Customer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Relationship Management, or CRM, and loyalty tools, among other solutions, which we intend to monetize through additional higher priced tiers within our subscription offering. We will continue to expand the availability of our POS and wholesale exchange offerings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79" w:lineRule="exact"/>
        <w:rPr>
          <w:rFonts w:ascii="Arial" w:cs="Arial" w:eastAsia="Arial" w:hAnsi="Arial"/>
          <w:sz w:val="10"/>
          <w:szCs w:val="10"/>
          <w:color w:val="auto"/>
        </w:rPr>
      </w:pPr>
    </w:p>
    <w:p>
      <w:pPr>
        <w:ind w:left="420" w:hanging="212"/>
        <w:spacing w:after="0" w:line="276" w:lineRule="auto"/>
        <w:tabs>
          <w:tab w:leader="none" w:pos="42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Pursue Strategic Acquisitions. </w:t>
      </w:r>
      <w:r>
        <w:rPr>
          <w:rFonts w:ascii="Arial" w:cs="Arial" w:eastAsia="Arial" w:hAnsi="Arial"/>
          <w:sz w:val="12"/>
          <w:szCs w:val="12"/>
          <w:color w:val="auto"/>
        </w:rPr>
        <w:t>We take a measured approach to acquisition-related growth, preferring to selectively make strategic software acquisitions, such as our prior POS subsidiary, that complement our existing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offerings. We intend to continue selectively pursuing opportunities to invest in and acquire technology offerings that allow us to accelerate our growth.</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2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9" w:name="page90"/>
    <w:bookmarkEnd w:id="8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9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Marketing</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the recent sponsorship of the Mike Tyson vs. Roy Jones, Jr. pay-per-view fight, one of the top 10 most purchased combat sports events of all time.</w:t>
      </w:r>
    </w:p>
    <w:p>
      <w:pPr>
        <w:spacing w:after="0" w:line="10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Social Impact</w:t>
      </w:r>
    </w:p>
    <w:p>
      <w:pPr>
        <w:spacing w:after="0" w:line="13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0" w:name="page91"/>
    <w:bookmarkEnd w:id="9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3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88"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As of September 30, 2021, we have been issued trademark registrations in the United States, Canada, Japan, the European Union, the United Kingdom and Mexico. We have also been issued an international trademark registration with designation in Australia and the European Union for “Weedmaps.” As of September 30,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 and our “wm verified logo”.</w:t>
      </w:r>
    </w:p>
    <w:p>
      <w:pPr>
        <w:spacing w:after="0" w:line="87"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9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Circumstances outside our control could pose a threat to our intellectual property rights. For more information, see the section entitled “Risk Factors—Risks Related to our Business and Industry.”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2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corporate headquarters is located in Irvine, California, pursuant to an operating lease that expires in 2025. We have built out a second headquarter space in Los Angeles, California, pursuant to an operating lease that expires in 2031. We lease or license additional offices in Denver, Colorado; Ontario Canada; and Barcelona, Spain.</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believe that our current facilities are adequate to meet our ongoing needs. However, from time to time we may evaluate additional or substitute office spaces. We believe that we will be able to obtain additional facilities, as needed, on commercially reasonable terms. Additionally, we recently adopted a work from anywhere policy.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People Operations and Human Capital Resources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0"/>
          <w:szCs w:val="10"/>
          <w:color w:val="auto"/>
        </w:rPr>
        <w:t>As of September 30, 2021, we had 473 full-time employees and 1 part-time employee, including 182 in engineering, product and design, 203 in sales and marketing, and 89 in general and administrative and professional services.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Of these employees, 463 are located in the United States, and 11 are located in Canada.</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1" w:name="page92"/>
    <w:bookmarkEnd w:id="9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 &amp; 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3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and Territories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8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five years.</w:t>
      </w:r>
    </w:p>
    <w:p>
      <w:pPr>
        <w:spacing w:after="0" w:line="8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10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95"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this year, legislative efforts to legalize cannabis or cannabis banking at the national level are likely to continue in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2" w:name="page93"/>
    <w:bookmarkEnd w:id="9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0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95"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97"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3" w:name="page94"/>
    <w:bookmarkEnd w:id="9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11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8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8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4" w:name="page95"/>
    <w:bookmarkEnd w:id="9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 of the World</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Matters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September 2019, we received a grand jury subpoena prepared by the United States Attorney’s Office for the Eastern District of California (“DOJ”). The subpoena demanded certain categories of information from us, some of which we have already provided. Management believes that the outcome of such inquiry will not have a material adverse impact of our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106"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We have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 We believe that these allegations are without merit. These matters are in the early stages and we are unable to reasonably determine the outcome or estimate the loss, if any, and as such, have not recorded a loss contingency.</w:t>
      </w:r>
    </w:p>
    <w:p>
      <w:pPr>
        <w:spacing w:after="0" w:line="9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5" w:name="page96"/>
    <w:bookmarkEnd w:id="9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 and Directors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sets forth the names, ages and positions (as of September 30, 2021) of our directors and executive officers: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79"/>
              </w:rPr>
              <w:t>Age</w:t>
            </w:r>
          </w:p>
        </w:tc>
        <w:tc>
          <w:tcPr>
            <w:tcW w:w="5540" w:type="dxa"/>
            <w:vAlign w:val="bottom"/>
          </w:tcPr>
          <w:p>
            <w:pPr>
              <w:ind w:left="2560"/>
              <w:spacing w:after="0"/>
              <w:rPr>
                <w:sz w:val="20"/>
                <w:szCs w:val="20"/>
                <w:color w:val="auto"/>
              </w:rPr>
            </w:pPr>
            <w:r>
              <w:rPr>
                <w:rFonts w:ascii="Arial" w:cs="Arial" w:eastAsia="Arial" w:hAnsi="Arial"/>
                <w:sz w:val="12"/>
                <w:szCs w:val="12"/>
                <w:b w:val="1"/>
                <w:bCs w:val="1"/>
                <w:color w:val="auto"/>
              </w:rPr>
              <w:t>Position</w:t>
            </w:r>
          </w:p>
        </w:tc>
      </w:tr>
      <w:tr>
        <w:trPr>
          <w:trHeight w:val="133"/>
        </w:trPr>
        <w:tc>
          <w:tcPr>
            <w:tcW w:w="36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Executive Officers</w:t>
            </w:r>
          </w:p>
        </w:tc>
        <w:tc>
          <w:tcPr>
            <w:tcW w:w="24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540" w:type="dxa"/>
            <w:vAlign w:val="bottom"/>
            <w:tcBorders>
              <w:top w:val="single" w:sz="8" w:color="auto"/>
            </w:tcBorders>
          </w:tcPr>
          <w:p>
            <w:pPr>
              <w:spacing w:after="0"/>
              <w:rPr>
                <w:sz w:val="11"/>
                <w:szCs w:val="11"/>
                <w:color w:val="auto"/>
              </w:rPr>
            </w:pP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Christopher Beals</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41</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Brian Camire</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42</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General Counsel and Secretary</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Justin Dean</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44</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Chief Technology Officer and Chief Information Officer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Juanjo Feijoo</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36</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Chief Operating Officer</w:t>
            </w:r>
          </w:p>
        </w:tc>
      </w:tr>
      <w:tr>
        <w:trPr>
          <w:trHeight w:val="153"/>
        </w:trPr>
        <w:tc>
          <w:tcPr>
            <w:tcW w:w="3840" w:type="dxa"/>
            <w:vAlign w:val="bottom"/>
            <w:gridSpan w:val="2"/>
          </w:tcPr>
          <w:p>
            <w:pPr>
              <w:spacing w:after="0"/>
              <w:rPr>
                <w:sz w:val="20"/>
                <w:szCs w:val="20"/>
                <w:color w:val="auto"/>
              </w:rPr>
            </w:pPr>
            <w:r>
              <w:rPr>
                <w:rFonts w:ascii="Arial" w:cs="Arial" w:eastAsia="Arial" w:hAnsi="Arial"/>
                <w:sz w:val="12"/>
                <w:szCs w:val="12"/>
                <w:color w:val="auto"/>
              </w:rPr>
              <w:t>Arden Lee</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45</w:t>
            </w:r>
          </w:p>
        </w:tc>
        <w:tc>
          <w:tcPr>
            <w:tcW w:w="2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279"/>
        </w:trPr>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Non-Employee Directors</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Tony Aquila</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56</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Douglas Francis</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43</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Founder and Director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Brenda Freeman</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57</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Olga Gonzalez</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55</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Scott Gordon</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60</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3840" w:type="dxa"/>
            <w:vAlign w:val="bottom"/>
            <w:gridSpan w:val="2"/>
          </w:tcPr>
          <w:p>
            <w:pPr>
              <w:spacing w:after="0"/>
              <w:rPr>
                <w:sz w:val="20"/>
                <w:szCs w:val="20"/>
                <w:color w:val="auto"/>
              </w:rPr>
            </w:pPr>
            <w:r>
              <w:rPr>
                <w:rFonts w:ascii="Arial" w:cs="Arial" w:eastAsia="Arial" w:hAnsi="Arial"/>
                <w:sz w:val="12"/>
                <w:szCs w:val="12"/>
                <w:color w:val="auto"/>
              </w:rPr>
              <w:t>Justin Hartfield</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37</w:t>
            </w:r>
          </w:p>
        </w:tc>
        <w:tc>
          <w:tcPr>
            <w:tcW w:w="2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Founder and Director</w:t>
            </w:r>
          </w:p>
        </w:tc>
      </w:tr>
      <w:tr>
        <w:trPr>
          <w:trHeight w:val="153"/>
        </w:trPr>
        <w:tc>
          <w:tcPr>
            <w:tcW w:w="3840" w:type="dxa"/>
            <w:vAlign w:val="bottom"/>
            <w:gridSpan w:val="2"/>
          </w:tcPr>
          <w:p>
            <w:pPr>
              <w:spacing w:after="0"/>
              <w:rPr>
                <w:sz w:val="20"/>
                <w:szCs w:val="20"/>
                <w:color w:val="auto"/>
              </w:rPr>
            </w:pPr>
            <w:r>
              <w:rPr>
                <w:rFonts w:ascii="Arial" w:cs="Arial" w:eastAsia="Arial" w:hAnsi="Arial"/>
                <w:sz w:val="12"/>
                <w:szCs w:val="12"/>
                <w:color w:val="auto"/>
              </w:rPr>
              <w:t>Fiona Tan</w:t>
            </w:r>
          </w:p>
        </w:tc>
        <w:tc>
          <w:tcPr>
            <w:tcW w:w="1700" w:type="dxa"/>
            <w:vAlign w:val="bottom"/>
          </w:tcPr>
          <w:p>
            <w:pPr>
              <w:jc w:val="center"/>
              <w:spacing w:after="0"/>
              <w:rPr>
                <w:sz w:val="20"/>
                <w:szCs w:val="20"/>
                <w:color w:val="auto"/>
              </w:rPr>
            </w:pPr>
            <w:r>
              <w:rPr>
                <w:rFonts w:ascii="Arial" w:cs="Arial" w:eastAsia="Arial" w:hAnsi="Arial"/>
                <w:sz w:val="12"/>
                <w:szCs w:val="12"/>
                <w:color w:val="auto"/>
                <w:w w:val="89"/>
              </w:rPr>
              <w:t>50</w:t>
            </w:r>
          </w:p>
        </w:tc>
        <w:tc>
          <w:tcPr>
            <w:tcW w:w="220" w:type="dxa"/>
            <w:vAlign w:val="bottom"/>
          </w:tcPr>
          <w:p>
            <w:pPr>
              <w:spacing w:after="0"/>
              <w:rPr>
                <w:sz w:val="13"/>
                <w:szCs w:val="13"/>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2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i w:val="1"/>
          <w:iCs w:val="1"/>
          <w:color w:val="auto"/>
        </w:rPr>
        <w:t xml:space="preserve">Christopher Beals. </w:t>
      </w:r>
      <w:r>
        <w:rPr>
          <w:rFonts w:ascii="Arial" w:cs="Arial" w:eastAsia="Arial" w:hAnsi="Arial"/>
          <w:sz w:val="12"/>
          <w:szCs w:val="12"/>
          <w:color w:val="auto"/>
        </w:rPr>
        <w:t>Mr. Beals has served as our Chief Executive Officer and as a member of our board of directors since June 2021. Mr. Beals served as Legacy WMH’s Chief Executive Officer from March 2019 to June 2021 and</w:t>
      </w:r>
      <w:r>
        <w:rPr>
          <w:rFonts w:ascii="Arial" w:cs="Arial" w:eastAsia="Arial" w:hAnsi="Arial"/>
          <w:sz w:val="12"/>
          <w:szCs w:val="12"/>
          <w:i w:val="1"/>
          <w:iCs w:val="1"/>
          <w:color w:val="auto"/>
        </w:rPr>
        <w:t xml:space="preserve"> </w:t>
      </w:r>
      <w:r>
        <w:rPr>
          <w:rFonts w:ascii="Arial" w:cs="Arial" w:eastAsia="Arial" w:hAnsi="Arial"/>
          <w:sz w:val="12"/>
          <w:szCs w:val="12"/>
          <w:color w:val="auto"/>
        </w:rPr>
        <w:t>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10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Brian Camire. </w:t>
      </w:r>
      <w:r>
        <w:rPr>
          <w:rFonts w:ascii="Arial" w:cs="Arial" w:eastAsia="Arial" w:hAnsi="Arial"/>
          <w:sz w:val="12"/>
          <w:szCs w:val="12"/>
          <w:color w:val="auto"/>
        </w:rPr>
        <w:t>Mr. Camire has served as our General Counsel and Secretary since June 2021. Mr. Camire served as Legacy WMH’s General Counsel from May 2019 to June 2021. Prior to joining Legacy WMH, Mr. Camire served</w:t>
      </w:r>
      <w:r>
        <w:rPr>
          <w:rFonts w:ascii="Arial" w:cs="Arial" w:eastAsia="Arial" w:hAnsi="Arial"/>
          <w:sz w:val="12"/>
          <w:szCs w:val="12"/>
          <w:i w:val="1"/>
          <w:iCs w:val="1"/>
          <w:color w:val="auto"/>
        </w:rPr>
        <w:t xml:space="preserve"> </w:t>
      </w:r>
      <w:r>
        <w:rPr>
          <w:rFonts w:ascii="Arial" w:cs="Arial" w:eastAsia="Arial" w:hAnsi="Arial"/>
          <w:sz w:val="12"/>
          <w:szCs w:val="12"/>
          <w:color w:val="auto"/>
        </w:rPr>
        <w:t>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0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i w:val="1"/>
          <w:iCs w:val="1"/>
          <w:color w:val="auto"/>
        </w:rPr>
        <w:t xml:space="preserve">Justin Dean. </w:t>
      </w:r>
      <w:r>
        <w:rPr>
          <w:rFonts w:ascii="Arial" w:cs="Arial" w:eastAsia="Arial" w:hAnsi="Arial"/>
          <w:sz w:val="12"/>
          <w:szCs w:val="12"/>
          <w:color w:val="auto"/>
        </w:rPr>
        <w:t>Mr. Dean has served as our Chief Technology Officer and Chief Information Officer since June 2021. Mr. Dean served as Legacy WMH’s Chief Technology Officer from December 2019 to June 2021 and Chief</w:t>
      </w:r>
      <w:r>
        <w:rPr>
          <w:rFonts w:ascii="Arial" w:cs="Arial" w:eastAsia="Arial" w:hAnsi="Arial"/>
          <w:sz w:val="12"/>
          <w:szCs w:val="12"/>
          <w:i w:val="1"/>
          <w:iCs w:val="1"/>
          <w:color w:val="auto"/>
        </w:rPr>
        <w:t xml:space="preserve"> </w:t>
      </w:r>
      <w:r>
        <w:rPr>
          <w:rFonts w:ascii="Arial" w:cs="Arial" w:eastAsia="Arial" w:hAnsi="Arial"/>
          <w:sz w:val="12"/>
          <w:szCs w:val="12"/>
          <w:color w:val="auto"/>
        </w:rPr>
        <w:t>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6" w:name="page97"/>
    <w:bookmarkEnd w:id="9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i w:val="1"/>
          <w:iCs w:val="1"/>
          <w:color w:val="auto"/>
        </w:rPr>
        <w:t xml:space="preserve">Juanjo Feijoo. </w:t>
      </w:r>
      <w:r>
        <w:rPr>
          <w:rFonts w:ascii="Arial" w:cs="Arial" w:eastAsia="Arial" w:hAnsi="Arial"/>
          <w:sz w:val="11"/>
          <w:szCs w:val="11"/>
          <w:color w:val="auto"/>
        </w:rPr>
        <w:t>Mr. Feijoo has served as our Chief Operating Officer since July 2021 and as our Chief Marketing Officer from June 2021 to July 2021. Mr. Feijoo served as Legacy WMH’s Chief Marketing Officer from May 2019</w:t>
      </w:r>
      <w:r>
        <w:rPr>
          <w:rFonts w:ascii="Arial" w:cs="Arial" w:eastAsia="Arial" w:hAnsi="Arial"/>
          <w:sz w:val="11"/>
          <w:szCs w:val="11"/>
          <w:i w:val="1"/>
          <w:iCs w:val="1"/>
          <w:color w:val="auto"/>
        </w:rPr>
        <w:t xml:space="preserve"> </w:t>
      </w:r>
      <w:r>
        <w:rPr>
          <w:rFonts w:ascii="Arial" w:cs="Arial" w:eastAsia="Arial" w:hAnsi="Arial"/>
          <w:sz w:val="11"/>
          <w:szCs w:val="11"/>
          <w:color w:val="auto"/>
        </w:rPr>
        <w:t>to June 2021.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111"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2"/>
          <w:szCs w:val="12"/>
          <w:i w:val="1"/>
          <w:iCs w:val="1"/>
          <w:color w:val="auto"/>
        </w:rPr>
        <w:t xml:space="preserve">Arden Lee. </w:t>
      </w:r>
      <w:r>
        <w:rPr>
          <w:rFonts w:ascii="Arial" w:cs="Arial" w:eastAsia="Arial" w:hAnsi="Arial"/>
          <w:sz w:val="12"/>
          <w:szCs w:val="12"/>
          <w:color w:val="auto"/>
        </w:rPr>
        <w:t>Mr. Lee served as our Chief Financial Officer since June 2021. Mr. Lee served as Legacy WMH’s Chief Financial Officer from February 2019 to June 2021. Prior to joining Legacy WMH, Mr. Lee was the Vice</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of Directors</w:t>
      </w:r>
    </w:p>
    <w:p>
      <w:pPr>
        <w:spacing w:after="0" w:line="15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i w:val="1"/>
          <w:iCs w:val="1"/>
          <w:color w:val="auto"/>
        </w:rPr>
        <w:t>Tony Aquila</w:t>
      </w:r>
      <w:r>
        <w:rPr>
          <w:rFonts w:ascii="Arial" w:cs="Arial" w:eastAsia="Arial" w:hAnsi="Arial"/>
          <w:sz w:val="11"/>
          <w:szCs w:val="11"/>
          <w:color w:val="auto"/>
        </w:rPr>
        <w:t>. Mr. Aquila has served as a member of our board of directors since June 2021. In June 2019, Mr. Aquila founded AFV Partners, an affirmative low-leverage capital vehicle that invests in long-term mission critical</w:t>
      </w:r>
      <w:r>
        <w:rPr>
          <w:rFonts w:ascii="Arial" w:cs="Arial" w:eastAsia="Arial" w:hAnsi="Arial"/>
          <w:sz w:val="11"/>
          <w:szCs w:val="11"/>
          <w:i w:val="1"/>
          <w:iCs w:val="1"/>
          <w:color w:val="auto"/>
        </w:rPr>
        <w:t xml:space="preserve"> </w:t>
      </w:r>
      <w:r>
        <w:rPr>
          <w:rFonts w:ascii="Arial" w:cs="Arial" w:eastAsia="Arial" w:hAnsi="Arial"/>
          <w:sz w:val="11"/>
          <w:szCs w:val="11"/>
          <w:color w:val="auto"/>
        </w:rPr>
        <w:t>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11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i w:val="1"/>
          <w:iCs w:val="1"/>
          <w:color w:val="auto"/>
        </w:rPr>
        <w:t>Douglas Francis</w:t>
      </w:r>
      <w:r>
        <w:rPr>
          <w:rFonts w:ascii="Arial" w:cs="Arial" w:eastAsia="Arial" w:hAnsi="Arial"/>
          <w:sz w:val="11"/>
          <w:szCs w:val="11"/>
          <w:color w:val="auto"/>
        </w:rPr>
        <w:t>. Mr. Francis has served as a member of our board of directors since June 2021. Mr. Francis is a co-founder of Legacy WMH, and served as chairman of Legacy WMH’s board of managers since March 2019 and as</w:t>
      </w:r>
      <w:r>
        <w:rPr>
          <w:rFonts w:ascii="Arial" w:cs="Arial" w:eastAsia="Arial" w:hAnsi="Arial"/>
          <w:sz w:val="11"/>
          <w:szCs w:val="11"/>
          <w:i w:val="1"/>
          <w:iCs w:val="1"/>
          <w:color w:val="auto"/>
        </w:rPr>
        <w:t xml:space="preserve"> </w:t>
      </w:r>
      <w:r>
        <w:rPr>
          <w:rFonts w:ascii="Arial" w:cs="Arial" w:eastAsia="Arial" w:hAnsi="Arial"/>
          <w:sz w:val="11"/>
          <w:szCs w:val="11"/>
          <w:color w:val="auto"/>
        </w:rPr>
        <w:t>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105"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i w:val="1"/>
          <w:iCs w:val="1"/>
          <w:color w:val="auto"/>
        </w:rPr>
        <w:t>Brenda Freeman</w:t>
      </w:r>
      <w:r>
        <w:rPr>
          <w:rFonts w:ascii="Arial" w:cs="Arial" w:eastAsia="Arial" w:hAnsi="Arial"/>
          <w:sz w:val="11"/>
          <w:szCs w:val="11"/>
          <w:color w:val="auto"/>
        </w:rPr>
        <w:t>. Ms. Freeman has served as a member of our board of directors since June 2021. Since February 2020, Ms. Freeman has served as Chief Executive Officer for Arteza, Inc., a direct-to-consumer arts and crafts</w:t>
      </w:r>
      <w:r>
        <w:rPr>
          <w:rFonts w:ascii="Arial" w:cs="Arial" w:eastAsia="Arial" w:hAnsi="Arial"/>
          <w:sz w:val="11"/>
          <w:szCs w:val="11"/>
          <w:i w:val="1"/>
          <w:iCs w:val="1"/>
          <w:color w:val="auto"/>
        </w:rPr>
        <w:t xml:space="preserve"> </w:t>
      </w:r>
      <w:r>
        <w:rPr>
          <w:rFonts w:ascii="Arial" w:cs="Arial" w:eastAsia="Arial" w:hAnsi="Arial"/>
          <w:sz w:val="11"/>
          <w:szCs w:val="11"/>
          <w:color w:val="auto"/>
        </w:rPr>
        <w:t>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7" w:name="page98"/>
    <w:bookmarkEnd w:id="9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i w:val="1"/>
          <w:iCs w:val="1"/>
          <w:color w:val="auto"/>
        </w:rPr>
        <w:t>Olga Gonzalez</w:t>
      </w:r>
      <w:r>
        <w:rPr>
          <w:rFonts w:ascii="Arial" w:cs="Arial" w:eastAsia="Arial" w:hAnsi="Arial"/>
          <w:sz w:val="12"/>
          <w:szCs w:val="12"/>
          <w:color w:val="auto"/>
        </w:rPr>
        <w:t>. Ms. Gonzalez has served as a member of our board of directors since June 2021. Since January 2021, Ms. Gonzalez has served as Global Business Leader for Wild Fork Foods, an online specialty food service. Prior</w:t>
      </w:r>
      <w:r>
        <w:rPr>
          <w:rFonts w:ascii="Arial" w:cs="Arial" w:eastAsia="Arial" w:hAnsi="Arial"/>
          <w:sz w:val="12"/>
          <w:szCs w:val="12"/>
          <w:i w:val="1"/>
          <w:iCs w:val="1"/>
          <w:color w:val="auto"/>
        </w:rPr>
        <w:t xml:space="preserve"> </w:t>
      </w:r>
      <w:r>
        <w:rPr>
          <w:rFonts w:ascii="Arial" w:cs="Arial" w:eastAsia="Arial" w:hAnsi="Arial"/>
          <w:sz w:val="12"/>
          <w:szCs w:val="12"/>
          <w:color w:val="auto"/>
        </w:rPr>
        <w:t>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12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i w:val="1"/>
          <w:iCs w:val="1"/>
          <w:color w:val="auto"/>
        </w:rPr>
        <w:t xml:space="preserve">Scott Gordon. </w:t>
      </w:r>
      <w:r>
        <w:rPr>
          <w:rFonts w:ascii="Arial" w:cs="Arial" w:eastAsia="Arial" w:hAnsi="Arial"/>
          <w:sz w:val="12"/>
          <w:szCs w:val="12"/>
          <w:color w:val="auto"/>
        </w:rPr>
        <w:t>Mr. Gordon has served as a member of our board of directors since June 2021. Mr. Gordon has been the Chairman of Silver Spike’s board of directors and has served as its Chief Executive Officer since its inception.</w:t>
      </w:r>
      <w:r>
        <w:rPr>
          <w:rFonts w:ascii="Arial" w:cs="Arial" w:eastAsia="Arial" w:hAnsi="Arial"/>
          <w:sz w:val="12"/>
          <w:szCs w:val="12"/>
          <w:i w:val="1"/>
          <w:iCs w:val="1"/>
          <w:color w:val="auto"/>
        </w:rPr>
        <w:t xml:space="preserve"> </w:t>
      </w:r>
      <w:r>
        <w:rPr>
          <w:rFonts w:ascii="Arial" w:cs="Arial" w:eastAsia="Arial" w:hAnsi="Arial"/>
          <w:sz w:val="12"/>
          <w:szCs w:val="12"/>
          <w:color w:val="auto"/>
        </w:rPr>
        <w:t>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13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Justin Hartfield</w:t>
      </w:r>
      <w:r>
        <w:rPr>
          <w:rFonts w:ascii="Arial" w:cs="Arial" w:eastAsia="Arial" w:hAnsi="Arial"/>
          <w:sz w:val="12"/>
          <w:szCs w:val="12"/>
          <w:color w:val="auto"/>
        </w:rPr>
        <w:t>. Mr. Hartfield has served as a member of our board of directors since June 2021. Mr. Hartfield is a co-founder of Legacy WMH, and served as a member of Legacy WMH’s board of managers since inception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12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i w:val="1"/>
          <w:iCs w:val="1"/>
          <w:color w:val="auto"/>
        </w:rPr>
        <w:t>Fiona Tan</w:t>
      </w:r>
      <w:r>
        <w:rPr>
          <w:rFonts w:ascii="Arial" w:cs="Arial" w:eastAsia="Arial" w:hAnsi="Arial"/>
          <w:sz w:val="12"/>
          <w:szCs w:val="12"/>
          <w:color w:val="auto"/>
        </w:rPr>
        <w:t>. Ms. Tan has served as a member of our board of directors since June 2021. Since September 2020, Ms. Tan has served as Global Head of Customer and Supplier Technology for Wayfair LLC. Prior to that Ms. Tan held</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 accordance with the terms of our charter, our board of directors is divided into three classes, Class I, Class II and Class III, with only one class of directors being elected in each year and each class serving a three-year term.</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There is no cumulative voting with respect to the election of directors, with the result that the holders of more than 50% of the shares voted for the election of directors can elect all of the directors.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board of directors is divided into the following classes:</w:t>
      </w:r>
    </w:p>
    <w:p>
      <w:pPr>
        <w:spacing w:after="0" w:line="150" w:lineRule="exact"/>
        <w:rPr>
          <w:sz w:val="20"/>
          <w:szCs w:val="20"/>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Class I, which consists of Mr. Beals, and Ms. Tan, and one vacancy, whose terms will expire at our first annual meeting of stockholders to be held after the Business Combination;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8" w:name="page99"/>
    <w:bookmarkEnd w:id="9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Class II, which consists of Mr. Aquila, Mses. Gonzalez and Freeman, whose terms will expire at our second annual meeting of stockholders to be held after the Business Combination;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Class III, which consists of Messrs. Francis, Gordon, and Hartfield, whose terms will expire at our third annual meeting of stockholders to be held after the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Lead Independent Director</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Christopher Beals, our Chief Executive Officer, serves as Chair of our board of directors. Mr. Beals is not “independent” as defined under the applicable rules and regulations of the SEC and the listing requirements and rules of Nasdaq. Our corporate governance guidelines provide that one of our independent directors may serve as the lead independent director at any time that Mr. Beals or anyone else who is not an independent director is serving as the Chair of our board of directors. The independent directors of our board of directors appointed Ms. Freeman to serve as our lead independent director. As lead independent director, Ms. Freeman presides over periodic meetings of our independent directors (including at any meetings of our board of directors where the Chair is not present) and coordinate certain activities of the independent directors.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audit committee consists of Mses. Gonzalez, Freeman and Mr.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functions of this committee include, among other things:</w:t>
      </w:r>
    </w:p>
    <w:p>
      <w:pPr>
        <w:spacing w:after="0" w:line="150" w:lineRule="exact"/>
        <w:rPr>
          <w:sz w:val="20"/>
          <w:szCs w:val="20"/>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approve the hiring, discharging and compensation of our independent registered public accounting firm;</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oversee the work of our independent registered public accounting firm;</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99" w:name="page100"/>
    <w:bookmarkEnd w:id="9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approve engagements of the independent registered public accounting firm to render any audit or permissible non-audit services;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 the qualifications, independence and performance of the independent registered public accounting firm;</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 our financial statements and review our critical accounting policies and estimates;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 and approve related party transactions and any exchanges of Units pursuant to the exchange agreement that are proposed to be settled in cash;</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 the adequacy and effectiveness of our internal controls;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review and discuss with management and the independent registered public accounting firm the results of our annual audit, our quarterly financial statements and our publicly filed reports.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w:t>
      </w:r>
    </w:p>
    <w:p>
      <w:pPr>
        <w:spacing w:after="0" w:line="154"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Our compensation committee consists of Messrs. Aquila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functions of the committee include, among other things:</w:t>
      </w:r>
    </w:p>
    <w:p>
      <w:pPr>
        <w:spacing w:after="0" w:line="150" w:lineRule="exact"/>
        <w:rPr>
          <w:sz w:val="20"/>
          <w:szCs w:val="20"/>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 and recommend policies relating to compensation and benefits of our officers and employees;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review and approve corporate goals and objectives relevant to compensation of our chief executive officer and other senior officers;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evaluate the performance of our officers in light of established goals and objectives;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recommend compensation of our officers based on its evaluations;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administer the issuance of stock options and other awards under our stock plans.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Nominating and Governance Committee</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functions of this committee include, among other things:</w:t>
      </w:r>
    </w:p>
    <w:p>
      <w:pPr>
        <w:spacing w:after="0" w:line="150" w:lineRule="exact"/>
        <w:rPr>
          <w:sz w:val="20"/>
          <w:szCs w:val="20"/>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evaluate and make recommendations regarding the organization and governance of our board of directors and its committees;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assess the performance of members of our board of directors and make recommendations regarding committee and chair assignments;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recommend desired qualifications for board of directors membership and conduct searches for potential members of our board of directors;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 and make recommendations with regard to our corporate governance guidelines.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0" w:name="page101"/>
    <w:bookmarkEnd w:id="10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Non-Employee Director Compensation</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 of Liability and Indemnification</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115" w:lineRule="exact"/>
        <w:rPr>
          <w:sz w:val="20"/>
          <w:szCs w:val="20"/>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any transaction from which the director derives an improper personal benefit;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any act or omission not in good faith or that involves intentional misconduct or a knowing violation of law;</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any unlawful payment of dividends or redemption of shares; or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any breach of a director’s duty of loyalty to the corporation or our stockholders.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believe these provisions in our charter are necessary to attract and retain qualified persons as our directors and officers.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1" w:name="page102"/>
    <w:bookmarkEnd w:id="101"/>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Our named executive officers, including our principal executive officer and the next two most highly compensated executive officers, as of December 31, 2020, were:</w:t>
      </w:r>
    </w:p>
    <w:p>
      <w:pPr>
        <w:spacing w:after="0" w:line="150" w:lineRule="exact"/>
        <w:rPr>
          <w:sz w:val="20"/>
          <w:szCs w:val="20"/>
          <w:color w:val="auto"/>
        </w:rPr>
      </w:pPr>
    </w:p>
    <w:p>
      <w:pPr>
        <w:ind w:left="428" w:hanging="212"/>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Christopher Beals, Chief Executive Officer and manager;</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Justin Dean, Chief Technology Officer and Chief Information Officer; and</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Steven Jung, President and Chief Operating Officer.</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2020 Summary Compensation Table</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provides information regarding the compensation earned by or paid to our named executive officers with respect to December 31, 2020.</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Non-Equity</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Option</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Incentive Plan</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All Other</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9"/>
        </w:trPr>
        <w:tc>
          <w:tcPr>
            <w:tcW w:w="2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center"/>
              <w:ind w:left="340"/>
              <w:spacing w:after="0"/>
              <w:rPr>
                <w:sz w:val="20"/>
                <w:szCs w:val="20"/>
                <w:color w:val="auto"/>
              </w:rPr>
            </w:pPr>
            <w:r>
              <w:rPr>
                <w:rFonts w:ascii="Arial" w:cs="Arial" w:eastAsia="Arial" w:hAnsi="Arial"/>
                <w:sz w:val="12"/>
                <w:szCs w:val="12"/>
                <w:b w:val="1"/>
                <w:bCs w:val="1"/>
                <w:color w:val="auto"/>
                <w:w w:val="94"/>
              </w:rPr>
              <w:t>Salary</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400"/>
              <w:spacing w:after="0"/>
              <w:rPr>
                <w:sz w:val="20"/>
                <w:szCs w:val="20"/>
                <w:color w:val="auto"/>
              </w:rPr>
            </w:pPr>
            <w:r>
              <w:rPr>
                <w:rFonts w:ascii="Arial" w:cs="Arial" w:eastAsia="Arial" w:hAnsi="Arial"/>
                <w:sz w:val="12"/>
                <w:szCs w:val="12"/>
                <w:b w:val="1"/>
                <w:bCs w:val="1"/>
                <w:color w:val="auto"/>
              </w:rPr>
              <w:t>Bonus</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Compensation</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Compensation</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Total</w:t>
            </w:r>
          </w:p>
        </w:tc>
      </w:tr>
      <w:tr>
        <w:trPr>
          <w:trHeight w:val="162"/>
        </w:trPr>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81"/>
              <w:spacing w:after="0" w:line="16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(2)</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w w:val="92"/>
              </w:rPr>
              <w:t>($)</w:t>
            </w:r>
            <w:r>
              <w:rPr>
                <w:rFonts w:ascii="Arial" w:cs="Arial" w:eastAsia="Arial" w:hAnsi="Arial"/>
                <w:sz w:val="18"/>
                <w:szCs w:val="18"/>
                <w:b w:val="1"/>
                <w:bCs w:val="1"/>
                <w:color w:val="auto"/>
                <w:w w:val="92"/>
                <w:vertAlign w:val="superscript"/>
              </w:rPr>
              <w:t>(3)</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r>
      <w:tr>
        <w:trPr>
          <w:trHeight w:val="133"/>
        </w:trPr>
        <w:tc>
          <w:tcPr>
            <w:tcW w:w="32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Christopher Beals</w:t>
            </w: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Chief Executive Officer</w:t>
            </w:r>
          </w:p>
        </w:tc>
        <w:tc>
          <w:tcPr>
            <w:tcW w:w="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600,000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600,000</w:t>
            </w: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2"/>
                <w:szCs w:val="12"/>
                <w:color w:val="auto"/>
              </w:rPr>
              <w:t>Justin Dean</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2"/>
                <w:szCs w:val="12"/>
                <w:i w:val="1"/>
                <w:iCs w:val="1"/>
                <w:color w:val="auto"/>
              </w:rPr>
              <w:t>Chief Technology Officer and</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3280" w:type="dxa"/>
            <w:vAlign w:val="bottom"/>
            <w:gridSpan w:val="2"/>
          </w:tcPr>
          <w:p>
            <w:pPr>
              <w:spacing w:after="0"/>
              <w:rPr>
                <w:sz w:val="20"/>
                <w:szCs w:val="20"/>
                <w:color w:val="auto"/>
              </w:rPr>
            </w:pPr>
            <w:r>
              <w:rPr>
                <w:rFonts w:ascii="Arial" w:cs="Arial" w:eastAsia="Arial" w:hAnsi="Arial"/>
                <w:sz w:val="12"/>
                <w:szCs w:val="12"/>
                <w:i w:val="1"/>
                <w:iCs w:val="1"/>
                <w:color w:val="auto"/>
              </w:rPr>
              <w:t>Chief Information Officer</w:t>
            </w:r>
          </w:p>
        </w:tc>
        <w:tc>
          <w:tcPr>
            <w:tcW w:w="7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475,000</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190,000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718,119</w:t>
            </w:r>
          </w:p>
        </w:tc>
        <w:tc>
          <w:tcPr>
            <w:tcW w:w="1340" w:type="dxa"/>
            <w:vAlign w:val="bottom"/>
            <w:gridSpan w:val="2"/>
          </w:tcPr>
          <w:p>
            <w:pPr>
              <w:ind w:left="100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24,940</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1,408,059</w:t>
            </w: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Steven Jung</w:t>
            </w: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President and Chief Operating Officer</w:t>
            </w:r>
          </w:p>
        </w:tc>
        <w:tc>
          <w:tcPr>
            <w:tcW w:w="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550,962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697,200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1,248,162</w:t>
            </w:r>
          </w:p>
        </w:tc>
      </w:tr>
      <w:tr>
        <w:trPr>
          <w:trHeight w:val="144"/>
        </w:trPr>
        <w:tc>
          <w:tcPr>
            <w:tcW w:w="28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35" w:lineRule="exact"/>
        <w:rPr>
          <w:sz w:val="20"/>
          <w:szCs w:val="20"/>
          <w:color w:val="auto"/>
        </w:rPr>
      </w:pPr>
    </w:p>
    <w:p>
      <w:pPr>
        <w:ind w:left="208" w:hanging="208"/>
        <w:spacing w:after="0"/>
        <w:tabs>
          <w:tab w:leader="none" w:pos="2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amounts represent performance-based, discretionary bonuses.</w:t>
      </w:r>
    </w:p>
    <w:p>
      <w:pPr>
        <w:spacing w:after="0" w:line="150"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Amounts reflect the grant date fair value of equity awards granted in 2020, in accordance with ASC 718. For information regarding assumptions underlying the value of equity awards, see Note 8 to our financial statements included elsewhere in this prospectus.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amounts represent (a) group term life insurance premiums in excess of the broad-based benefit level and (b) with respect to Mr. Dean, $24,604 for a housing allowance.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Narrative Disclosure to Summary Compensation Table</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For 2020, the compensation programs for our named executive officers consisted of base salary and incentive compensation delivered in the form of Plan Units.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Base Salary</w:t>
      </w:r>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Base salary is set at a level that is intended to reflect the executive’s duties, authorities, contributions, prior experience and performance.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Cash Bonus</w:t>
      </w:r>
    </w:p>
    <w:p>
      <w:pPr>
        <w:spacing w:after="0" w:line="150"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We do not have a formal arrangement with our named executive officers providing for annual cash bonus awards. However, we have at times provided cash bonuses to certain members of our executive team on an ad hoc basis as deemed appropriate, in the form of spot bonuses or for achievement of certain milestones.</w:t>
      </w: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02" w:name="page103"/>
    <w:bookmarkEnd w:id="10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Equity-Based Incentive Awards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Prior to the Business Combination, all of the equity awards Legacy WMH has granted were made pursuant to the 2018 Plan. The terms of our equity plans are described under the section titled “-Employee Benefit Plans” below.</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Benefits and Perquisites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Retirement Plans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Employment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Christopher Beals</w:t>
      </w:r>
    </w:p>
    <w:p>
      <w:pPr>
        <w:spacing w:after="0" w:line="15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Mr. Beals previously entered into an offer letter with Ghost Management Group, LLC, dated July 31, 2015. Mr. Beals’s current annual base salary is $600,000. If Mr. Beals’s employment is terminated by us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our employees and maintained by us.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Justin Dean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Mr. Dean previously entered into an offer letter with Ghost Management Group, LLC, dated October 3, 2018. Pursuant to a subsequent change of employment status form, Mr. Dean’s current annual base salary is $475,000. Mr.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Dean also is eligible to participate in the employee benefit plans generally available to our employees and maintained by us.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Steven Jung</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3" w:name="page104"/>
    <w:bookmarkEnd w:id="103"/>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In connection with the Closing, Mr. Jung entered into a Strategic Advisor Agreement (the “Strategic Advisor Agreement”) with Ghost Management Group, LLC. Pursuant to the Strategic Advisor Agreement, Mr. Jung’s last day of active employment in his previous role as President and Chief Operating Officer of the Company and Ghost Management, LLC was on June 30, 2021, and he transitioned to a paid employee advisory role from July 1, 2021 through July 6, 2022 (the “Advisory Services Period”). The Strategic Advisor Agreement provides for Mr. Jung to be paid his regular salary during the Advisory Services Period and the continued vesting of the Class P units representing limited liability company interests of WMH LLC (the “Class P Units”) held by Mr. Jung during the Advisory Services Period, each subject to a maximum aggregate amount, and a general release of claims in favor of Ghost Management Group, LLC.</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Outstanding Equity Awards at December 31, 2020</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estimated information regarding outstanding equity awards held by our named executive officers as of December 31, 2020.</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22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Equity Awards</w:t>
            </w:r>
          </w:p>
        </w:tc>
        <w:tc>
          <w:tcPr>
            <w:tcW w:w="1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3"/>
          </w:tcPr>
          <w:p>
            <w:pPr>
              <w:jc w:val="center"/>
              <w:ind w:right="340"/>
              <w:spacing w:after="0" w:line="129" w:lineRule="exact"/>
              <w:rPr>
                <w:sz w:val="20"/>
                <w:szCs w:val="20"/>
                <w:color w:val="auto"/>
              </w:rPr>
            </w:pPr>
            <w:r>
              <w:rPr>
                <w:rFonts w:ascii="Arial" w:cs="Arial" w:eastAsia="Arial" w:hAnsi="Arial"/>
                <w:sz w:val="12"/>
                <w:szCs w:val="12"/>
                <w:b w:val="1"/>
                <w:bCs w:val="1"/>
                <w:color w:val="auto"/>
                <w:w w:val="93"/>
              </w:rPr>
              <w:t>Number of</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Market Value</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Vesting</w:t>
            </w:r>
          </w:p>
        </w:tc>
        <w:tc>
          <w:tcPr>
            <w:tcW w:w="178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0"/>
              </w:rPr>
              <w:t>Units that</w:t>
            </w: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Number of</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87"/>
              </w:rPr>
              <w:t>of Shares that</w:t>
            </w:r>
          </w:p>
        </w:tc>
        <w:tc>
          <w:tcPr>
            <w:tcW w:w="0" w:type="dxa"/>
            <w:vAlign w:val="bottom"/>
          </w:tcPr>
          <w:p>
            <w:pPr>
              <w:spacing w:after="0"/>
              <w:rPr>
                <w:sz w:val="1"/>
                <w:szCs w:val="1"/>
                <w:color w:val="auto"/>
              </w:rPr>
            </w:pPr>
          </w:p>
        </w:tc>
      </w:tr>
      <w:tr>
        <w:trPr>
          <w:trHeight w:val="144"/>
        </w:trPr>
        <w:tc>
          <w:tcPr>
            <w:tcW w:w="52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Commencement</w:t>
            </w:r>
          </w:p>
        </w:tc>
        <w:tc>
          <w:tcPr>
            <w:tcW w:w="178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2"/>
              </w:rPr>
              <w:t>Have Not</w:t>
            </w: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Units that Have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Date</w:t>
            </w:r>
          </w:p>
        </w:tc>
        <w:tc>
          <w:tcPr>
            <w:tcW w:w="178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6"/>
              </w:rPr>
              <w:t>Vested</w:t>
            </w:r>
          </w:p>
        </w:tc>
        <w:tc>
          <w:tcPr>
            <w:tcW w:w="13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Vested</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4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Christopher Beals</w:t>
            </w: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8/17/2015</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ind w:right="184"/>
              <w:spacing w:after="0" w:line="142" w:lineRule="exact"/>
              <w:rPr>
                <w:sz w:val="20"/>
                <w:szCs w:val="20"/>
                <w:color w:val="auto"/>
              </w:rPr>
            </w:pPr>
            <w:r>
              <w:rPr>
                <w:rFonts w:ascii="Arial" w:cs="Arial" w:eastAsia="Arial" w:hAnsi="Arial"/>
                <w:sz w:val="10"/>
                <w:szCs w:val="10"/>
                <w:color w:val="auto"/>
              </w:rPr>
              <w:t>53,333</w:t>
            </w:r>
            <w:r>
              <w:rPr>
                <w:rFonts w:ascii="Arial" w:cs="Arial" w:eastAsia="Arial" w:hAnsi="Arial"/>
                <w:sz w:val="16"/>
                <w:szCs w:val="16"/>
                <w:color w:val="auto"/>
                <w:vertAlign w:val="superscript"/>
              </w:rPr>
              <w:t>(1)</w:t>
            </w: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Justin Dean</w:t>
            </w:r>
          </w:p>
        </w:tc>
        <w:tc>
          <w:tcPr>
            <w:tcW w:w="1620" w:type="dxa"/>
            <w:vAlign w:val="bottom"/>
          </w:tcPr>
          <w:p>
            <w:pPr>
              <w:jc w:val="center"/>
              <w:spacing w:after="0"/>
              <w:rPr>
                <w:sz w:val="20"/>
                <w:szCs w:val="20"/>
                <w:color w:val="auto"/>
              </w:rPr>
            </w:pPr>
            <w:r>
              <w:rPr>
                <w:rFonts w:ascii="Arial" w:cs="Arial" w:eastAsia="Arial" w:hAnsi="Arial"/>
                <w:sz w:val="12"/>
                <w:szCs w:val="12"/>
                <w:color w:val="auto"/>
                <w:w w:val="89"/>
              </w:rPr>
              <w:t>11/05/2018</w:t>
            </w:r>
          </w:p>
        </w:tc>
        <w:tc>
          <w:tcPr>
            <w:tcW w:w="12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6"/>
                <w:szCs w:val="16"/>
                <w:color w:val="auto"/>
                <w:vertAlign w:val="subscript"/>
              </w:rPr>
              <w:t>1,500</w:t>
            </w:r>
            <w:r>
              <w:rPr>
                <w:rFonts w:ascii="Arial" w:cs="Arial" w:eastAsia="Arial" w:hAnsi="Arial"/>
                <w:sz w:val="8"/>
                <w:szCs w:val="8"/>
                <w:color w:val="auto"/>
              </w:rPr>
              <w:t>(2)(3)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44" w:lineRule="exact"/>
              <w:rPr>
                <w:sz w:val="20"/>
                <w:szCs w:val="20"/>
                <w:color w:val="auto"/>
              </w:rPr>
            </w:pPr>
            <w:r>
              <w:rPr>
                <w:rFonts w:ascii="Arial" w:cs="Arial" w:eastAsia="Arial" w:hAnsi="Arial"/>
                <w:sz w:val="10"/>
                <w:szCs w:val="10"/>
                <w:color w:val="auto"/>
                <w:w w:val="99"/>
              </w:rPr>
              <w:t>1,500</w:t>
            </w:r>
            <w:r>
              <w:rPr>
                <w:rFonts w:ascii="Arial" w:cs="Arial" w:eastAsia="Arial" w:hAnsi="Arial"/>
                <w:sz w:val="16"/>
                <w:szCs w:val="16"/>
                <w:color w:val="auto"/>
                <w:w w:val="99"/>
                <w:vertAlign w:val="superscript"/>
              </w:rPr>
              <w:t>(2)</w:t>
            </w:r>
          </w:p>
        </w:tc>
        <w:tc>
          <w:tcPr>
            <w:tcW w:w="12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12/08/2020</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4" w:lineRule="exact"/>
              <w:rPr>
                <w:sz w:val="20"/>
                <w:szCs w:val="20"/>
                <w:color w:val="auto"/>
              </w:rPr>
            </w:pPr>
            <w:r>
              <w:rPr>
                <w:rFonts w:ascii="Arial" w:cs="Arial" w:eastAsia="Arial" w:hAnsi="Arial"/>
                <w:sz w:val="16"/>
                <w:szCs w:val="16"/>
                <w:color w:val="auto"/>
                <w:vertAlign w:val="subscript"/>
              </w:rPr>
              <w:t>2,000</w:t>
            </w:r>
            <w:r>
              <w:rPr>
                <w:rFonts w:ascii="Arial" w:cs="Arial" w:eastAsia="Arial" w:hAnsi="Arial"/>
                <w:sz w:val="8"/>
                <w:szCs w:val="8"/>
                <w:color w:val="auto"/>
              </w:rPr>
              <w:t>(2)(5)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w w:val="99"/>
              </w:rPr>
              <w:t>—</w:t>
            </w:r>
          </w:p>
        </w:tc>
        <w:tc>
          <w:tcPr>
            <w:tcW w:w="1180" w:type="dxa"/>
            <w:vAlign w:val="bottom"/>
            <w:shd w:val="clear" w:color="auto" w:fill="CCEEFF"/>
          </w:tcPr>
          <w:p>
            <w:pPr>
              <w:jc w:val="center"/>
              <w:spacing w:after="0" w:line="144"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Steven Jung</w:t>
            </w:r>
          </w:p>
        </w:tc>
        <w:tc>
          <w:tcPr>
            <w:tcW w:w="1620" w:type="dxa"/>
            <w:vAlign w:val="bottom"/>
          </w:tcPr>
          <w:p>
            <w:pPr>
              <w:jc w:val="center"/>
              <w:spacing w:after="0"/>
              <w:rPr>
                <w:sz w:val="20"/>
                <w:szCs w:val="20"/>
                <w:color w:val="auto"/>
              </w:rPr>
            </w:pPr>
            <w:r>
              <w:rPr>
                <w:rFonts w:ascii="Arial" w:cs="Arial" w:eastAsia="Arial" w:hAnsi="Arial"/>
                <w:sz w:val="12"/>
                <w:szCs w:val="12"/>
                <w:color w:val="auto"/>
                <w:w w:val="89"/>
              </w:rPr>
              <w:t>06/19/2017</w:t>
            </w:r>
          </w:p>
        </w:tc>
        <w:tc>
          <w:tcPr>
            <w:tcW w:w="12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6"/>
                <w:szCs w:val="16"/>
                <w:color w:val="auto"/>
                <w:vertAlign w:val="subscript"/>
              </w:rPr>
              <w:t>544</w:t>
            </w:r>
            <w:r>
              <w:rPr>
                <w:rFonts w:ascii="Arial" w:cs="Arial" w:eastAsia="Arial" w:hAnsi="Arial"/>
                <w:sz w:val="8"/>
                <w:szCs w:val="8"/>
                <w:color w:val="auto"/>
              </w:rPr>
              <w:t>(2)(3)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44" w:lineRule="exact"/>
              <w:rPr>
                <w:sz w:val="20"/>
                <w:szCs w:val="20"/>
                <w:color w:val="auto"/>
              </w:rPr>
            </w:pPr>
            <w:r>
              <w:rPr>
                <w:rFonts w:ascii="Arial" w:cs="Arial" w:eastAsia="Arial" w:hAnsi="Arial"/>
                <w:sz w:val="10"/>
                <w:szCs w:val="10"/>
                <w:color w:val="auto"/>
                <w:w w:val="99"/>
              </w:rPr>
              <w:t>3,810</w:t>
            </w:r>
            <w:r>
              <w:rPr>
                <w:rFonts w:ascii="Arial" w:cs="Arial" w:eastAsia="Arial" w:hAnsi="Arial"/>
                <w:sz w:val="16"/>
                <w:szCs w:val="16"/>
                <w:color w:val="auto"/>
                <w:w w:val="99"/>
                <w:vertAlign w:val="superscript"/>
              </w:rPr>
              <w:t>(2)</w:t>
            </w:r>
          </w:p>
        </w:tc>
        <w:tc>
          <w:tcPr>
            <w:tcW w:w="12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05/01/2018</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4" w:lineRule="exact"/>
              <w:rPr>
                <w:sz w:val="20"/>
                <w:szCs w:val="20"/>
                <w:color w:val="auto"/>
              </w:rPr>
            </w:pPr>
            <w:r>
              <w:rPr>
                <w:rFonts w:ascii="Arial" w:cs="Arial" w:eastAsia="Arial" w:hAnsi="Arial"/>
                <w:sz w:val="16"/>
                <w:szCs w:val="16"/>
                <w:color w:val="auto"/>
                <w:vertAlign w:val="subscript"/>
              </w:rPr>
              <w:t>1,500</w:t>
            </w:r>
            <w:r>
              <w:rPr>
                <w:rFonts w:ascii="Arial" w:cs="Arial" w:eastAsia="Arial" w:hAnsi="Arial"/>
                <w:sz w:val="8"/>
                <w:szCs w:val="8"/>
                <w:color w:val="auto"/>
              </w:rPr>
              <w:t>(2)(3)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center"/>
              <w:ind w:right="184"/>
              <w:spacing w:after="0" w:line="144" w:lineRule="exact"/>
              <w:rPr>
                <w:sz w:val="20"/>
                <w:szCs w:val="20"/>
                <w:color w:val="auto"/>
              </w:rPr>
            </w:pPr>
            <w:r>
              <w:rPr>
                <w:rFonts w:ascii="Arial" w:cs="Arial" w:eastAsia="Arial" w:hAnsi="Arial"/>
                <w:sz w:val="10"/>
                <w:szCs w:val="10"/>
                <w:color w:val="auto"/>
                <w:w w:val="99"/>
              </w:rPr>
              <w:t>2,500</w:t>
            </w:r>
            <w:r>
              <w:rPr>
                <w:rFonts w:ascii="Arial" w:cs="Arial" w:eastAsia="Arial" w:hAnsi="Arial"/>
                <w:sz w:val="16"/>
                <w:szCs w:val="16"/>
                <w:color w:val="auto"/>
                <w:w w:val="99"/>
                <w:vertAlign w:val="superscript"/>
              </w:rPr>
              <w:t>(2)</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44"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w w:val="89"/>
              </w:rPr>
              <w:t>04/06/2020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3"/>
                <w:szCs w:val="23"/>
                <w:color w:val="auto"/>
                <w:w w:val="79"/>
                <w:vertAlign w:val="subscript"/>
              </w:rPr>
              <w:t>3,500</w:t>
            </w:r>
            <w:r>
              <w:rPr>
                <w:rFonts w:ascii="Arial" w:cs="Arial" w:eastAsia="Arial" w:hAnsi="Arial"/>
                <w:sz w:val="10"/>
                <w:szCs w:val="10"/>
                <w:color w:val="auto"/>
                <w:w w:val="79"/>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center"/>
              <w:ind w:right="184"/>
              <w:spacing w:after="0"/>
              <w:rPr>
                <w:sz w:val="20"/>
                <w:szCs w:val="20"/>
                <w:color w:val="auto"/>
              </w:rPr>
            </w:pPr>
            <w:r>
              <w:rPr>
                <w:rFonts w:ascii="Arial" w:cs="Arial" w:eastAsia="Arial" w:hAnsi="Arial"/>
                <w:sz w:val="12"/>
                <w:szCs w:val="12"/>
                <w:color w:val="auto"/>
                <w:w w:val="84"/>
              </w:rPr>
              <w:t>500</w:t>
            </w:r>
            <w:r>
              <w:rPr>
                <w:rFonts w:ascii="Arial" w:cs="Arial" w:eastAsia="Arial" w:hAnsi="Arial"/>
                <w:sz w:val="19"/>
                <w:szCs w:val="19"/>
                <w:color w:val="auto"/>
                <w:w w:val="84"/>
                <w:vertAlign w:val="superscript"/>
              </w:rPr>
              <w:t>(2)</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23"/>
                <w:szCs w:val="23"/>
                <w:color w:val="auto"/>
                <w:w w:val="86"/>
                <w:vertAlign w:val="subscript"/>
              </w:rPr>
              <w:t>—</w:t>
            </w:r>
            <w:r>
              <w:rPr>
                <w:rFonts w:ascii="Arial" w:cs="Arial" w:eastAsia="Arial" w:hAnsi="Arial"/>
                <w:sz w:val="10"/>
                <w:szCs w:val="10"/>
                <w:color w:val="auto"/>
                <w:w w:val="86"/>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79451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108" w:lineRule="exact"/>
        <w:rPr>
          <w:sz w:val="20"/>
          <w:szCs w:val="20"/>
          <w:color w:val="auto"/>
        </w:rPr>
      </w:pPr>
    </w:p>
    <w:p>
      <w:pPr>
        <w:ind w:left="208" w:hanging="208"/>
        <w:spacing w:after="0"/>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Class A-3 units.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Class B units.</w:t>
      </w:r>
    </w:p>
    <w:p>
      <w:pPr>
        <w:spacing w:after="0" w:line="150" w:lineRule="exact"/>
        <w:rPr>
          <w:rFonts w:ascii="Arial" w:cs="Arial" w:eastAsia="Arial" w:hAnsi="Arial"/>
          <w:sz w:val="12"/>
          <w:szCs w:val="12"/>
          <w:color w:val="auto"/>
        </w:rPr>
      </w:pPr>
    </w:p>
    <w:p>
      <w:pPr>
        <w:jc w:val="both"/>
        <w:ind w:left="208" w:hanging="208"/>
        <w:spacing w:after="0" w:line="263" w:lineRule="auto"/>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2" w:lineRule="exact"/>
        <w:rPr>
          <w:rFonts w:ascii="Arial" w:cs="Arial" w:eastAsia="Arial" w:hAnsi="Arial"/>
          <w:sz w:val="12"/>
          <w:szCs w:val="12"/>
          <w:color w:val="auto"/>
        </w:rPr>
      </w:pPr>
    </w:p>
    <w:p>
      <w:pPr>
        <w:ind w:left="208" w:right="20" w:hanging="208"/>
        <w:spacing w:after="0" w:line="276" w:lineRule="auto"/>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Class A-3 units and Class B units represent profits interests in Legacy WMH. No value is realized as a result of vesting of these units and consistent with FASB ASC Topic 718, the grant date fair value of Class A-3 and Class B units is $0.</w:t>
      </w:r>
    </w:p>
    <w:p>
      <w:pPr>
        <w:spacing w:after="0" w:line="114" w:lineRule="exact"/>
        <w:rPr>
          <w:rFonts w:ascii="Arial" w:cs="Arial" w:eastAsia="Arial" w:hAnsi="Arial"/>
          <w:sz w:val="12"/>
          <w:szCs w:val="12"/>
          <w:color w:val="auto"/>
        </w:rPr>
      </w:pPr>
    </w:p>
    <w:p>
      <w:pPr>
        <w:jc w:val="both"/>
        <w:ind w:left="208" w:hanging="208"/>
        <w:spacing w:after="0" w:line="263" w:lineRule="auto"/>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2"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04" w:name="page105"/>
    <w:bookmarkEnd w:id="10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 Plans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WM Technology, Inc. 2021 Equity Incentive Plan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 June 2021, our board of directors adopted and our stockholders approved the WM Technology, Inc. 2021 Equity Incentive Plan (the “2021 Plan”). The 2021 Plan became effective immediately upon the Closing.</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Eligibility</w:t>
      </w:r>
      <w:r>
        <w:rPr>
          <w:rFonts w:ascii="Arial" w:cs="Arial" w:eastAsia="Arial" w:hAnsi="Arial"/>
          <w:sz w:val="12"/>
          <w:szCs w:val="12"/>
          <w:color w:val="auto"/>
        </w:rPr>
        <w:t>. Our employees, consultants and directors, and employees and consultants of our affiliates, may be eligible to receive awards under 2021 Plan.</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Award Types</w:t>
      </w:r>
      <w:r>
        <w:rPr>
          <w:rFonts w:ascii="Arial" w:cs="Arial" w:eastAsia="Arial" w:hAnsi="Arial"/>
          <w:sz w:val="12"/>
          <w:szCs w:val="12"/>
          <w:color w:val="auto"/>
        </w:rPr>
        <w:t>. The equity incentive plan provides for the grant of incentive stock options (“ISOs”) to employees and for the grant of nonstatutory stock options (“NSOs”), stock appreciation rights, restricted stock awards, restricted</w:t>
      </w:r>
      <w:r>
        <w:rPr>
          <w:rFonts w:ascii="Arial" w:cs="Arial" w:eastAsia="Arial" w:hAnsi="Arial"/>
          <w:sz w:val="12"/>
          <w:szCs w:val="12"/>
          <w:i w:val="1"/>
          <w:iCs w:val="1"/>
          <w:color w:val="auto"/>
        </w:rPr>
        <w:t xml:space="preserve"> </w:t>
      </w:r>
      <w:r>
        <w:rPr>
          <w:rFonts w:ascii="Arial" w:cs="Arial" w:eastAsia="Arial" w:hAnsi="Arial"/>
          <w:sz w:val="12"/>
          <w:szCs w:val="12"/>
          <w:color w:val="auto"/>
        </w:rPr>
        <w:t>stock unit awards, performance awards and other forms of stock awards to employees, directors and consultants.</w:t>
      </w:r>
    </w:p>
    <w:p>
      <w:pPr>
        <w:spacing w:after="0" w:line="11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The number of shares of common stock initially reserved for issuance under the equity incentive plan is 19,209,986 shares. The number of shares of common stock reserved for issuance under the equity incentive</w:t>
      </w:r>
      <w:r>
        <w:rPr>
          <w:rFonts w:ascii="Arial" w:cs="Arial" w:eastAsia="Arial" w:hAnsi="Arial"/>
          <w:sz w:val="12"/>
          <w:szCs w:val="12"/>
          <w:i w:val="1"/>
          <w:iCs w:val="1"/>
          <w:color w:val="auto"/>
        </w:rPr>
        <w:t xml:space="preserve"> </w:t>
      </w:r>
      <w:r>
        <w:rPr>
          <w:rFonts w:ascii="Arial" w:cs="Arial" w:eastAsia="Arial" w:hAnsi="Arial"/>
          <w:sz w:val="12"/>
          <w:szCs w:val="12"/>
          <w:color w:val="auto"/>
        </w:rPr>
        <w:t>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57,629,388 shares.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13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i w:val="1"/>
          <w:iCs w:val="1"/>
          <w:color w:val="auto"/>
        </w:rPr>
        <w:t>Plan Administration</w:t>
      </w:r>
      <w:r>
        <w:rPr>
          <w:rFonts w:ascii="Arial" w:cs="Arial" w:eastAsia="Arial" w:hAnsi="Arial"/>
          <w:sz w:val="12"/>
          <w:szCs w:val="12"/>
          <w:color w:val="auto"/>
        </w:rPr>
        <w:t>. Our board of directors, or a duly authorized committee thereof, has the authority to administer the equity incentive plan. Our board of directors may also delegate to one or more officers the authority to (i)</w:t>
      </w:r>
      <w:r>
        <w:rPr>
          <w:rFonts w:ascii="Arial" w:cs="Arial" w:eastAsia="Arial" w:hAnsi="Arial"/>
          <w:sz w:val="12"/>
          <w:szCs w:val="12"/>
          <w:i w:val="1"/>
          <w:iCs w:val="1"/>
          <w:color w:val="auto"/>
        </w:rPr>
        <w:t xml:space="preserve"> </w:t>
      </w:r>
      <w:r>
        <w:rPr>
          <w:rFonts w:ascii="Arial" w:cs="Arial" w:eastAsia="Arial" w:hAnsi="Arial"/>
          <w:sz w:val="12"/>
          <w:szCs w:val="12"/>
          <w:color w:val="auto"/>
        </w:rPr>
        <w:t>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130" w:lineRule="exact"/>
        <w:rPr>
          <w:sz w:val="20"/>
          <w:szCs w:val="20"/>
          <w:color w:val="auto"/>
        </w:rPr>
      </w:pPr>
    </w:p>
    <w:p>
      <w:pPr>
        <w:jc w:val="both"/>
        <w:ind w:firstLine="216"/>
        <w:spacing w:after="0" w:line="309" w:lineRule="auto"/>
        <w:rPr>
          <w:sz w:val="20"/>
          <w:szCs w:val="20"/>
          <w:color w:val="auto"/>
        </w:rPr>
      </w:pPr>
      <w:r>
        <w:rPr>
          <w:rFonts w:ascii="Arial" w:cs="Arial" w:eastAsia="Arial" w:hAnsi="Arial"/>
          <w:sz w:val="10"/>
          <w:szCs w:val="10"/>
          <w:i w:val="1"/>
          <w:iCs w:val="1"/>
          <w:color w:val="auto"/>
        </w:rPr>
        <w:t>Stock Options</w:t>
      </w:r>
      <w:r>
        <w:rPr>
          <w:rFonts w:ascii="Arial" w:cs="Arial" w:eastAsia="Arial" w:hAnsi="Arial"/>
          <w:sz w:val="10"/>
          <w:szCs w:val="10"/>
          <w:color w:val="auto"/>
        </w:rPr>
        <w:t>. ISOs and NSOs are granted under stock option agreements adopted by the plan administrator. The plan administrator determines the exercise price for stock options, within the terms and conditions of the equity</w:t>
      </w:r>
      <w:r>
        <w:rPr>
          <w:rFonts w:ascii="Arial" w:cs="Arial" w:eastAsia="Arial" w:hAnsi="Arial"/>
          <w:sz w:val="10"/>
          <w:szCs w:val="10"/>
          <w:i w:val="1"/>
          <w:iCs w:val="1"/>
          <w:color w:val="auto"/>
        </w:rPr>
        <w:t xml:space="preserve"> </w:t>
      </w:r>
      <w:r>
        <w:rPr>
          <w:rFonts w:ascii="Arial" w:cs="Arial" w:eastAsia="Arial" w:hAnsi="Arial"/>
          <w:sz w:val="10"/>
          <w:szCs w:val="10"/>
          <w:color w:val="auto"/>
        </w:rPr>
        <w:t>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5" w:name="page106"/>
    <w:bookmarkEnd w:id="10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Tax Limitations on ISOs</w:t>
      </w:r>
      <w:r>
        <w:rPr>
          <w:rFonts w:ascii="Arial" w:cs="Arial" w:eastAsia="Arial" w:hAnsi="Arial"/>
          <w:sz w:val="12"/>
          <w:szCs w:val="12"/>
          <w:color w:val="auto"/>
        </w:rPr>
        <w:t>. The aggregate fair market value, determined at the time of grant, of common stock with respect to ISOs that are exercisable for the first time by an optionholder during any calendar year under all stock</w:t>
      </w:r>
      <w:r>
        <w:rPr>
          <w:rFonts w:ascii="Arial" w:cs="Arial" w:eastAsia="Arial" w:hAnsi="Arial"/>
          <w:sz w:val="12"/>
          <w:szCs w:val="12"/>
          <w:i w:val="1"/>
          <w:iCs w:val="1"/>
          <w:color w:val="auto"/>
        </w:rPr>
        <w:t xml:space="preserve"> </w:t>
      </w:r>
      <w:r>
        <w:rPr>
          <w:rFonts w:ascii="Arial" w:cs="Arial" w:eastAsia="Arial" w:hAnsi="Arial"/>
          <w:sz w:val="12"/>
          <w:szCs w:val="12"/>
          <w:color w:val="auto"/>
        </w:rPr>
        <w:t>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124" w:lineRule="exact"/>
        <w:rPr>
          <w:sz w:val="20"/>
          <w:szCs w:val="20"/>
          <w:color w:val="auto"/>
        </w:rPr>
      </w:pPr>
    </w:p>
    <w:p>
      <w:pPr>
        <w:jc w:val="both"/>
        <w:ind w:right="20" w:firstLine="216"/>
        <w:spacing w:after="0" w:line="289" w:lineRule="auto"/>
        <w:rPr>
          <w:sz w:val="20"/>
          <w:szCs w:val="20"/>
          <w:color w:val="auto"/>
        </w:rPr>
      </w:pPr>
      <w:r>
        <w:rPr>
          <w:rFonts w:ascii="Arial" w:cs="Arial" w:eastAsia="Arial" w:hAnsi="Arial"/>
          <w:sz w:val="11"/>
          <w:szCs w:val="11"/>
          <w:i w:val="1"/>
          <w:iCs w:val="1"/>
          <w:color w:val="auto"/>
        </w:rPr>
        <w:t>Restricted Stock Awards</w:t>
      </w:r>
      <w:r>
        <w:rPr>
          <w:rFonts w:ascii="Arial" w:cs="Arial" w:eastAsia="Arial" w:hAnsi="Arial"/>
          <w:sz w:val="11"/>
          <w:szCs w:val="11"/>
          <w:color w:val="auto"/>
        </w:rPr>
        <w:t>. Restricted stock awards are granted under restricted stock award agreements adopted by the plan administrator. A restricted stock award may be awarded in consideration for cash, check, bank draft or</w:t>
      </w:r>
      <w:r>
        <w:rPr>
          <w:rFonts w:ascii="Arial" w:cs="Arial" w:eastAsia="Arial" w:hAnsi="Arial"/>
          <w:sz w:val="11"/>
          <w:szCs w:val="11"/>
          <w:i w:val="1"/>
          <w:iCs w:val="1"/>
          <w:color w:val="auto"/>
        </w:rPr>
        <w:t xml:space="preserve"> </w:t>
      </w:r>
      <w:r>
        <w:rPr>
          <w:rFonts w:ascii="Arial" w:cs="Arial" w:eastAsia="Arial" w:hAnsi="Arial"/>
          <w:sz w:val="11"/>
          <w:szCs w:val="11"/>
          <w:color w:val="auto"/>
        </w:rPr>
        <w:t>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11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Restricted Stock Unit Awards</w:t>
      </w:r>
      <w:r>
        <w:rPr>
          <w:rFonts w:ascii="Arial" w:cs="Arial" w:eastAsia="Arial" w:hAnsi="Arial"/>
          <w:sz w:val="12"/>
          <w:szCs w:val="12"/>
          <w:color w:val="auto"/>
        </w:rPr>
        <w:t>. Restricted stock units are granted under restricted stock unit award agreements adopted by the plan administrator. Restricted stock units may be granted in consideration for any form of legal</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24"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i w:val="1"/>
          <w:iCs w:val="1"/>
          <w:color w:val="auto"/>
        </w:rPr>
        <w:t>Stock Appreciation Rights</w:t>
      </w:r>
      <w:r>
        <w:rPr>
          <w:rFonts w:ascii="Arial" w:cs="Arial" w:eastAsia="Arial" w:hAnsi="Arial"/>
          <w:sz w:val="10"/>
          <w:szCs w:val="10"/>
          <w:color w:val="auto"/>
        </w:rPr>
        <w:t>. Stock appreciation rights are granted under stock appreciation grant agreements adopted by the plan administrator. The plan administrator determines the purchase price or strike price for a stock</w:t>
      </w:r>
      <w:r>
        <w:rPr>
          <w:rFonts w:ascii="Arial" w:cs="Arial" w:eastAsia="Arial" w:hAnsi="Arial"/>
          <w:sz w:val="10"/>
          <w:szCs w:val="10"/>
          <w:i w:val="1"/>
          <w:iCs w:val="1"/>
          <w:color w:val="auto"/>
        </w:rPr>
        <w:t xml:space="preserve"> </w:t>
      </w:r>
      <w:r>
        <w:rPr>
          <w:rFonts w:ascii="Arial" w:cs="Arial" w:eastAsia="Arial" w:hAnsi="Arial"/>
          <w:sz w:val="10"/>
          <w:szCs w:val="10"/>
          <w:color w:val="auto"/>
        </w:rPr>
        <w:t>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9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i w:val="1"/>
          <w:iCs w:val="1"/>
          <w:color w:val="auto"/>
        </w:rPr>
        <w:t>Performance Awards</w:t>
      </w:r>
      <w:r>
        <w:rPr>
          <w:rFonts w:ascii="Arial" w:cs="Arial" w:eastAsia="Arial" w:hAnsi="Arial"/>
          <w:sz w:val="11"/>
          <w:szCs w:val="11"/>
          <w:color w:val="auto"/>
        </w:rPr>
        <w:t>. The equity incentive plan permits the grant of performance-based stock and cash awards. The plan administrator may structure awards so that the shares of common stock, cash, or other property will be issued</w:t>
      </w:r>
      <w:r>
        <w:rPr>
          <w:rFonts w:ascii="Arial" w:cs="Arial" w:eastAsia="Arial" w:hAnsi="Arial"/>
          <w:sz w:val="11"/>
          <w:szCs w:val="11"/>
          <w:i w:val="1"/>
          <w:iCs w:val="1"/>
          <w:color w:val="auto"/>
        </w:rPr>
        <w:t xml:space="preserve"> </w:t>
      </w:r>
      <w:r>
        <w:rPr>
          <w:rFonts w:ascii="Arial" w:cs="Arial" w:eastAsia="Arial" w:hAnsi="Arial"/>
          <w:sz w:val="11"/>
          <w:szCs w:val="11"/>
          <w:color w:val="auto"/>
        </w:rPr>
        <w:t>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6" w:name="page107"/>
    <w:bookmarkEnd w:id="10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i w:val="1"/>
          <w:iCs w:val="1"/>
          <w:color w:val="auto"/>
        </w:rPr>
        <w:t>Units</w:t>
      </w:r>
      <w:r>
        <w:rPr>
          <w:rFonts w:ascii="Arial" w:cs="Arial" w:eastAsia="Arial" w:hAnsi="Arial"/>
          <w:sz w:val="11"/>
          <w:szCs w:val="11"/>
          <w:color w:val="auto"/>
        </w:rPr>
        <w:t>. The equity incentive plan permits the grant of awards in the form of any class of limited liability company interests in WMH LLC, the entity through which we conduct our business and an entity that is treated as a</w:t>
      </w:r>
      <w:r>
        <w:rPr>
          <w:rFonts w:ascii="Arial" w:cs="Arial" w:eastAsia="Arial" w:hAnsi="Arial"/>
          <w:sz w:val="11"/>
          <w:szCs w:val="11"/>
          <w:i w:val="1"/>
          <w:iCs w:val="1"/>
          <w:color w:val="auto"/>
        </w:rPr>
        <w:t xml:space="preserve"> </w:t>
      </w:r>
      <w:r>
        <w:rPr>
          <w:rFonts w:ascii="Arial" w:cs="Arial" w:eastAsia="Arial" w:hAnsi="Arial"/>
          <w:sz w:val="11"/>
          <w:szCs w:val="11"/>
          <w:color w:val="auto"/>
        </w:rPr>
        <w:t>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LLC or shares of common stock, or may be valued by reference to the book value, fair market value or performance of WMTI. Awards of Units may be intended to qualify as “profits interests” within the meaning of IRS Revenue Procedure 93-27, as clarified by IRS Revenue Procedure 2001-43, with respect to any participant who is rendering services to or for the benefit of WMH LLC,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LLC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LLC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11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i w:val="1"/>
          <w:iCs w:val="1"/>
          <w:color w:val="auto"/>
        </w:rPr>
        <w:t>Other Stock Awards</w:t>
      </w:r>
      <w:r>
        <w:rPr>
          <w:rFonts w:ascii="Arial" w:cs="Arial" w:eastAsia="Arial" w:hAnsi="Arial"/>
          <w:sz w:val="12"/>
          <w:szCs w:val="12"/>
          <w:color w:val="auto"/>
        </w:rPr>
        <w:t>. The plan administrator may grant other awards based in whole or in part by reference to common stock. The plan administrator will set the number of shares under the stock award and all other terms and</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of such awards.</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Non-Employee Director Compensation Limit</w:t>
      </w:r>
      <w:r>
        <w:rPr>
          <w:rFonts w:ascii="Arial" w:cs="Arial" w:eastAsia="Arial" w:hAnsi="Arial"/>
          <w:sz w:val="12"/>
          <w:szCs w:val="12"/>
          <w:color w:val="auto"/>
        </w:rPr>
        <w:t>. The aggregate value of all compensation granted or paid by us to any individual for service as a non-employee director with respect to any calendar year beginning with 2022 (such</w:t>
      </w:r>
      <w:r>
        <w:rPr>
          <w:rFonts w:ascii="Arial" w:cs="Arial" w:eastAsia="Arial" w:hAnsi="Arial"/>
          <w:sz w:val="12"/>
          <w:szCs w:val="12"/>
          <w:i w:val="1"/>
          <w:iCs w:val="1"/>
          <w:color w:val="auto"/>
        </w:rPr>
        <w:t xml:space="preserve"> </w:t>
      </w:r>
      <w:r>
        <w:rPr>
          <w:rFonts w:ascii="Arial" w:cs="Arial" w:eastAsia="Arial" w:hAnsi="Arial"/>
          <w:sz w:val="12"/>
          <w:szCs w:val="12"/>
          <w:color w:val="auto"/>
        </w:rPr>
        <w:t>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124"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i w:val="1"/>
          <w:iCs w:val="1"/>
          <w:color w:val="auto"/>
        </w:rPr>
        <w:t>Changes to Capital Structure</w:t>
      </w:r>
      <w:r>
        <w:rPr>
          <w:rFonts w:ascii="Arial" w:cs="Arial" w:eastAsia="Arial" w:hAnsi="Arial"/>
          <w:sz w:val="10"/>
          <w:szCs w:val="10"/>
          <w:color w:val="auto"/>
        </w:rPr>
        <w:t>. In the event there is a specified type of change in our capital structure, such as a merger, consolidation, reorganization, recapitalization, reincorporation, stock dividend, dividend in property other than</w:t>
      </w:r>
      <w:r>
        <w:rPr>
          <w:rFonts w:ascii="Arial" w:cs="Arial" w:eastAsia="Arial" w:hAnsi="Arial"/>
          <w:sz w:val="10"/>
          <w:szCs w:val="10"/>
          <w:i w:val="1"/>
          <w:iCs w:val="1"/>
          <w:color w:val="auto"/>
        </w:rPr>
        <w:t xml:space="preserve"> </w:t>
      </w:r>
      <w:r>
        <w:rPr>
          <w:rFonts w:ascii="Arial" w:cs="Arial" w:eastAsia="Arial" w:hAnsi="Arial"/>
          <w:sz w:val="10"/>
          <w:szCs w:val="10"/>
          <w:color w:val="auto"/>
        </w:rPr>
        <w:t>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7" w:name="page108"/>
    <w:bookmarkEnd w:id="10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i w:val="1"/>
          <w:iCs w:val="1"/>
          <w:color w:val="auto"/>
        </w:rPr>
        <w:t>Corporate Transactions</w:t>
      </w:r>
      <w:r>
        <w:rPr>
          <w:rFonts w:ascii="Arial" w:cs="Arial" w:eastAsia="Arial" w:hAnsi="Arial"/>
          <w:sz w:val="11"/>
          <w:szCs w:val="11"/>
          <w:color w:val="auto"/>
        </w:rPr>
        <w:t>. The following applies to stock awards under the equity incentive plan in the event of a corporate transaction, as defined in the equity incentive plan, unless otherwise provided in a participant’s stock award</w:t>
      </w:r>
      <w:r>
        <w:rPr>
          <w:rFonts w:ascii="Arial" w:cs="Arial" w:eastAsia="Arial" w:hAnsi="Arial"/>
          <w:sz w:val="11"/>
          <w:szCs w:val="11"/>
          <w:i w:val="1"/>
          <w:iCs w:val="1"/>
          <w:color w:val="auto"/>
        </w:rPr>
        <w:t xml:space="preserve"> </w:t>
      </w:r>
      <w:r>
        <w:rPr>
          <w:rFonts w:ascii="Arial" w:cs="Arial" w:eastAsia="Arial" w:hAnsi="Arial"/>
          <w:sz w:val="11"/>
          <w:szCs w:val="11"/>
          <w:color w:val="auto"/>
        </w:rPr>
        <w:t>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11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Change in Control</w:t>
      </w:r>
      <w:r>
        <w:rPr>
          <w:rFonts w:ascii="Arial" w:cs="Arial" w:eastAsia="Arial" w:hAnsi="Arial"/>
          <w:sz w:val="12"/>
          <w:szCs w:val="12"/>
          <w:color w:val="auto"/>
        </w:rPr>
        <w:t>. In the event of a change in control, as defined under the equity incentive plan, awards granted under the equity incentive plan will not receive automatic acceleration of vesting and exercisability, although this</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may be provided for in an award agreement.</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Plan Amendment or Termination</w:t>
      </w:r>
      <w:r>
        <w:rPr>
          <w:rFonts w:ascii="Arial" w:cs="Arial" w:eastAsia="Arial" w:hAnsi="Arial"/>
          <w:sz w:val="12"/>
          <w:szCs w:val="12"/>
          <w:color w:val="auto"/>
        </w:rPr>
        <w:t>. Our board of directors will have the authority to amend, suspend, or terminate the equity incentive plan, provided that such action does not materially impair the existing rights of any participant</w:t>
      </w:r>
      <w:r>
        <w:rPr>
          <w:rFonts w:ascii="Arial" w:cs="Arial" w:eastAsia="Arial" w:hAnsi="Arial"/>
          <w:sz w:val="12"/>
          <w:szCs w:val="12"/>
          <w:i w:val="1"/>
          <w:iCs w:val="1"/>
          <w:color w:val="auto"/>
        </w:rPr>
        <w:t xml:space="preserve"> </w:t>
      </w:r>
      <w:r>
        <w:rPr>
          <w:rFonts w:ascii="Arial" w:cs="Arial" w:eastAsia="Arial" w:hAnsi="Arial"/>
          <w:sz w:val="12"/>
          <w:szCs w:val="12"/>
          <w:color w:val="auto"/>
        </w:rPr>
        <w:t>without such participant’s written consent. No ISOs may be granted after the tenth anniversary of the date the board of directors of Silver Spike adopted the equity incentive plan.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Third Amended and Restated Equity Incentive Plan</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 (including the cancelation of all Class B units and Class A-3 units outstanding prior to the effectiveness of the Amended Operating Agreement, with certain holders of Class B units receiving Class P Units of WMH LLC and holders of Class A-3 units receiving Class A units of WMH LLC).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8" w:name="page109"/>
    <w:bookmarkEnd w:id="10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Authorized Shares</w:t>
      </w:r>
      <w:r>
        <w:rPr>
          <w:rFonts w:ascii="Arial" w:cs="Arial" w:eastAsia="Arial" w:hAnsi="Arial"/>
          <w:sz w:val="12"/>
          <w:szCs w:val="12"/>
          <w:color w:val="auto"/>
        </w:rPr>
        <w:t>. As of December 31, 2020, the maximum aggregate number of Plan Units authorized for issuance under the 2018 Plan was 274,822, six of which Plan Units were available for grant as of the same date. Plan</w:t>
      </w:r>
      <w:r>
        <w:rPr>
          <w:rFonts w:ascii="Arial" w:cs="Arial" w:eastAsia="Arial" w:hAnsi="Arial"/>
          <w:sz w:val="12"/>
          <w:szCs w:val="12"/>
          <w:i w:val="1"/>
          <w:iCs w:val="1"/>
          <w:color w:val="auto"/>
        </w:rPr>
        <w:t xml:space="preserve"> </w:t>
      </w:r>
      <w:r>
        <w:rPr>
          <w:rFonts w:ascii="Arial" w:cs="Arial" w:eastAsia="Arial" w:hAnsi="Arial"/>
          <w:sz w:val="12"/>
          <w:szCs w:val="12"/>
          <w:color w:val="auto"/>
        </w:rPr>
        <w:t>Units granted under the 2018 Plan that, under certain circumstances, are cancelled, repurchased, or redeemed by Legacy WMH were available for future grant under the 2018 Plan while the 2018 Plan remained in effect. As of September 30, 2021, 25,679,122 Plan Units (consisting of Class P Units) were outstanding under the 2018 Plan, which reflects the adjustments to Plan Units made in connection with the completion of the Business Combination and the effectiveness of the Amended Operating Agreement.</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Plan Administration</w:t>
      </w:r>
      <w:r>
        <w:rPr>
          <w:rFonts w:ascii="Arial" w:cs="Arial" w:eastAsia="Arial" w:hAnsi="Arial"/>
          <w:sz w:val="12"/>
          <w:szCs w:val="12"/>
          <w:color w:val="auto"/>
        </w:rPr>
        <w:t>. Prior to the Business Combination, the 2018 Plan was administered by Legacy WMH’s board of managers or one or more of Legacy WMH’s or its subsidiaries’ officers appointed by Legacy WMH’s board of</w:t>
      </w:r>
      <w:r>
        <w:rPr>
          <w:rFonts w:ascii="Arial" w:cs="Arial" w:eastAsia="Arial" w:hAnsi="Arial"/>
          <w:sz w:val="12"/>
          <w:szCs w:val="12"/>
          <w:i w:val="1"/>
          <w:iCs w:val="1"/>
          <w:color w:val="auto"/>
        </w:rPr>
        <w:t xml:space="preserve"> </w:t>
      </w:r>
      <w:r>
        <w:rPr>
          <w:rFonts w:ascii="Arial" w:cs="Arial" w:eastAsia="Arial" w:hAnsi="Arial"/>
          <w:sz w:val="12"/>
          <w:szCs w:val="12"/>
          <w:color w:val="auto"/>
        </w:rPr>
        <w:t>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Plan Units</w:t>
      </w:r>
      <w:r>
        <w:rPr>
          <w:rFonts w:ascii="Arial" w:cs="Arial" w:eastAsia="Arial" w:hAnsi="Arial"/>
          <w:sz w:val="12"/>
          <w:szCs w:val="12"/>
          <w:color w:val="auto"/>
        </w:rPr>
        <w:t>. Plan Units granted under the 2018 Plan may be subject to various restrictions, including restrictions on transferability and forfeiture provisions, as determined by the administrator and consistent with the 2018 Plan</w:t>
      </w:r>
      <w:r>
        <w:rPr>
          <w:rFonts w:ascii="Arial" w:cs="Arial" w:eastAsia="Arial" w:hAnsi="Arial"/>
          <w:sz w:val="12"/>
          <w:szCs w:val="12"/>
          <w:i w:val="1"/>
          <w:iCs w:val="1"/>
          <w:color w:val="auto"/>
        </w:rPr>
        <w:t xml:space="preserve"> </w:t>
      </w:r>
      <w:r>
        <w:rPr>
          <w:rFonts w:ascii="Arial" w:cs="Arial" w:eastAsia="Arial" w:hAnsi="Arial"/>
          <w:sz w:val="12"/>
          <w:szCs w:val="12"/>
          <w:color w:val="auto"/>
        </w:rPr>
        <w:t>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Non-Transferability of Awards</w:t>
      </w:r>
      <w:r>
        <w:rPr>
          <w:rFonts w:ascii="Arial" w:cs="Arial" w:eastAsia="Arial" w:hAnsi="Arial"/>
          <w:sz w:val="11"/>
          <w:szCs w:val="11"/>
          <w:color w:val="auto"/>
        </w:rPr>
        <w:t>. The Plan Units are subject to certain transferability restrictions and requirements governed by the terms of the Amended Operating Agreement, the 2018 Plan and the applicable award agreement.</w:t>
      </w:r>
    </w:p>
    <w:p>
      <w:pPr>
        <w:spacing w:after="0" w:line="16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Certain Adjustments</w:t>
      </w:r>
      <w:r>
        <w:rPr>
          <w:rFonts w:ascii="Arial" w:cs="Arial" w:eastAsia="Arial" w:hAnsi="Arial"/>
          <w:sz w:val="12"/>
          <w:szCs w:val="12"/>
          <w:color w:val="auto"/>
        </w:rPr>
        <w:t>. The outstanding Plan Units are subject to adjustment, exchange, replacement or, to the extent then unvested, cancellation for no consideration by us, in our capacity as managing member of WMH LLC, at our</w:t>
      </w:r>
      <w:r>
        <w:rPr>
          <w:rFonts w:ascii="Arial" w:cs="Arial" w:eastAsia="Arial" w:hAnsi="Arial"/>
          <w:sz w:val="12"/>
          <w:szCs w:val="12"/>
          <w:i w:val="1"/>
          <w:iCs w:val="1"/>
          <w:color w:val="auto"/>
        </w:rPr>
        <w:t xml:space="preserve"> </w:t>
      </w:r>
      <w:r>
        <w:rPr>
          <w:rFonts w:ascii="Arial" w:cs="Arial" w:eastAsia="Arial" w:hAnsi="Arial"/>
          <w:sz w:val="12"/>
          <w:szCs w:val="12"/>
          <w:color w:val="auto"/>
        </w:rPr>
        <w:t>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Amendment, Suspension and Termination</w:t>
      </w:r>
      <w:r>
        <w:rPr>
          <w:rFonts w:ascii="Arial" w:cs="Arial" w:eastAsia="Arial" w:hAnsi="Arial"/>
          <w:sz w:val="12"/>
          <w:szCs w:val="12"/>
          <w:color w:val="auto"/>
        </w:rPr>
        <w:t>. We, in our capacity as managing member of WMH LLC, have the authority to amend, suspend or terminate all or any part of the 2018 Plan in our sole discretion, subject to the terms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2018 Plan and the Amended Operating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9" w:name="page110"/>
    <w:bookmarkEnd w:id="10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following is a summary of transactions since January 1, 2018,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Operating Company Agreement</w:t>
      </w:r>
    </w:p>
    <w:p>
      <w:pPr>
        <w:spacing w:after="0" w:line="154"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Rights of the Units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Management</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Distributions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122"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0" w:name="page111"/>
    <w:bookmarkEnd w:id="11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Transfer Restrictions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Agreement</w:t>
      </w:r>
    </w:p>
    <w:p>
      <w:pPr>
        <w:spacing w:after="0" w:line="15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Closing to exchange their Class A Units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113"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Receivable Agreement</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128"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Closing Date. Under this scenario, we would be required to pay to the Class A Unit holders approximately 85% of such amount, or $126.2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1" w:name="page112"/>
    <w:bookmarkEnd w:id="11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2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11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and Restated Registration Rights Agreement</w:t>
      </w:r>
    </w:p>
    <w:p>
      <w:pPr>
        <w:spacing w:after="0" w:line="154"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2" w:name="page113"/>
    <w:bookmarkEnd w:id="11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Silver Spike Related Transactions and Agreements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22"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June 16, 2021, Silver Spike Sponsor was paid an aggregate of $79,074 for office space, administrative and support services and was entitled to be reimbursed for any out-of-pocket expenses.</w:t>
      </w:r>
    </w:p>
    <w:p>
      <w:pPr>
        <w:spacing w:after="0" w:line="122"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June 16, 2021, Silver Spike Sponsor, and its respective affiliates were paid an aggregate of $88,252.</w:t>
      </w:r>
    </w:p>
    <w:p>
      <w:pPr>
        <w:spacing w:after="0" w:line="9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June 16, 2021.</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PIPE Subscription Agreements</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3" w:name="page114"/>
    <w:bookmarkEnd w:id="11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Legacy WMH Transactions and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Employment Relationships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Certain immediate family members of Douglas Francis, Legacy WMH’s former chief executive officer and a current member of our board of managers, provide services to us for compensation, as described below:</w:t>
      </w:r>
    </w:p>
    <w:p>
      <w:pPr>
        <w:spacing w:after="0" w:line="162" w:lineRule="exact"/>
        <w:rPr>
          <w:sz w:val="20"/>
          <w:szCs w:val="20"/>
          <w:color w:val="auto"/>
        </w:rPr>
      </w:pPr>
    </w:p>
    <w:p>
      <w:pPr>
        <w:ind w:left="420" w:right="2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Russell Francis was formerly employed as one of our UI/UX developers. Mr. R. Francis, who is a brother of Mr. Francis, earned $198,606 and $15,300 in compensation in 2019 and 2020, respectively, and no compensation in the nine months ended September 30, 2021.</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Troy Francis formerly provided services to us as an independent contractor. Mr. T. Francis, who is a brother of Mr. Francis, earned $151,320 and $4,602 in compensation in 2019 and 2020, respectively, and no compensation in the nine months ended September 30, 2021.</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Kathleen Joosten was formerly employed as a corporate attorney in our legal department. Ms. Joosten, who is the sister-in-law of Mr. Francis, earned $163,462 and $167,427 in compensation in 2019 and 2020, respectively, and $151,889 in compensation in the nine months ended September 30, 2021.</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Len Townsend, who is Justin Hartfield’s father-in-law, formerly provided services to us as an independent contractor. Mr. Townsend earned $240,000 and $0 in compensation in each of 2019 and 2020, respectively, and no compensation in the nine months ended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Other Enterprises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WCC MGMT, LLC is a business of which each of Messrs. Francis and Hartfield indirectly own a minority interest. WCC MGMT, LLC uses our listing products and has participated in other brand promotion opportunities. WCC MGMT, LLC paid us a total of $98,495 and $536,750 in 2019 and 2020, respectively, and $338,955 in the nine months ended September 30, 2021, for such products and services. Mr. Beals indirectly owned a minority interest in WCC MGMT, LLC, but relinquished his indirect interest in April 2019.</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Searchcore Payments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115"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Pursuant to a note payable to Mr. Hartfield and that certain Global Securities Purchase, Consulting, and Resignation Agreement dated as of July 31, 2012, by and among Searchcore, Weedmaps Media, Inc. and Justin Hartfield, we paid Mr. Hartfield $0 and $0 in 2019 and 2020, respectively, and $205,323 in the nine months ended September 30, 2021. All obligations to Mr. Francis and Mr. Hartfield under these arrangements have been paid in full.</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Transactions</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have granted equity awards to certain of our executive officers. For a description of equity awards granted to our named executive officers, see the section entitled “Executive Compensation.”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4" w:name="page115"/>
    <w:bookmarkEnd w:id="11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entered into indemnification agreements with our directors and executive officers. For a description of these agreements, see the section entitled “Management—Limitation of Liability and Indemnification.”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Party Transaction Policy</w:t>
      </w:r>
    </w:p>
    <w:p>
      <w:pPr>
        <w:spacing w:after="0" w:line="154"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considering related-person transactions, our audit committee takes into account the relevant available facts and circumstances, which may include, but are not limited to:</w:t>
      </w:r>
    </w:p>
    <w:p>
      <w:pPr>
        <w:spacing w:after="0" w:line="150" w:lineRule="exact"/>
        <w:rPr>
          <w:sz w:val="20"/>
          <w:szCs w:val="20"/>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risk, cost and benefits to us;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impact on a director’s independence in the event the related person is a director, immediate family member of a director or an entity with which a director is affiliated;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terms of the transaction;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availability of other sources for comparable services or products.</w:t>
      </w:r>
    </w:p>
    <w:p>
      <w:pPr>
        <w:spacing w:after="0" w:line="150"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5" w:name="page116"/>
    <w:bookmarkEnd w:id="115"/>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SECURITYHOLDERS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sets forth information known to us regarding the beneficial ownership of our Common Stock as of November 24, 2021, by:</w:t>
      </w:r>
    </w:p>
    <w:p>
      <w:pPr>
        <w:spacing w:after="0" w:line="150" w:lineRule="exact"/>
        <w:rPr>
          <w:sz w:val="20"/>
          <w:szCs w:val="20"/>
          <w:color w:val="auto"/>
        </w:rPr>
      </w:pPr>
    </w:p>
    <w:p>
      <w:pPr>
        <w:ind w:left="428" w:hanging="212"/>
        <w:spacing w:after="0"/>
        <w:tabs>
          <w:tab w:leader="none" w:pos="428"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person who is known by us to be the beneficial owner of more than 5% of the outstanding shares of our Common Stock;</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49"/>
        </w:numPr>
        <w:rPr>
          <w:rFonts w:ascii="Arial" w:cs="Arial" w:eastAsia="Arial" w:hAnsi="Arial"/>
          <w:sz w:val="12"/>
          <w:szCs w:val="12"/>
          <w:color w:val="auto"/>
        </w:rPr>
      </w:pPr>
      <w:r>
        <w:rPr>
          <w:rFonts w:ascii="Arial" w:cs="Arial" w:eastAsia="Arial" w:hAnsi="Arial"/>
          <w:sz w:val="12"/>
          <w:szCs w:val="12"/>
          <w:color w:val="auto"/>
        </w:rPr>
        <w:t>each of our current named executive officers and directors; and</w:t>
      </w:r>
    </w:p>
    <w:p>
      <w:pPr>
        <w:spacing w:after="0" w:line="150" w:lineRule="exact"/>
        <w:rPr>
          <w:rFonts w:ascii="Arial" w:cs="Arial" w:eastAsia="Arial" w:hAnsi="Arial"/>
          <w:sz w:val="12"/>
          <w:szCs w:val="12"/>
          <w:color w:val="auto"/>
        </w:rPr>
      </w:pPr>
    </w:p>
    <w:p>
      <w:pPr>
        <w:ind w:left="428" w:hanging="212"/>
        <w:spacing w:after="0"/>
        <w:tabs>
          <w:tab w:leader="none" w:pos="428"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all of our current executive officers and directors, as a group.</w:t>
      </w:r>
    </w:p>
    <w:p>
      <w:pPr>
        <w:spacing w:after="0" w:line="150"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115"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The beneficial ownership percentages set forth in the table below are based on 131,179,708 shares of our Common Stock issued and outstanding as of November 24, 2021 and do not take into account the issuance of any shares of Class A Common Stock upon (i) the exercise of 19,499,993 Warrants to purchase an aggregate of 19,499,993 shares of Class A Common Stock or (ii) the exchange of 25,679,122 Class P Units for up to 25,679,122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24"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Number of Shares</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Number of Shares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of Class A</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of Class V</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Common Stock</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Common Stock</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Combined % of</w:t>
            </w:r>
          </w:p>
        </w:tc>
      </w:tr>
      <w:tr>
        <w:trPr>
          <w:trHeight w:val="139"/>
        </w:trPr>
        <w:tc>
          <w:tcPr>
            <w:tcW w:w="73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Beneficially</w:t>
            </w: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Beneficially</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Total Voting</w:t>
            </w:r>
          </w:p>
        </w:tc>
      </w:tr>
      <w:tr>
        <w:trPr>
          <w:trHeight w:val="162"/>
        </w:trPr>
        <w:tc>
          <w:tcPr>
            <w:tcW w:w="7340" w:type="dxa"/>
            <w:vAlign w:val="bottom"/>
          </w:tcPr>
          <w:p>
            <w:pPr>
              <w:spacing w:after="0" w:line="162" w:lineRule="exact"/>
              <w:rPr>
                <w:sz w:val="20"/>
                <w:szCs w:val="20"/>
                <w:color w:val="auto"/>
              </w:rPr>
            </w:pPr>
            <w:r>
              <w:rPr>
                <w:rFonts w:ascii="Arial" w:cs="Arial" w:eastAsia="Arial" w:hAnsi="Arial"/>
                <w:sz w:val="11"/>
                <w:szCs w:val="11"/>
                <w:b w:val="1"/>
                <w:bCs w:val="1"/>
                <w:color w:val="auto"/>
              </w:rPr>
              <w:t>Name of Beneficial Owner</w:t>
            </w:r>
            <w:r>
              <w:rPr>
                <w:rFonts w:ascii="Arial" w:cs="Arial" w:eastAsia="Arial" w:hAnsi="Arial"/>
                <w:sz w:val="18"/>
                <w:szCs w:val="18"/>
                <w:b w:val="1"/>
                <w:bCs w:val="1"/>
                <w:color w:val="auto"/>
                <w:vertAlign w:val="superscript"/>
              </w:rPr>
              <w:t>(1)</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Owned</w:t>
            </w: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1"/>
                <w:szCs w:val="11"/>
                <w:b w:val="1"/>
                <w:bCs w:val="1"/>
                <w:color w:val="auto"/>
                <w:w w:val="93"/>
              </w:rPr>
              <w:t>Owned</w:t>
            </w:r>
            <w:r>
              <w:rPr>
                <w:rFonts w:ascii="Arial" w:cs="Arial" w:eastAsia="Arial" w:hAnsi="Arial"/>
                <w:sz w:val="18"/>
                <w:szCs w:val="18"/>
                <w:b w:val="1"/>
                <w:bCs w:val="1"/>
                <w:color w:val="auto"/>
                <w:w w:val="93"/>
                <w:vertAlign w:val="superscript"/>
              </w:rPr>
              <w:t>(2)</w:t>
            </w: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1"/>
                <w:szCs w:val="11"/>
                <w:b w:val="1"/>
                <w:bCs w:val="1"/>
                <w:color w:val="auto"/>
                <w:w w:val="92"/>
              </w:rPr>
              <w:t>Power</w:t>
            </w:r>
            <w:r>
              <w:rPr>
                <w:rFonts w:ascii="Arial" w:cs="Arial" w:eastAsia="Arial" w:hAnsi="Arial"/>
                <w:sz w:val="18"/>
                <w:szCs w:val="18"/>
                <w:b w:val="1"/>
                <w:bCs w:val="1"/>
                <w:color w:val="auto"/>
                <w:w w:val="92"/>
                <w:vertAlign w:val="superscript"/>
              </w:rPr>
              <w:t>(3)</w:t>
            </w:r>
          </w:p>
        </w:tc>
      </w:tr>
      <w:tr>
        <w:trPr>
          <w:trHeight w:val="142"/>
        </w:trPr>
        <w:tc>
          <w:tcPr>
            <w:tcW w:w="7340" w:type="dxa"/>
            <w:vAlign w:val="bottom"/>
          </w:tcPr>
          <w:p>
            <w:pPr>
              <w:spacing w:after="0"/>
              <w:rPr>
                <w:sz w:val="20"/>
                <w:szCs w:val="20"/>
                <w:color w:val="auto"/>
              </w:rPr>
            </w:pPr>
            <w:r>
              <w:rPr>
                <w:rFonts w:ascii="Arial" w:cs="Arial" w:eastAsia="Arial" w:hAnsi="Arial"/>
                <w:sz w:val="12"/>
                <w:szCs w:val="12"/>
                <w:b w:val="1"/>
                <w:bCs w:val="1"/>
                <w:i w:val="1"/>
                <w:iCs w:val="1"/>
                <w:color w:val="auto"/>
              </w:rPr>
              <w:t>Directors and Named Executive Officers:</w:t>
            </w: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Christopher Beals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6,166,819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Justin Dean</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Steven Jung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Tony Aquila</w:t>
            </w:r>
            <w:r>
              <w:rPr>
                <w:rFonts w:ascii="Arial" w:cs="Arial" w:eastAsia="Arial" w:hAnsi="Arial"/>
                <w:sz w:val="16"/>
                <w:szCs w:val="16"/>
                <w:color w:val="auto"/>
                <w:vertAlign w:val="superscript"/>
              </w:rPr>
              <w:t>(4)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5,000,000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3.8%</w:t>
            </w:r>
          </w:p>
        </w:tc>
      </w:tr>
      <w:tr>
        <w:trPr>
          <w:trHeight w:val="144"/>
        </w:trPr>
        <w:tc>
          <w:tcPr>
            <w:tcW w:w="734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Douglas Francis</w:t>
            </w:r>
            <w:r>
              <w:rPr>
                <w:rFonts w:ascii="Arial" w:cs="Arial" w:eastAsia="Arial" w:hAnsi="Arial"/>
                <w:sz w:val="16"/>
                <w:szCs w:val="16"/>
                <w:color w:val="auto"/>
                <w:vertAlign w:val="superscript"/>
              </w:rPr>
              <w:t>(5)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27,700,850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21.1%</w:t>
            </w: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Justin Hartfield</w:t>
            </w:r>
            <w:r>
              <w:rPr>
                <w:rFonts w:ascii="Arial" w:cs="Arial" w:eastAsia="Arial" w:hAnsi="Arial"/>
                <w:sz w:val="16"/>
                <w:szCs w:val="16"/>
                <w:color w:val="auto"/>
                <w:vertAlign w:val="superscript"/>
              </w:rPr>
              <w:t>(6)</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29,328,310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22.4%</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Scott Gordon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Fiona Tan</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Olga Gonzalez</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Brenda Freeman</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shd w:val="clear" w:color="auto" w:fill="CCEEFF"/>
          </w:tcPr>
          <w:p>
            <w:pPr>
              <w:spacing w:after="0" w:line="144" w:lineRule="exact"/>
              <w:rPr>
                <w:sz w:val="20"/>
                <w:szCs w:val="20"/>
                <w:color w:val="auto"/>
              </w:rPr>
            </w:pPr>
            <w:r>
              <w:rPr>
                <w:rFonts w:ascii="Arial" w:cs="Arial" w:eastAsia="Arial" w:hAnsi="Arial"/>
                <w:sz w:val="10"/>
                <w:szCs w:val="10"/>
                <w:b w:val="1"/>
                <w:bCs w:val="1"/>
                <w:color w:val="auto"/>
              </w:rPr>
              <w:t>All Directors and Executive Officers of the Company as a Group (12 Individuals)</w:t>
            </w:r>
            <w:r>
              <w:rPr>
                <w:rFonts w:ascii="Arial" w:cs="Arial" w:eastAsia="Arial" w:hAnsi="Arial"/>
                <w:sz w:val="16"/>
                <w:szCs w:val="16"/>
                <w:b w:val="1"/>
                <w:bCs w:val="1"/>
                <w:color w:val="auto"/>
                <w:vertAlign w:val="superscript"/>
              </w:rPr>
              <w:t>(7)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54,726,788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45.5%</w:t>
            </w:r>
          </w:p>
        </w:tc>
      </w:tr>
      <w:tr>
        <w:trPr>
          <w:trHeight w:val="144"/>
        </w:trPr>
        <w:tc>
          <w:tcPr>
            <w:tcW w:w="7340" w:type="dxa"/>
            <w:vAlign w:val="bottom"/>
          </w:tcPr>
          <w:p>
            <w:pPr>
              <w:spacing w:after="0"/>
              <w:rPr>
                <w:sz w:val="20"/>
                <w:szCs w:val="20"/>
                <w:color w:val="auto"/>
              </w:rPr>
            </w:pPr>
            <w:r>
              <w:rPr>
                <w:rFonts w:ascii="Arial" w:cs="Arial" w:eastAsia="Arial" w:hAnsi="Arial"/>
                <w:sz w:val="12"/>
                <w:szCs w:val="12"/>
                <w:b w:val="1"/>
                <w:bCs w:val="1"/>
                <w:i w:val="1"/>
                <w:iCs w:val="1"/>
                <w:color w:val="auto"/>
              </w:rPr>
              <w:t>Five Percent Holders: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Ghost Media Group, LLC</w:t>
            </w:r>
            <w:r>
              <w:rPr>
                <w:rFonts w:ascii="Arial" w:cs="Arial" w:eastAsia="Arial" w:hAnsi="Arial"/>
                <w:sz w:val="16"/>
                <w:szCs w:val="16"/>
                <w:color w:val="auto"/>
                <w:vertAlign w:val="superscript"/>
              </w:rPr>
              <w:t>(5)(6)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8,469,191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6.5%</w:t>
            </w:r>
          </w:p>
        </w:tc>
      </w:tr>
      <w:tr>
        <w:trPr>
          <w:trHeight w:val="261"/>
        </w:trPr>
        <w:tc>
          <w:tcPr>
            <w:tcW w:w="7340" w:type="dxa"/>
            <w:vAlign w:val="bottom"/>
          </w:tcPr>
          <w:p>
            <w:pPr>
              <w:spacing w:after="0"/>
              <w:rPr>
                <w:sz w:val="20"/>
                <w:szCs w:val="20"/>
                <w:color w:val="auto"/>
              </w:rPr>
            </w:pPr>
            <w:r>
              <w:rPr>
                <w:rFonts w:ascii="Arial" w:cs="Arial" w:eastAsia="Arial" w:hAnsi="Arial"/>
                <w:sz w:val="12"/>
                <w:szCs w:val="12"/>
                <w:color w:val="auto"/>
              </w:rPr>
              <w:t>Luxor Capital Group, LP</w:t>
            </w:r>
            <w:r>
              <w:rPr>
                <w:rFonts w:ascii="Arial" w:cs="Arial" w:eastAsia="Arial" w:hAnsi="Arial"/>
                <w:sz w:val="19"/>
                <w:szCs w:val="19"/>
                <w:color w:val="auto"/>
                <w:vertAlign w:val="superscript"/>
              </w:rPr>
              <w:t>(8)</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6,616,117</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79451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160" w:lineRule="exact"/>
        <w:rPr>
          <w:sz w:val="20"/>
          <w:szCs w:val="20"/>
          <w:color w:val="auto"/>
        </w:rPr>
      </w:pPr>
    </w:p>
    <w:p>
      <w:pPr>
        <w:ind w:left="208" w:hanging="208"/>
        <w:spacing w:after="0"/>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entities or individuals is 41 Discovery, Irvine, California 92618.</w:t>
      </w:r>
    </w:p>
    <w:p>
      <w:pPr>
        <w:spacing w:after="0" w:line="150" w:lineRule="exact"/>
        <w:rPr>
          <w:rFonts w:ascii="Arial" w:cs="Arial" w:eastAsia="Arial" w:hAnsi="Arial"/>
          <w:sz w:val="12"/>
          <w:szCs w:val="12"/>
          <w:color w:val="auto"/>
        </w:rPr>
      </w:pPr>
    </w:p>
    <w:p>
      <w:pPr>
        <w:jc w:val="both"/>
        <w:ind w:left="208" w:right="20" w:hanging="208"/>
        <w:spacing w:after="0" w:line="263" w:lineRule="auto"/>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pacing w:after="0" w:line="122" w:lineRule="exact"/>
        <w:rPr>
          <w:rFonts w:ascii="Arial" w:cs="Arial" w:eastAsia="Arial" w:hAnsi="Arial"/>
          <w:sz w:val="12"/>
          <w:szCs w:val="12"/>
          <w:color w:val="auto"/>
        </w:rPr>
      </w:pPr>
    </w:p>
    <w:p>
      <w:pPr>
        <w:ind w:left="208" w:hanging="208"/>
        <w:spacing w:after="0"/>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Represents percentage of voting power of the holders of Class A Common Stock and Class V Common Stock voting together as a single class.</w:t>
      </w:r>
    </w:p>
    <w:p>
      <w:pPr>
        <w:spacing w:after="0" w:line="150" w:lineRule="exact"/>
        <w:rPr>
          <w:rFonts w:ascii="Arial" w:cs="Arial" w:eastAsia="Arial" w:hAnsi="Arial"/>
          <w:sz w:val="12"/>
          <w:szCs w:val="12"/>
          <w:color w:val="auto"/>
        </w:rPr>
      </w:pPr>
    </w:p>
    <w:p>
      <w:pPr>
        <w:jc w:val="both"/>
        <w:ind w:left="208" w:hanging="208"/>
        <w:spacing w:after="0" w:line="256" w:lineRule="auto"/>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128" w:lineRule="exact"/>
        <w:rPr>
          <w:rFonts w:ascii="Arial" w:cs="Arial" w:eastAsia="Arial" w:hAnsi="Arial"/>
          <w:sz w:val="12"/>
          <w:szCs w:val="12"/>
          <w:color w:val="auto"/>
        </w:rPr>
      </w:pPr>
    </w:p>
    <w:p>
      <w:pPr>
        <w:jc w:val="both"/>
        <w:ind w:left="208" w:hanging="208"/>
        <w:spacing w:after="0" w:line="298" w:lineRule="auto"/>
        <w:tabs>
          <w:tab w:leader="none" w:pos="208" w:val="left"/>
        </w:tabs>
        <w:numPr>
          <w:ilvl w:val="0"/>
          <w:numId w:val="50"/>
        </w:numPr>
        <w:rPr>
          <w:rFonts w:ascii="Arial" w:cs="Arial" w:eastAsia="Arial" w:hAnsi="Arial"/>
          <w:sz w:val="11"/>
          <w:szCs w:val="11"/>
          <w:color w:val="auto"/>
        </w:rPr>
      </w:pPr>
      <w:r>
        <w:rPr>
          <w:rFonts w:ascii="Arial" w:cs="Arial" w:eastAsia="Arial" w:hAnsi="Arial"/>
          <w:sz w:val="11"/>
          <w:szCs w:val="11"/>
          <w:color w:val="auto"/>
        </w:rPr>
        <w:t>Includes 17,162,486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04" w:lineRule="exact"/>
        <w:rPr>
          <w:rFonts w:ascii="Arial" w:cs="Arial" w:eastAsia="Arial" w:hAnsi="Arial"/>
          <w:sz w:val="11"/>
          <w:szCs w:val="11"/>
          <w:color w:val="auto"/>
        </w:rPr>
      </w:pPr>
    </w:p>
    <w:p>
      <w:pPr>
        <w:jc w:val="both"/>
        <w:ind w:left="208" w:right="20" w:hanging="208"/>
        <w:spacing w:after="0" w:line="263" w:lineRule="auto"/>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2" w:lineRule="exact"/>
        <w:rPr>
          <w:rFonts w:ascii="Arial" w:cs="Arial" w:eastAsia="Arial" w:hAnsi="Arial"/>
          <w:sz w:val="12"/>
          <w:szCs w:val="12"/>
          <w:color w:val="auto"/>
        </w:rPr>
      </w:pPr>
    </w:p>
    <w:p>
      <w:pPr>
        <w:ind w:left="208" w:hanging="208"/>
        <w:spacing w:after="0"/>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Consists of 54,726,788 shares of Class V Common Stock beneficially owned by our directors and executive officers.</w:t>
      </w:r>
    </w:p>
    <w:p>
      <w:pPr>
        <w:spacing w:after="0" w:line="150" w:lineRule="exact"/>
        <w:rPr>
          <w:rFonts w:ascii="Arial" w:cs="Arial" w:eastAsia="Arial" w:hAnsi="Arial"/>
          <w:sz w:val="12"/>
          <w:szCs w:val="12"/>
          <w:color w:val="auto"/>
        </w:rPr>
      </w:pPr>
    </w:p>
    <w:p>
      <w:pPr>
        <w:jc w:val="both"/>
        <w:ind w:left="208" w:hanging="208"/>
        <w:spacing w:after="0" w:line="255" w:lineRule="auto"/>
        <w:tabs>
          <w:tab w:leader="none" w:pos="2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6,515,743 shares of Class A Common Stock held by Lugard Road Capital Master Fund, LP (“Lugard”) beneficially owned by Luxor Capital Group, LP, the investment manager of Lugard, 33,289 shares of Class A Common Stock held by Luxor Capital Partners Offshore Master Fund, LP (“Luxor Offshore”) beneficially owned by Luxor Capital Group, LP, the investment manager of Luxor Offshore, 53,645 shares of Class A Common Stock held by Luxor Capital Partners, LP (“Luxor Capital”) beneficially owned by Luxor Capital Group, LP, the investment manager of Luxor Capital and 13,440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25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16" w:name="page117"/>
    <w:bookmarkEnd w:id="11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SELLING SECURITYHOLDERS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Selling Securityholders acquired 1,938,798 shares of Class A Common Stock (the “Shares”), consisting of (i) 1,244,258 shares of Class A Common Stock issued pursuant to the Asset Purchase Agreement and (ii) 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12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12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111"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Unless otherwise indicated in the footnotes below, no Selling Stockholder has had any material relationship with us or any of our affiliates within the past three years other than as a security holder.</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65,677,361 shares of our Class A Common Stock issued and outstanding as of November 24, 2021.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2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7" w:name="page118"/>
    <w:bookmarkEnd w:id="117"/>
    <w:tbl>
      <w:tblPr>
        <w:tblLayout w:type="fixed"/>
        <w:tblInd w:w="8" w:type="dxa"/>
        <w:tblCellMar>
          <w:top w:w="0" w:type="dxa"/>
          <w:left w:w="0" w:type="dxa"/>
          <w:bottom w:w="0" w:type="dxa"/>
          <w:right w:w="0" w:type="dxa"/>
        </w:tblCellMar>
      </w:tblPr>
      <w:tr>
        <w:trPr>
          <w:trHeight w:val="115"/>
        </w:trPr>
        <w:tc>
          <w:tcPr>
            <w:tcW w:w="4640" w:type="dxa"/>
            <w:vAlign w:val="bottom"/>
            <w:gridSpan w:val="3"/>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0000EE"/>
            </w:tcBorders>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gridSpan w:val="3"/>
            <w:vMerge w:val="restart"/>
          </w:tcPr>
          <w:p>
            <w:pPr>
              <w:jc w:val="center"/>
              <w:ind w:right="500"/>
              <w:spacing w:after="0"/>
              <w:rPr>
                <w:sz w:val="20"/>
                <w:szCs w:val="20"/>
                <w:color w:val="auto"/>
              </w:rPr>
            </w:pPr>
            <w:r>
              <w:rPr>
                <w:rFonts w:ascii="Arial" w:cs="Arial" w:eastAsia="Arial" w:hAnsi="Arial"/>
                <w:sz w:val="12"/>
                <w:szCs w:val="12"/>
                <w:b w:val="1"/>
                <w:bCs w:val="1"/>
                <w:color w:val="auto"/>
                <w:w w:val="88"/>
              </w:rPr>
              <w:t>Shares of Class A</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Shares of</w:t>
            </w:r>
          </w:p>
        </w:tc>
        <w:tc>
          <w:tcPr>
            <w:tcW w:w="1700" w:type="dxa"/>
            <w:vAlign w:val="bottom"/>
            <w:gridSpan w:val="3"/>
            <w:vMerge w:val="restart"/>
          </w:tcPr>
          <w:p>
            <w:pPr>
              <w:jc w:val="center"/>
              <w:ind w:left="700"/>
              <w:spacing w:after="0"/>
              <w:rPr>
                <w:sz w:val="20"/>
                <w:szCs w:val="20"/>
                <w:color w:val="auto"/>
              </w:rPr>
            </w:pPr>
            <w:r>
              <w:rPr>
                <w:rFonts w:ascii="Arial" w:cs="Arial" w:eastAsia="Arial" w:hAnsi="Arial"/>
                <w:sz w:val="12"/>
                <w:szCs w:val="12"/>
                <w:b w:val="1"/>
                <w:bCs w:val="1"/>
                <w:color w:val="auto"/>
                <w:w w:val="88"/>
              </w:rPr>
              <w:t>Shares of Class A</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6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0"/>
              </w:rPr>
              <w:t>Class A</w:t>
            </w:r>
          </w:p>
        </w:tc>
        <w:tc>
          <w:tcPr>
            <w:tcW w:w="170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6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60" w:type="dxa"/>
            <w:vAlign w:val="bottom"/>
            <w:gridSpan w:val="3"/>
            <w:vMerge w:val="restart"/>
          </w:tcPr>
          <w:p>
            <w:pPr>
              <w:jc w:val="center"/>
              <w:ind w:right="480"/>
              <w:spacing w:after="0"/>
              <w:rPr>
                <w:sz w:val="20"/>
                <w:szCs w:val="20"/>
                <w:color w:val="auto"/>
              </w:rPr>
            </w:pPr>
            <w:r>
              <w:rPr>
                <w:rFonts w:ascii="Arial" w:cs="Arial" w:eastAsia="Arial" w:hAnsi="Arial"/>
                <w:sz w:val="12"/>
                <w:szCs w:val="12"/>
                <w:b w:val="1"/>
                <w:bCs w:val="1"/>
                <w:color w:val="auto"/>
                <w:w w:val="90"/>
              </w:rPr>
              <w:t>Common Stock</w:t>
            </w: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700" w:type="dxa"/>
            <w:vAlign w:val="bottom"/>
            <w:gridSpan w:val="3"/>
            <w:vMerge w:val="restart"/>
          </w:tcPr>
          <w:p>
            <w:pPr>
              <w:jc w:val="center"/>
              <w:ind w:left="700"/>
              <w:spacing w:after="0"/>
              <w:rPr>
                <w:sz w:val="20"/>
                <w:szCs w:val="20"/>
                <w:color w:val="auto"/>
              </w:rPr>
            </w:pPr>
            <w:r>
              <w:rPr>
                <w:rFonts w:ascii="Arial" w:cs="Arial" w:eastAsia="Arial" w:hAnsi="Arial"/>
                <w:sz w:val="12"/>
                <w:szCs w:val="12"/>
                <w:b w:val="1"/>
                <w:bCs w:val="1"/>
                <w:color w:val="auto"/>
                <w:w w:val="88"/>
              </w:rPr>
              <w:t>Common Stock</w:t>
            </w: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6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Common</w:t>
            </w:r>
          </w:p>
        </w:tc>
        <w:tc>
          <w:tcPr>
            <w:tcW w:w="170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6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gridSpan w:val="4"/>
            <w:vMerge w:val="restart"/>
          </w:tcPr>
          <w:p>
            <w:pPr>
              <w:jc w:val="center"/>
              <w:ind w:left="200"/>
              <w:spacing w:after="0"/>
              <w:rPr>
                <w:sz w:val="20"/>
                <w:szCs w:val="20"/>
                <w:color w:val="auto"/>
              </w:rPr>
            </w:pPr>
            <w:r>
              <w:rPr>
                <w:rFonts w:ascii="Arial" w:cs="Arial" w:eastAsia="Arial" w:hAnsi="Arial"/>
                <w:sz w:val="12"/>
                <w:szCs w:val="12"/>
                <w:b w:val="1"/>
                <w:bCs w:val="1"/>
                <w:color w:val="auto"/>
                <w:w w:val="90"/>
              </w:rPr>
              <w:t>Beneficially Owned</w:t>
            </w: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580" w:type="dxa"/>
            <w:vAlign w:val="bottom"/>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90"/>
              </w:rPr>
              <w:t>Beneficially Owned</w:t>
            </w:r>
          </w:p>
        </w:tc>
        <w:tc>
          <w:tcPr>
            <w:tcW w:w="0" w:type="dxa"/>
            <w:vAlign w:val="bottom"/>
          </w:tcPr>
          <w:p>
            <w:pPr>
              <w:spacing w:after="0"/>
              <w:rPr>
                <w:sz w:val="1"/>
                <w:szCs w:val="1"/>
                <w:color w:val="auto"/>
              </w:rPr>
            </w:pPr>
          </w:p>
        </w:tc>
      </w:tr>
      <w:tr>
        <w:trPr>
          <w:trHeight w:val="99"/>
        </w:trPr>
        <w:tc>
          <w:tcPr>
            <w:tcW w:w="6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2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66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gridSpan w:val="4"/>
            <w:vMerge w:val="restart"/>
          </w:tcPr>
          <w:p>
            <w:pPr>
              <w:jc w:val="center"/>
              <w:ind w:left="180"/>
              <w:spacing w:after="0"/>
              <w:rPr>
                <w:sz w:val="20"/>
                <w:szCs w:val="20"/>
                <w:color w:val="auto"/>
              </w:rPr>
            </w:pPr>
            <w:r>
              <w:rPr>
                <w:rFonts w:ascii="Arial" w:cs="Arial" w:eastAsia="Arial" w:hAnsi="Arial"/>
                <w:sz w:val="12"/>
                <w:szCs w:val="12"/>
                <w:b w:val="1"/>
                <w:bCs w:val="1"/>
                <w:color w:val="auto"/>
                <w:w w:val="92"/>
              </w:rPr>
              <w:t>Prior to the Offering</w:t>
            </w: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700" w:type="dxa"/>
            <w:vAlign w:val="bottom"/>
            <w:gridSpan w:val="3"/>
            <w:vMerge w:val="restart"/>
          </w:tcPr>
          <w:p>
            <w:pPr>
              <w:jc w:val="center"/>
              <w:ind w:left="700"/>
              <w:spacing w:after="0"/>
              <w:rPr>
                <w:sz w:val="20"/>
                <w:szCs w:val="20"/>
                <w:color w:val="auto"/>
              </w:rPr>
            </w:pPr>
            <w:r>
              <w:rPr>
                <w:rFonts w:ascii="Arial" w:cs="Arial" w:eastAsia="Arial" w:hAnsi="Arial"/>
                <w:sz w:val="12"/>
                <w:szCs w:val="12"/>
                <w:b w:val="1"/>
                <w:bCs w:val="1"/>
                <w:color w:val="auto"/>
                <w:w w:val="94"/>
              </w:rPr>
              <w:t>After the Offering</w:t>
            </w: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tcBorders>
              <w:bottom w:val="single" w:sz="8" w:color="auto"/>
            </w:tcBorders>
            <w:gridSpan w:val="4"/>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center"/>
              <w:ind w:right="200"/>
              <w:spacing w:after="0" w:line="112" w:lineRule="exact"/>
              <w:rPr>
                <w:sz w:val="20"/>
                <w:szCs w:val="20"/>
                <w:color w:val="auto"/>
              </w:rPr>
            </w:pPr>
            <w:r>
              <w:rPr>
                <w:rFonts w:ascii="Arial" w:cs="Arial" w:eastAsia="Arial" w:hAnsi="Arial"/>
                <w:sz w:val="12"/>
                <w:szCs w:val="12"/>
                <w:b w:val="1"/>
                <w:bCs w:val="1"/>
                <w:color w:val="auto"/>
                <w:w w:val="89"/>
              </w:rPr>
              <w:t>Being</w:t>
            </w:r>
          </w:p>
        </w:tc>
        <w:tc>
          <w:tcPr>
            <w:tcW w:w="1700" w:type="dxa"/>
            <w:vAlign w:val="bottom"/>
            <w:tcBorders>
              <w:bottom w:val="single" w:sz="8" w:color="auto"/>
            </w:tcBorders>
            <w:gridSpan w:val="3"/>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640" w:type="dxa"/>
            <w:vAlign w:val="bottom"/>
            <w:gridSpan w:val="3"/>
          </w:tcPr>
          <w:p>
            <w:pPr>
              <w:spacing w:after="0"/>
              <w:rPr>
                <w:sz w:val="20"/>
                <w:szCs w:val="20"/>
                <w:color w:val="auto"/>
              </w:rPr>
            </w:pPr>
            <w:r>
              <w:rPr>
                <w:rFonts w:ascii="Arial" w:cs="Arial" w:eastAsia="Arial" w:hAnsi="Arial"/>
                <w:sz w:val="12"/>
                <w:szCs w:val="12"/>
                <w:b w:val="1"/>
                <w:bCs w:val="1"/>
                <w:color w:val="auto"/>
              </w:rPr>
              <w:t>Name of Selling Securityholder</w:t>
            </w:r>
          </w:p>
        </w:tc>
        <w:tc>
          <w:tcPr>
            <w:tcW w:w="800" w:type="dxa"/>
            <w:vAlign w:val="bottom"/>
          </w:tcPr>
          <w:p>
            <w:pPr>
              <w:ind w:left="360"/>
              <w:spacing w:after="0"/>
              <w:rPr>
                <w:sz w:val="20"/>
                <w:szCs w:val="20"/>
                <w:color w:val="auto"/>
              </w:rPr>
            </w:pPr>
            <w:r>
              <w:rPr>
                <w:rFonts w:ascii="Arial" w:cs="Arial" w:eastAsia="Arial" w:hAnsi="Arial"/>
                <w:sz w:val="12"/>
                <w:szCs w:val="12"/>
                <w:b w:val="1"/>
                <w:bCs w:val="1"/>
                <w:color w:val="auto"/>
                <w:w w:val="92"/>
              </w:rPr>
              <w:t>Number</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ind w:left="360"/>
              <w:spacing w:after="0"/>
              <w:rPr>
                <w:sz w:val="20"/>
                <w:szCs w:val="20"/>
                <w:color w:val="auto"/>
              </w:rPr>
            </w:pPr>
            <w:r>
              <w:rPr>
                <w:rFonts w:ascii="Arial" w:cs="Arial" w:eastAsia="Arial" w:hAnsi="Arial"/>
                <w:sz w:val="12"/>
                <w:szCs w:val="12"/>
                <w:b w:val="1"/>
                <w:bCs w:val="1"/>
                <w:color w:val="auto"/>
              </w:rPr>
              <w:t>Percent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Offered</w:t>
            </w:r>
          </w:p>
        </w:tc>
        <w:tc>
          <w:tcPr>
            <w:tcW w:w="1700" w:type="dxa"/>
            <w:vAlign w:val="bottom"/>
            <w:gridSpan w:val="3"/>
          </w:tcPr>
          <w:p>
            <w:pPr>
              <w:ind w:left="360"/>
              <w:spacing w:after="0"/>
              <w:rPr>
                <w:sz w:val="20"/>
                <w:szCs w:val="20"/>
                <w:color w:val="auto"/>
              </w:rPr>
            </w:pPr>
            <w:r>
              <w:rPr>
                <w:rFonts w:ascii="Arial" w:cs="Arial" w:eastAsia="Arial" w:hAnsi="Arial"/>
                <w:sz w:val="12"/>
                <w:szCs w:val="12"/>
                <w:b w:val="1"/>
                <w:bCs w:val="1"/>
                <w:color w:val="auto"/>
              </w:rPr>
              <w:t>Number</w:t>
            </w:r>
          </w:p>
        </w:tc>
        <w:tc>
          <w:tcPr>
            <w:tcW w:w="8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86"/>
              </w:rPr>
              <w:t>Percent</w:t>
            </w: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color w:val="auto"/>
              </w:rPr>
              <w:t>Andrew &amp; Ellen Astrove</w:t>
            </w:r>
            <w:r>
              <w:rPr>
                <w:rFonts w:ascii="Arial" w:cs="Arial" w:eastAsia="Arial" w:hAnsi="Arial"/>
                <w:sz w:val="16"/>
                <w:szCs w:val="16"/>
                <w:color w:val="auto"/>
                <w:vertAlign w:val="superscript"/>
              </w:rPr>
              <w:t>(1)</w:t>
            </w:r>
          </w:p>
        </w:tc>
        <w:tc>
          <w:tcPr>
            <w:tcW w:w="1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10,423</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10,423</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Ashwin Surajbali</w:t>
            </w:r>
            <w:r>
              <w:rPr>
                <w:rFonts w:ascii="Arial" w:cs="Arial" w:eastAsia="Arial" w:hAnsi="Arial"/>
                <w:sz w:val="16"/>
                <w:szCs w:val="16"/>
                <w:color w:val="auto"/>
                <w:vertAlign w:val="superscript"/>
              </w:rPr>
              <w:t>(2)</w:t>
            </w:r>
          </w:p>
        </w:tc>
        <w:tc>
          <w:tcPr>
            <w:tcW w:w="800" w:type="dxa"/>
            <w:vAlign w:val="bottom"/>
          </w:tcPr>
          <w:p>
            <w:pPr>
              <w:spacing w:after="0"/>
              <w:rPr>
                <w:sz w:val="12"/>
                <w:szCs w:val="12"/>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197,843</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197,843</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shd w:val="clear" w:color="auto" w:fill="CCEEFF"/>
          </w:tcPr>
          <w:p>
            <w:pPr>
              <w:spacing w:after="0" w:line="144" w:lineRule="exact"/>
              <w:rPr>
                <w:sz w:val="20"/>
                <w:szCs w:val="20"/>
                <w:color w:val="auto"/>
              </w:rPr>
            </w:pPr>
            <w:r>
              <w:rPr>
                <w:rFonts w:ascii="Arial" w:cs="Arial" w:eastAsia="Arial" w:hAnsi="Arial"/>
                <w:sz w:val="10"/>
                <w:szCs w:val="10"/>
                <w:color w:val="auto"/>
              </w:rPr>
              <w:t>Bradley Nathan Albert</w:t>
            </w:r>
            <w:r>
              <w:rPr>
                <w:rFonts w:ascii="Arial" w:cs="Arial" w:eastAsia="Arial" w:hAnsi="Arial"/>
                <w:sz w:val="16"/>
                <w:szCs w:val="16"/>
                <w:color w:val="auto"/>
                <w:vertAlign w:val="superscript"/>
              </w:rPr>
              <w:t>(3)</w:t>
            </w:r>
          </w:p>
        </w:tc>
        <w:tc>
          <w:tcPr>
            <w:tcW w:w="80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32,974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32,974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Diane Roskind</w:t>
            </w:r>
            <w:r>
              <w:rPr>
                <w:rFonts w:ascii="Arial" w:cs="Arial" w:eastAsia="Arial" w:hAnsi="Arial"/>
                <w:sz w:val="16"/>
                <w:szCs w:val="16"/>
                <w:color w:val="auto"/>
                <w:vertAlign w:val="superscript"/>
              </w:rPr>
              <w:t>(4)</w:t>
            </w:r>
          </w:p>
        </w:tc>
        <w:tc>
          <w:tcPr>
            <w:tcW w:w="800" w:type="dxa"/>
            <w:vAlign w:val="bottom"/>
          </w:tcPr>
          <w:p>
            <w:pPr>
              <w:spacing w:after="0"/>
              <w:rPr>
                <w:sz w:val="12"/>
                <w:szCs w:val="12"/>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14,184</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14,184</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shd w:val="clear" w:color="auto" w:fill="CCEEFF"/>
          </w:tcPr>
          <w:p>
            <w:pPr>
              <w:spacing w:after="0" w:line="144" w:lineRule="exact"/>
              <w:rPr>
                <w:sz w:val="20"/>
                <w:szCs w:val="20"/>
                <w:color w:val="auto"/>
              </w:rPr>
            </w:pPr>
            <w:r>
              <w:rPr>
                <w:rFonts w:ascii="Arial" w:cs="Arial" w:eastAsia="Arial" w:hAnsi="Arial"/>
                <w:sz w:val="10"/>
                <w:szCs w:val="10"/>
                <w:color w:val="auto"/>
              </w:rPr>
              <w:t>DJK Morris Investments, LLC</w:t>
            </w:r>
            <w:r>
              <w:rPr>
                <w:rFonts w:ascii="Arial" w:cs="Arial" w:eastAsia="Arial" w:hAnsi="Arial"/>
                <w:sz w:val="16"/>
                <w:szCs w:val="16"/>
                <w:color w:val="auto"/>
                <w:vertAlign w:val="superscript"/>
              </w:rPr>
              <w:t>(5)</w:t>
            </w:r>
          </w:p>
        </w:tc>
        <w:tc>
          <w:tcPr>
            <w:tcW w:w="80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395,760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395,760</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Farzin Arsanjani</w:t>
            </w:r>
            <w:r>
              <w:rPr>
                <w:rFonts w:ascii="Arial" w:cs="Arial" w:eastAsia="Arial" w:hAnsi="Arial"/>
                <w:sz w:val="16"/>
                <w:szCs w:val="16"/>
                <w:color w:val="auto"/>
                <w:vertAlign w:val="superscript"/>
              </w:rPr>
              <w:t>(6)</w:t>
            </w:r>
          </w:p>
        </w:tc>
        <w:tc>
          <w:tcPr>
            <w:tcW w:w="800" w:type="dxa"/>
            <w:vAlign w:val="bottom"/>
          </w:tcPr>
          <w:p>
            <w:pPr>
              <w:spacing w:after="0"/>
              <w:rPr>
                <w:sz w:val="12"/>
                <w:szCs w:val="12"/>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7,092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7,092</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shd w:val="clear" w:color="auto" w:fill="CCEEFF"/>
          </w:tcPr>
          <w:p>
            <w:pPr>
              <w:spacing w:after="0" w:line="144" w:lineRule="exact"/>
              <w:rPr>
                <w:sz w:val="20"/>
                <w:szCs w:val="20"/>
                <w:color w:val="auto"/>
              </w:rPr>
            </w:pPr>
            <w:r>
              <w:rPr>
                <w:rFonts w:ascii="Arial" w:cs="Arial" w:eastAsia="Arial" w:hAnsi="Arial"/>
                <w:sz w:val="10"/>
                <w:szCs w:val="10"/>
                <w:color w:val="auto"/>
              </w:rPr>
              <w:t>Ian Cohen</w:t>
            </w:r>
            <w:r>
              <w:rPr>
                <w:rFonts w:ascii="Arial" w:cs="Arial" w:eastAsia="Arial" w:hAnsi="Arial"/>
                <w:sz w:val="16"/>
                <w:szCs w:val="16"/>
                <w:color w:val="auto"/>
                <w:vertAlign w:val="superscript"/>
              </w:rPr>
              <w:t>(7)</w:t>
            </w:r>
          </w:p>
        </w:tc>
        <w:tc>
          <w:tcPr>
            <w:tcW w:w="80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3,331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3,331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 xml:space="preserve">Jennifer Goldman-Brisman </w:t>
            </w:r>
            <w:r>
              <w:rPr>
                <w:rFonts w:ascii="Arial" w:cs="Arial" w:eastAsia="Arial" w:hAnsi="Arial"/>
                <w:sz w:val="16"/>
                <w:szCs w:val="16"/>
                <w:color w:val="auto"/>
                <w:vertAlign w:val="superscript"/>
              </w:rPr>
              <w:t>(8)</w:t>
            </w:r>
          </w:p>
        </w:tc>
        <w:tc>
          <w:tcPr>
            <w:tcW w:w="800" w:type="dxa"/>
            <w:vAlign w:val="bottom"/>
          </w:tcPr>
          <w:p>
            <w:pPr>
              <w:spacing w:after="0"/>
              <w:rPr>
                <w:sz w:val="12"/>
                <w:szCs w:val="12"/>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1,665</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1,665</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shd w:val="clear" w:color="auto" w:fill="CCEEFF"/>
          </w:tcPr>
          <w:p>
            <w:pPr>
              <w:spacing w:after="0" w:line="144" w:lineRule="exact"/>
              <w:rPr>
                <w:sz w:val="20"/>
                <w:szCs w:val="20"/>
                <w:color w:val="auto"/>
              </w:rPr>
            </w:pPr>
            <w:r>
              <w:rPr>
                <w:rFonts w:ascii="Arial" w:cs="Arial" w:eastAsia="Arial" w:hAnsi="Arial"/>
                <w:sz w:val="10"/>
                <w:szCs w:val="10"/>
                <w:color w:val="auto"/>
              </w:rPr>
              <w:t xml:space="preserve">LCP Group, L.P. </w:t>
            </w:r>
            <w:r>
              <w:rPr>
                <w:rFonts w:ascii="Arial" w:cs="Arial" w:eastAsia="Arial" w:hAnsi="Arial"/>
                <w:sz w:val="16"/>
                <w:szCs w:val="16"/>
                <w:color w:val="auto"/>
                <w:vertAlign w:val="superscript"/>
              </w:rPr>
              <w:t>(9)</w:t>
            </w:r>
          </w:p>
        </w:tc>
        <w:tc>
          <w:tcPr>
            <w:tcW w:w="80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14,184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LeRoy Robinson</w:t>
            </w:r>
            <w:r>
              <w:rPr>
                <w:rFonts w:ascii="Arial" w:cs="Arial" w:eastAsia="Arial" w:hAnsi="Arial"/>
                <w:sz w:val="16"/>
                <w:szCs w:val="16"/>
                <w:color w:val="auto"/>
                <w:vertAlign w:val="superscript"/>
              </w:rPr>
              <w:t>(10)</w:t>
            </w: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1,510</w:t>
            </w:r>
          </w:p>
        </w:tc>
        <w:tc>
          <w:tcPr>
            <w:tcW w:w="880" w:type="dxa"/>
            <w:vAlign w:val="bottom"/>
          </w:tcPr>
          <w:p>
            <w:pPr>
              <w:spacing w:after="0"/>
              <w:rPr>
                <w:sz w:val="12"/>
                <w:szCs w:val="1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1,665</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3,175</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shd w:val="clear" w:color="auto" w:fill="CCEEFF"/>
          </w:tcPr>
          <w:p>
            <w:pPr>
              <w:spacing w:after="0" w:line="144" w:lineRule="exact"/>
              <w:rPr>
                <w:sz w:val="20"/>
                <w:szCs w:val="20"/>
                <w:color w:val="auto"/>
              </w:rPr>
            </w:pPr>
            <w:r>
              <w:rPr>
                <w:rFonts w:ascii="Arial" w:cs="Arial" w:eastAsia="Arial" w:hAnsi="Arial"/>
                <w:sz w:val="10"/>
                <w:szCs w:val="10"/>
                <w:color w:val="auto"/>
              </w:rPr>
              <w:t>M&amp;S Investment Group, LLC</w:t>
            </w:r>
            <w:r>
              <w:rPr>
                <w:rFonts w:ascii="Arial" w:cs="Arial" w:eastAsia="Arial" w:hAnsi="Arial"/>
                <w:sz w:val="16"/>
                <w:szCs w:val="16"/>
                <w:color w:val="auto"/>
                <w:vertAlign w:val="superscript"/>
              </w:rPr>
              <w:t>(11)</w:t>
            </w:r>
          </w:p>
        </w:tc>
        <w:tc>
          <w:tcPr>
            <w:tcW w:w="80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7,092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7,092</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spacing w:after="0" w:line="144" w:lineRule="exact"/>
              <w:rPr>
                <w:sz w:val="20"/>
                <w:szCs w:val="20"/>
                <w:color w:val="auto"/>
              </w:rPr>
            </w:pPr>
            <w:r>
              <w:rPr>
                <w:rFonts w:ascii="Arial" w:cs="Arial" w:eastAsia="Arial" w:hAnsi="Arial"/>
                <w:sz w:val="10"/>
                <w:szCs w:val="10"/>
                <w:color w:val="auto"/>
              </w:rPr>
              <w:t>MembersRSVP, LLC</w:t>
            </w:r>
            <w:r>
              <w:rPr>
                <w:rFonts w:ascii="Arial" w:cs="Arial" w:eastAsia="Arial" w:hAnsi="Arial"/>
                <w:sz w:val="16"/>
                <w:szCs w:val="16"/>
                <w:color w:val="auto"/>
                <w:vertAlign w:val="superscript"/>
              </w:rPr>
              <w:t>(12)</w:t>
            </w:r>
          </w:p>
        </w:tc>
        <w:tc>
          <w:tcPr>
            <w:tcW w:w="800" w:type="dxa"/>
            <w:vAlign w:val="bottom"/>
          </w:tcPr>
          <w:p>
            <w:pPr>
              <w:spacing w:after="0"/>
              <w:rPr>
                <w:sz w:val="12"/>
                <w:szCs w:val="12"/>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1,244,258</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1,244,258</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4640" w:type="dxa"/>
            <w:vAlign w:val="bottom"/>
            <w:gridSpan w:val="3"/>
            <w:shd w:val="clear" w:color="auto" w:fill="CCEEFF"/>
          </w:tcPr>
          <w:p>
            <w:pPr>
              <w:spacing w:after="0" w:line="144" w:lineRule="exact"/>
              <w:rPr>
                <w:sz w:val="20"/>
                <w:szCs w:val="20"/>
                <w:color w:val="auto"/>
              </w:rPr>
            </w:pPr>
            <w:r>
              <w:rPr>
                <w:rFonts w:ascii="Arial" w:cs="Arial" w:eastAsia="Arial" w:hAnsi="Arial"/>
                <w:sz w:val="10"/>
                <w:szCs w:val="10"/>
                <w:color w:val="auto"/>
              </w:rPr>
              <w:t>Michael Schlaefer</w:t>
            </w:r>
            <w:r>
              <w:rPr>
                <w:rFonts w:ascii="Arial" w:cs="Arial" w:eastAsia="Arial" w:hAnsi="Arial"/>
                <w:sz w:val="16"/>
                <w:szCs w:val="16"/>
                <w:color w:val="auto"/>
                <w:vertAlign w:val="superscript"/>
              </w:rPr>
              <w:t>(13)</w:t>
            </w:r>
          </w:p>
        </w:tc>
        <w:tc>
          <w:tcPr>
            <w:tcW w:w="80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1,665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1,665</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1"/>
        </w:trPr>
        <w:tc>
          <w:tcPr>
            <w:tcW w:w="4640" w:type="dxa"/>
            <w:vAlign w:val="bottom"/>
            <w:gridSpan w:val="3"/>
          </w:tcPr>
          <w:p>
            <w:pPr>
              <w:spacing w:after="0"/>
              <w:rPr>
                <w:sz w:val="20"/>
                <w:szCs w:val="20"/>
                <w:color w:val="auto"/>
              </w:rPr>
            </w:pPr>
            <w:r>
              <w:rPr>
                <w:rFonts w:ascii="Arial" w:cs="Arial" w:eastAsia="Arial" w:hAnsi="Arial"/>
                <w:sz w:val="12"/>
                <w:szCs w:val="12"/>
                <w:color w:val="auto"/>
              </w:rPr>
              <w:t>Yael Morris</w:t>
            </w:r>
            <w:r>
              <w:rPr>
                <w:rFonts w:ascii="Arial" w:cs="Arial" w:eastAsia="Arial" w:hAnsi="Arial"/>
                <w:sz w:val="19"/>
                <w:szCs w:val="19"/>
                <w:color w:val="auto"/>
                <w:vertAlign w:val="superscript"/>
              </w:rPr>
              <w:t>(14)</w:t>
            </w:r>
          </w:p>
        </w:tc>
        <w:tc>
          <w:tcPr>
            <w:tcW w:w="800" w:type="dxa"/>
            <w:vAlign w:val="bottom"/>
          </w:tcPr>
          <w:p>
            <w:pPr>
              <w:spacing w:after="0"/>
              <w:rPr>
                <w:sz w:val="22"/>
                <w:szCs w:val="22"/>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6,662</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6,662</w:t>
            </w:r>
          </w:p>
        </w:tc>
        <w:tc>
          <w:tcPr>
            <w:tcW w:w="3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79451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160" w:lineRule="exact"/>
        <w:rPr>
          <w:sz w:val="20"/>
          <w:szCs w:val="20"/>
          <w:color w:val="auto"/>
        </w:rPr>
      </w:pPr>
    </w:p>
    <w:p>
      <w:pPr>
        <w:ind w:left="8"/>
        <w:spacing w:after="0"/>
        <w:rPr>
          <w:sz w:val="20"/>
          <w:szCs w:val="20"/>
          <w:color w:val="auto"/>
        </w:rPr>
      </w:pPr>
      <w:r>
        <w:rPr>
          <w:rFonts w:ascii="Arial" w:cs="Arial" w:eastAsia="Arial" w:hAnsi="Arial"/>
          <w:sz w:val="12"/>
          <w:szCs w:val="12"/>
          <w:color w:val="auto"/>
        </w:rPr>
        <w:t>* Denotes less than one percent.</w:t>
      </w:r>
    </w:p>
    <w:p>
      <w:pPr>
        <w:spacing w:after="0" w:line="150" w:lineRule="exact"/>
        <w:rPr>
          <w:sz w:val="20"/>
          <w:szCs w:val="20"/>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Each of Andrew Astrove and Ellen Astrove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Ashwin Surajbali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Bradley Nathan Albert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Diane Roskind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Keith E. Morris is deemed to have power to vote or dispose of the Registrable Securities. Keith E. Morris is our Vice President.</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Farzin Arsanjani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Ian Cohen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Jennifer Goldman-Brisman is deemed to have power to vote or dispose of the Registrable Securities.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E. Robert Roskind, in his capacity as Founder and Chairman of LCP Group, L.P., is deemed to have investment discretion and voting power over the Registrable Securities held by LCP Group, L.P.</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51"/>
        </w:numPr>
        <w:rPr>
          <w:rFonts w:ascii="Arial" w:cs="Arial" w:eastAsia="Arial" w:hAnsi="Arial"/>
          <w:sz w:val="11"/>
          <w:szCs w:val="11"/>
          <w:color w:val="auto"/>
        </w:rPr>
      </w:pPr>
      <w:r>
        <w:rPr>
          <w:rFonts w:ascii="Arial" w:cs="Arial" w:eastAsia="Arial" w:hAnsi="Arial"/>
          <w:sz w:val="11"/>
          <w:szCs w:val="11"/>
          <w:color w:val="auto"/>
        </w:rPr>
        <w:t>LeRoy Robinson is deemed to have power to vote or dispose of the Registrable Securities.</w:t>
      </w:r>
    </w:p>
    <w:p>
      <w:pPr>
        <w:spacing w:after="0" w:line="161" w:lineRule="exact"/>
        <w:rPr>
          <w:rFonts w:ascii="Arial" w:cs="Arial" w:eastAsia="Arial" w:hAnsi="Arial"/>
          <w:sz w:val="11"/>
          <w:szCs w:val="11"/>
          <w:color w:val="auto"/>
        </w:rPr>
      </w:pPr>
    </w:p>
    <w:p>
      <w:pPr>
        <w:ind w:left="208" w:hanging="208"/>
        <w:spacing w:after="0" w:line="323" w:lineRule="auto"/>
        <w:tabs>
          <w:tab w:leader="none" w:pos="208" w:val="left"/>
        </w:tabs>
        <w:numPr>
          <w:ilvl w:val="0"/>
          <w:numId w:val="51"/>
        </w:numPr>
        <w:rPr>
          <w:rFonts w:ascii="Arial" w:cs="Arial" w:eastAsia="Arial" w:hAnsi="Arial"/>
          <w:sz w:val="11"/>
          <w:szCs w:val="11"/>
          <w:color w:val="auto"/>
        </w:rPr>
      </w:pPr>
      <w:r>
        <w:rPr>
          <w:rFonts w:ascii="Arial" w:cs="Arial" w:eastAsia="Arial" w:hAnsi="Arial"/>
          <w:sz w:val="11"/>
          <w:szCs w:val="11"/>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spacing w:after="0" w:line="91" w:lineRule="exact"/>
        <w:rPr>
          <w:rFonts w:ascii="Arial" w:cs="Arial" w:eastAsia="Arial" w:hAnsi="Arial"/>
          <w:sz w:val="11"/>
          <w:szCs w:val="11"/>
          <w:color w:val="auto"/>
        </w:rPr>
      </w:pPr>
    </w:p>
    <w:p>
      <w:pPr>
        <w:ind w:left="208" w:hanging="208"/>
        <w:spacing w:after="0" w:line="323" w:lineRule="auto"/>
        <w:tabs>
          <w:tab w:leader="none" w:pos="208" w:val="left"/>
        </w:tabs>
        <w:numPr>
          <w:ilvl w:val="0"/>
          <w:numId w:val="51"/>
        </w:numPr>
        <w:rPr>
          <w:rFonts w:ascii="Arial" w:cs="Arial" w:eastAsia="Arial" w:hAnsi="Arial"/>
          <w:sz w:val="11"/>
          <w:szCs w:val="11"/>
          <w:color w:val="auto"/>
        </w:rPr>
      </w:pPr>
      <w:r>
        <w:rPr>
          <w:rFonts w:ascii="Arial" w:cs="Arial" w:eastAsia="Arial" w:hAnsi="Arial"/>
          <w:sz w:val="11"/>
          <w:szCs w:val="11"/>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91" w:lineRule="exact"/>
        <w:rPr>
          <w:rFonts w:ascii="Arial" w:cs="Arial" w:eastAsia="Arial" w:hAnsi="Arial"/>
          <w:sz w:val="11"/>
          <w:szCs w:val="11"/>
          <w:color w:val="auto"/>
        </w:rPr>
      </w:pPr>
    </w:p>
    <w:p>
      <w:pPr>
        <w:ind w:left="208" w:hanging="208"/>
        <w:spacing w:after="0"/>
        <w:tabs>
          <w:tab w:leader="none" w:pos="208" w:val="left"/>
        </w:tabs>
        <w:numPr>
          <w:ilvl w:val="0"/>
          <w:numId w:val="51"/>
        </w:numPr>
        <w:rPr>
          <w:rFonts w:ascii="Arial" w:cs="Arial" w:eastAsia="Arial" w:hAnsi="Arial"/>
          <w:sz w:val="11"/>
          <w:szCs w:val="11"/>
          <w:color w:val="auto"/>
        </w:rPr>
      </w:pPr>
      <w:r>
        <w:rPr>
          <w:rFonts w:ascii="Arial" w:cs="Arial" w:eastAsia="Arial" w:hAnsi="Arial"/>
          <w:sz w:val="11"/>
          <w:szCs w:val="11"/>
          <w:color w:val="auto"/>
        </w:rPr>
        <w:t>Michael Schlaefer is deemed to have power to vote or dispose of the Registrable Securities.</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51"/>
        </w:numPr>
        <w:rPr>
          <w:rFonts w:ascii="Arial" w:cs="Arial" w:eastAsia="Arial" w:hAnsi="Arial"/>
          <w:sz w:val="11"/>
          <w:szCs w:val="11"/>
          <w:color w:val="auto"/>
        </w:rPr>
      </w:pPr>
      <w:r>
        <w:rPr>
          <w:rFonts w:ascii="Arial" w:cs="Arial" w:eastAsia="Arial" w:hAnsi="Arial"/>
          <w:sz w:val="11"/>
          <w:szCs w:val="11"/>
          <w:color w:val="auto"/>
        </w:rPr>
        <w:t>Yael Morris is deemed to have power to vote or dispose of the Registrable Securities.</w:t>
      </w: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5" w:right="299" w:bottom="1440" w:gutter="0" w:footer="0" w:header="0"/>
        </w:sectPr>
      </w:pPr>
    </w:p>
    <w:bookmarkStart w:id="118" w:name="page119"/>
    <w:bookmarkEnd w:id="11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SECURITIES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and Outstanding Stock</w:t>
      </w:r>
    </w:p>
    <w:p>
      <w:pPr>
        <w:spacing w:after="0" w:line="15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November 24, 2021, there were (1) 65,677,361 shares of Class A Common Stock, (2) 65,502,347 shares of Class V Common Stock and no shares of preferred stock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A 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Voting Rights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Dividend Rights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Rights upon Liquidation, Dissolution and Winding-Up</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Preemptive or Other Rights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19" w:name="page120"/>
    <w:bookmarkEnd w:id="11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Class V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holders of the Class V Common Stock will not participate in any dividends declared by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Rights upon Liquidation, Dissolution and Winding-Up</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the event of any voluntary or involuntary liquidation, dissolution or winding up of our affairs, the holders of Class V Common Stock are not entitled to receive any of our assets.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Preemptive or Other Rights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holders of shares of Class V Common Stock do not have preemptive, subscription, redemption or conversion rights. There will be no redemption or sinking fund provisions applicable to the Class V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and Retirement of Class V Common Stock</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Preferred Stock</w:t>
      </w:r>
    </w:p>
    <w:p>
      <w:pPr>
        <w:spacing w:after="0" w:line="150"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0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0" w:name="page121"/>
    <w:bookmarkEnd w:id="12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Public Warrants</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11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13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may redeem the Public Warrants for redemption:</w:t>
      </w:r>
    </w:p>
    <w:p>
      <w:pPr>
        <w:spacing w:after="0" w:line="150"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 whole and not in part;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at a price of $0.01 per Public Warrant;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upon not less than 30 days’ prior written notice of redemption to each holder of Public Warrants; and</w:t>
      </w:r>
    </w:p>
    <w:p>
      <w:pPr>
        <w:spacing w:after="0" w:line="150" w:lineRule="exact"/>
        <w:rPr>
          <w:rFonts w:ascii="Arial" w:cs="Arial" w:eastAsia="Arial" w:hAnsi="Arial"/>
          <w:sz w:val="12"/>
          <w:szCs w:val="12"/>
          <w:color w:val="auto"/>
        </w:rPr>
      </w:pPr>
    </w:p>
    <w:p>
      <w:pPr>
        <w:ind w:left="420" w:hanging="212"/>
        <w:spacing w:after="0" w:line="323" w:lineRule="auto"/>
        <w:tabs>
          <w:tab w:leader="none" w:pos="4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If and when the Public Warrants become redeemable by us, we may exercise our redemption right even if we are unable to register or qualify the underlying securities for sale under all applicable state securities laws.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1" w:name="page122"/>
    <w:bookmarkEnd w:id="12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If the foregoing conditions are satisfied and we issue a notice of redemption of the Public Warrants, each holder of Public Warrants will be entitled to exercise his, her or its Public Warrant prior to the scheduled redemption date.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However, the price of the shares of Class A Common Stock may fall below the $18.00 redemption trigger price as well as the $11.50 Public Warrant exercise price after the redemption notice is issued.</w:t>
      </w:r>
    </w:p>
    <w:p>
      <w:pPr>
        <w:spacing w:after="0" w:line="141"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11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12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2"/>
          <w:szCs w:val="12"/>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1"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2" w:name="page123"/>
    <w:bookmarkEnd w:id="12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22"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19"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Private Placement Warrants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3" w:name="page124"/>
    <w:bookmarkEnd w:id="123"/>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Lock-Up Restrictions</w:t>
      </w:r>
    </w:p>
    <w:p>
      <w:pPr>
        <w:spacing w:after="0" w:line="154" w:lineRule="exact"/>
        <w:rPr>
          <w:sz w:val="20"/>
          <w:szCs w:val="20"/>
          <w:color w:val="auto"/>
        </w:rPr>
      </w:pPr>
    </w:p>
    <w:p>
      <w:pPr>
        <w:jc w:val="both"/>
        <w:ind w:left="8" w:firstLine="216"/>
        <w:spacing w:after="0" w:line="281" w:lineRule="auto"/>
        <w:rPr>
          <w:sz w:val="20"/>
          <w:szCs w:val="20"/>
          <w:color w:val="auto"/>
        </w:rPr>
      </w:pPr>
      <w:r>
        <w:rPr>
          <w:rFonts w:ascii="Arial" w:cs="Arial" w:eastAsia="Arial" w:hAnsi="Arial"/>
          <w:sz w:val="11"/>
          <w:szCs w:val="11"/>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Unit holders are contractually restricted from selling or transferring any of their respective shares of common stock until 180 days after completion of the Business Combination. See the section entitled “Certain Relationships and Related Party Transactions” for lock-up restrictions on our securities under the Exchange Agreement.</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Certain Anti-Takeover Provisions of Delaware Law</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Special Meetings of Stockholders</w:t>
      </w:r>
    </w:p>
    <w:p>
      <w:pPr>
        <w:spacing w:after="0" w:line="150" w:lineRule="exact"/>
        <w:rPr>
          <w:sz w:val="20"/>
          <w:szCs w:val="20"/>
          <w:color w:val="auto"/>
        </w:rPr>
      </w:pPr>
    </w:p>
    <w:p>
      <w:pPr>
        <w:jc w:val="both"/>
        <w:ind w:left="8" w:firstLine="216"/>
        <w:spacing w:after="0" w:line="281" w:lineRule="auto"/>
        <w:rPr>
          <w:sz w:val="20"/>
          <w:szCs w:val="20"/>
          <w:color w:val="auto"/>
        </w:rPr>
      </w:pPr>
      <w:r>
        <w:rPr>
          <w:rFonts w:ascii="Arial" w:cs="Arial" w:eastAsia="Arial" w:hAnsi="Arial"/>
          <w:sz w:val="11"/>
          <w:szCs w:val="11"/>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w:t>
      </w:r>
    </w:p>
    <w:p>
      <w:pPr>
        <w:spacing w:after="0" w:line="1" w:lineRule="exact"/>
        <w:rPr>
          <w:sz w:val="20"/>
          <w:szCs w:val="20"/>
          <w:color w:val="auto"/>
        </w:rPr>
      </w:pPr>
    </w:p>
    <w:p>
      <w:pPr>
        <w:ind w:left="8" w:right="20" w:hanging="8"/>
        <w:spacing w:after="0" w:line="260" w:lineRule="auto"/>
        <w:tabs>
          <w:tab w:leader="none" w:pos="225"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4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124" w:name="page125"/>
    <w:bookmarkEnd w:id="12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Advance Notice Requirements for Stockholder Proposals and Director Nominations</w:t>
      </w:r>
    </w:p>
    <w:p>
      <w:pPr>
        <w:spacing w:after="0" w:line="150" w:lineRule="exact"/>
        <w:rPr>
          <w:sz w:val="20"/>
          <w:szCs w:val="20"/>
          <w:color w:val="auto"/>
        </w:rPr>
      </w:pPr>
    </w:p>
    <w:p>
      <w:pPr>
        <w:jc w:val="both"/>
        <w:ind w:firstLine="216"/>
        <w:spacing w:after="0" w:line="202" w:lineRule="auto"/>
        <w:rPr>
          <w:sz w:val="20"/>
          <w:szCs w:val="20"/>
          <w:color w:val="auto"/>
        </w:rPr>
      </w:pPr>
      <w:r>
        <w:rPr>
          <w:rFonts w:ascii="Arial" w:cs="Arial" w:eastAsia="Arial" w:hAnsi="Arial"/>
          <w:sz w:val="11"/>
          <w:szCs w:val="11"/>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day nor earlier than the open of business on the 120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day prior to such annual meeting and no later than the close of business on the latter of the 90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day prior to such annual meeting or the 10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Authorized but Unissued Shares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Exclusive Forum Selection</w:t>
      </w:r>
    </w:p>
    <w:p>
      <w:pPr>
        <w:spacing w:after="0" w:line="15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Section 203 of the Delaware General Corporation Law</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do not opt out of Section 203 of the DGCL under our Certificate of Incorporation.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Limitation on Liability and Indemnification of Directors and Officers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5" w:name="page126"/>
    <w:bookmarkEnd w:id="12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15" w:lineRule="exact"/>
        <w:rPr>
          <w:sz w:val="20"/>
          <w:szCs w:val="20"/>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for any transaction from which the director derives an improper personal benefit;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for any act or omission not in good faith or that involves intentional misconduct or a knowing violation of law;</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for any unlawful payment of dividends or redemption of shares; or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for any breach of a director’s duty of loyalty to the corporation or its stockholders.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15"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9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Rule 144 is not available for the resale of securities initially issued by shell companies (other than business combination related shell companies) or issuers that have been at any time previously a shell company, such as the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Company. However, Rule 144 also includes an important exception to this prohibition if the following conditions are met:</w:t>
      </w:r>
    </w:p>
    <w:p>
      <w:pPr>
        <w:spacing w:after="0" w:line="141" w:lineRule="exact"/>
        <w:rPr>
          <w:sz w:val="20"/>
          <w:szCs w:val="20"/>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issuer of the securities that was formerly a shell company has ceased to be a shell company;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issuer of the securities is subject to the reporting requirements of Section 13 or 15(d) of the Exchange Act;</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at least one year has elapsed from the time that the issuer filed current Form 10 type information with the SEC reflecting its status as an entity that is not a shell company.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Upon the Closing, we ceased to be a shell company.</w:t>
      </w:r>
    </w:p>
    <w:p>
      <w:pPr>
        <w:spacing w:after="0" w:line="150"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6" w:name="page127"/>
    <w:bookmarkEnd w:id="12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5" w:lineRule="exact"/>
        <w:rPr>
          <w:sz w:val="20"/>
          <w:szCs w:val="20"/>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one percent (1%) of the total number of shares of Class A Common Stock then outstanding; or</w:t>
      </w:r>
    </w:p>
    <w:p>
      <w:pPr>
        <w:spacing w:after="0" w:line="150" w:lineRule="exact"/>
        <w:rPr>
          <w:rFonts w:ascii="Arial" w:cs="Arial" w:eastAsia="Arial" w:hAnsi="Arial"/>
          <w:sz w:val="12"/>
          <w:szCs w:val="12"/>
          <w:color w:val="auto"/>
        </w:rPr>
      </w:pPr>
    </w:p>
    <w:p>
      <w:pPr>
        <w:ind w:left="200" w:right="2440" w:firstLine="8"/>
        <w:spacing w:after="0" w:line="542" w:lineRule="auto"/>
        <w:tabs>
          <w:tab w:leader="none" w:pos="416"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average weekly reported trading volume of the Class A Common Stock during the four calendar weeks preceding the filing of a notice on Form 144 with respect to the sale. Sales by our affiliates under Rule 144 will also be limited by manner of sale provisions and notice requirements and to the availability of current public information about us.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Warrant Agent and Registrar</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transfer agent, warrant agent and registrar for our Class A Common Stock, Class V Common Stock and Warrants is Continental Stock Transfer &amp; Trust Company.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 of Securities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Class A Common Stock and Public Warrants are listed on Nasdaq under the symbols “MAPS” and “MAPW,” respectively.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7" w:name="page128"/>
    <w:bookmarkEnd w:id="12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MATERIAL UNITED STATES FEDERAL INCOME TAX CONSEQUENCES</w:t>
      </w:r>
    </w:p>
    <w:p>
      <w:pPr>
        <w:spacing w:after="0" w:line="154" w:lineRule="exact"/>
        <w:rPr>
          <w:sz w:val="20"/>
          <w:szCs w:val="20"/>
          <w:color w:val="auto"/>
        </w:rPr>
      </w:pPr>
    </w:p>
    <w:p>
      <w:pPr>
        <w:jc w:val="both"/>
        <w:ind w:firstLine="216"/>
        <w:spacing w:after="0" w:line="379" w:lineRule="auto"/>
        <w:rPr>
          <w:sz w:val="20"/>
          <w:szCs w:val="20"/>
          <w:color w:val="auto"/>
        </w:rPr>
      </w:pPr>
      <w:r>
        <w:rPr>
          <w:rFonts w:ascii="Arial" w:cs="Arial" w:eastAsia="Arial" w:hAnsi="Arial"/>
          <w:sz w:val="10"/>
          <w:szCs w:val="10"/>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118"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115" w:lineRule="exact"/>
        <w:rPr>
          <w:sz w:val="20"/>
          <w:szCs w:val="20"/>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 individual who is a citizen or resident of the United States;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7"/>
        </w:numPr>
        <w:rPr>
          <w:rFonts w:ascii="Arial" w:cs="Arial" w:eastAsia="Arial" w:hAnsi="Arial"/>
          <w:sz w:val="11"/>
          <w:szCs w:val="11"/>
          <w:color w:val="auto"/>
        </w:rPr>
      </w:pPr>
      <w:r>
        <w:rPr>
          <w:rFonts w:ascii="Arial" w:cs="Arial" w:eastAsia="Arial" w:hAnsi="Arial"/>
          <w:sz w:val="11"/>
          <w:szCs w:val="11"/>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 regardless of its source; or</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8" w:name="page129"/>
    <w:bookmarkEnd w:id="12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Considerations Applicable to U.S. Holders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Taxation of Distributions</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128"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or Loss on Sale, Taxable Exchange or Other Taxable Disposition of Class A Common Stock</w:t>
      </w:r>
    </w:p>
    <w:p>
      <w:pPr>
        <w:spacing w:after="0" w:line="15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Information Reporting and Backup Withholding.</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122"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9" w:name="page130"/>
    <w:bookmarkEnd w:id="12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Considerations Applicable to Non-U.S. Holders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Taxation of Distributions</w:t>
      </w:r>
    </w:p>
    <w:p>
      <w:pPr>
        <w:spacing w:after="0" w:line="150"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 Gain on Sale, Exchange or Other Taxable Disposition of Class A Common Stock” below), we will withhold 15% of any distribution that exceeds our current and accumulated earnings and profits.</w:t>
      </w:r>
    </w:p>
    <w:p>
      <w:pPr>
        <w:spacing w:after="0" w:line="117"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 on Sale, Exchange or Other Taxable Disposition of Class A Common Stock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 non-U.S. Holder generally will not be subject to U.S. federal income or withholding tax in respect of gain recognized on a sale, taxable exchange or other taxable disposition of our Class A Common Stock, unless:</w:t>
      </w:r>
    </w:p>
    <w:p>
      <w:pPr>
        <w:spacing w:after="0" w:line="162" w:lineRule="exact"/>
        <w:rPr>
          <w:sz w:val="20"/>
          <w:szCs w:val="20"/>
          <w:color w:val="auto"/>
        </w:rPr>
      </w:pPr>
    </w:p>
    <w:p>
      <w:pPr>
        <w:ind w:left="420" w:right="20" w:hanging="212"/>
        <w:spacing w:after="0" w:line="276" w:lineRule="auto"/>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non-U.S. Holder is an individual who is present in the United States for 183 days or more in the taxable year of disposition and certain other conditions are met; or</w:t>
      </w:r>
    </w:p>
    <w:p>
      <w:pPr>
        <w:spacing w:after="0" w:line="150" w:lineRule="exact"/>
        <w:rPr>
          <w:rFonts w:ascii="Arial" w:cs="Arial" w:eastAsia="Arial" w:hAnsi="Arial"/>
          <w:sz w:val="12"/>
          <w:szCs w:val="12"/>
          <w:color w:val="auto"/>
        </w:rPr>
      </w:pPr>
    </w:p>
    <w:p>
      <w:pPr>
        <w:jc w:val="both"/>
        <w:ind w:left="420" w:hanging="212"/>
        <w:spacing w:after="0" w:line="289" w:lineRule="auto"/>
        <w:tabs>
          <w:tab w:leader="none" w:pos="4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0" w:name="page131"/>
    <w:bookmarkEnd w:id="13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Gain described in the first bullet point above will be subject to tax at generally applicable U.S. federal income tax rates as if the non-U.S. Holder were a U.S. resident. Any gains described in the first bullet point above of a non-U.S.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Holder that is a foreign corporation may also be subject to an additional “branch profits tax” at a 30% rate (or lower applicable treaty rate). Gain described in the second bullet point above will generally be subject to a flat 30% U.S.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federal income tax. Non-U.S. Holders are urged to consult their tax advisors regarding possible eligibility for benefits under income tax treaties.</w:t>
      </w:r>
    </w:p>
    <w:p>
      <w:pPr>
        <w:spacing w:after="0" w:line="141"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Account Tax Compliance Act</w:t>
      </w:r>
    </w:p>
    <w:p>
      <w:pPr>
        <w:spacing w:after="0" w:line="154"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Reporting and Backup Withholding.</w:t>
      </w:r>
    </w:p>
    <w:p>
      <w:pPr>
        <w:spacing w:after="0" w:line="15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1" w:name="page132"/>
    <w:bookmarkEnd w:id="13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5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11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Selling Securityholders may sell their securities by one or more of, or a combination of, the following methods:</w:t>
      </w:r>
    </w:p>
    <w:p>
      <w:pPr>
        <w:spacing w:after="0" w:line="150" w:lineRule="exact"/>
        <w:rPr>
          <w:sz w:val="20"/>
          <w:szCs w:val="20"/>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purchases by a broker-dealer as principal and resale by such broker-dealer for its own account pursuant to this prospectus;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ordinary brokerage transactions and transactions in which the broker solicits purchasers;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block trades in which the broker-dealer so engaged will attempt to sell the shares as agent but may position and resell a portion of the block as principal to facilitate the transaction;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an over-the-counter distribution in accordance with the rules of Nasdaq;</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short sales;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distribution to employees, members, limited partners or stockholders of the Selling Securityholders;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through the writing or settlement of options or other hedging transaction, whether through an options exchange or otherwise;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by pledge to secured debts and other obligations;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delayed delivery arrangements;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to or through underwriters or broker-dealers;</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2" w:name="page133"/>
    <w:bookmarkEnd w:id="13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privately negotiated transactions;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options transactions;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through a combination of any of the above methods of sale; or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any other method permitted pursuant to applicable law.</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162"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15"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9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3" w:name="page134"/>
    <w:bookmarkEnd w:id="13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validity of any securities offered by this prospectus will be passed upon for us by Cooley LLP.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consolidated financial statements of WMH LLC as of December 31, 2020 and 2019 and for each of the years in periods ended December 31,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4" w:name="page135"/>
    <w:bookmarkEnd w:id="13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2"/>
          <w:szCs w:val="12"/>
          <w:i w:val="1"/>
          <w:iCs w:val="1"/>
          <w:color w:val="auto"/>
        </w:rPr>
        <w:t>http://www.sec.gov</w:t>
      </w:r>
      <w:r>
        <w:rPr>
          <w:rFonts w:ascii="Arial" w:cs="Arial" w:eastAsia="Arial" w:hAnsi="Arial"/>
          <w:sz w:val="12"/>
          <w:szCs w:val="12"/>
          <w:color w:val="auto"/>
        </w:rPr>
        <w:t>.</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Our website address is </w:t>
      </w:r>
      <w:r>
        <w:rPr>
          <w:rFonts w:ascii="Arial" w:cs="Arial" w:eastAsia="Arial" w:hAnsi="Arial"/>
          <w:sz w:val="12"/>
          <w:szCs w:val="12"/>
          <w:i w:val="1"/>
          <w:iCs w:val="1"/>
          <w:color w:val="auto"/>
        </w:rPr>
        <w:t>www.weedmaps.com</w:t>
      </w:r>
      <w:r>
        <w:rPr>
          <w:rFonts w:ascii="Arial" w:cs="Arial" w:eastAsia="Arial" w:hAnsi="Arial"/>
          <w:sz w:val="12"/>
          <w:szCs w:val="12"/>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15"/>
        </w:trPr>
        <w:tc>
          <w:tcPr>
            <w:tcW w:w="10180" w:type="dxa"/>
            <w:vAlign w:val="bottom"/>
            <w:gridSpan w:val="13"/>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60" w:type="dxa"/>
            <w:vAlign w:val="bottom"/>
            <w:tcBorders>
              <w:top w:val="single" w:sz="8" w:color="0000EE"/>
            </w:tcBorders>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40" w:type="dxa"/>
            <w:vAlign w:val="bottom"/>
          </w:tcPr>
          <w:p>
            <w:pPr>
              <w:jc w:val="center"/>
              <w:ind w:right="1986"/>
              <w:spacing w:after="0"/>
              <w:rPr>
                <w:sz w:val="20"/>
                <w:szCs w:val="20"/>
                <w:color w:val="auto"/>
              </w:rPr>
            </w:pPr>
            <w:r>
              <w:rPr>
                <w:rFonts w:ascii="Arial" w:cs="Arial" w:eastAsia="Arial" w:hAnsi="Arial"/>
                <w:sz w:val="12"/>
                <w:szCs w:val="12"/>
                <w:b w:val="1"/>
                <w:bCs w:val="1"/>
                <w:color w:val="auto"/>
              </w:rPr>
              <w:t>INDEX TO FINANCIAL STATEMENTS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140" w:type="dxa"/>
            <w:vAlign w:val="bottom"/>
            <w:gridSpan w:val="2"/>
          </w:tcPr>
          <w:p>
            <w:pPr>
              <w:ind w:left="44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1018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2"/>
                <w:szCs w:val="12"/>
                <w:b w:val="1"/>
                <w:bCs w:val="1"/>
                <w:color w:val="auto"/>
              </w:rPr>
              <w:t>WM HOLDING COMPANY, LLC</w:t>
            </w: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180" w:type="dxa"/>
            <w:vAlign w:val="bottom"/>
            <w:gridSpan w:val="13"/>
          </w:tcPr>
          <w:p>
            <w:pPr>
              <w:spacing w:after="0"/>
              <w:rPr>
                <w:sz w:val="20"/>
                <w:szCs w:val="20"/>
                <w:color w:val="auto"/>
              </w:rPr>
            </w:pPr>
            <w:r>
              <w:rPr>
                <w:rFonts w:ascii="Arial" w:cs="Arial" w:eastAsia="Arial" w:hAnsi="Arial"/>
                <w:sz w:val="12"/>
                <w:szCs w:val="12"/>
                <w:b w:val="1"/>
                <w:bCs w:val="1"/>
                <w:color w:val="auto"/>
              </w:rPr>
              <w:t>Audited Financial Statements of WM Holding Company, LLC</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180" w:type="dxa"/>
            <w:vAlign w:val="bottom"/>
            <w:gridSpan w:val="13"/>
            <w:shd w:val="clear" w:color="auto" w:fill="CCEEFF"/>
          </w:tcPr>
          <w:p>
            <w:pPr>
              <w:spacing w:after="0" w:line="117" w:lineRule="exact"/>
              <w:rPr>
                <w:rFonts w:ascii="Arial" w:cs="Arial" w:eastAsia="Arial" w:hAnsi="Arial"/>
                <w:sz w:val="12"/>
                <w:szCs w:val="12"/>
                <w:color w:val="0000EE"/>
              </w:rPr>
            </w:pPr>
            <w:hyperlink w:anchor="page137">
              <w:r>
                <w:rPr>
                  <w:rFonts w:ascii="Arial" w:cs="Arial" w:eastAsia="Arial" w:hAnsi="Arial"/>
                  <w:sz w:val="12"/>
                  <w:szCs w:val="12"/>
                  <w:color w:val="0000EE"/>
                </w:rPr>
                <w:t>Report of Independent Registered Public Accounting Firm</w:t>
              </w:r>
            </w:hyperlink>
          </w:p>
        </w:tc>
        <w:tc>
          <w:tcPr>
            <w:tcW w:w="112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F-2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00" w:type="dxa"/>
            <w:vAlign w:val="bottom"/>
            <w:tcBorders>
              <w:top w:val="single" w:sz="8" w:color="0000EE"/>
            </w:tcBorders>
            <w:gridSpan w:val="9"/>
          </w:tcPr>
          <w:p>
            <w:pPr>
              <w:spacing w:after="0" w:line="117" w:lineRule="exact"/>
              <w:rPr>
                <w:rFonts w:ascii="Arial" w:cs="Arial" w:eastAsia="Arial" w:hAnsi="Arial"/>
                <w:sz w:val="12"/>
                <w:szCs w:val="12"/>
                <w:color w:val="0000EE"/>
              </w:rPr>
            </w:pPr>
            <w:hyperlink w:anchor="page138">
              <w:r>
                <w:rPr>
                  <w:rFonts w:ascii="Arial" w:cs="Arial" w:eastAsia="Arial" w:hAnsi="Arial"/>
                  <w:sz w:val="12"/>
                  <w:szCs w:val="12"/>
                  <w:color w:val="0000EE"/>
                </w:rPr>
                <w:t>Consolidated Balance Sheets</w:t>
              </w:r>
            </w:hyperlink>
          </w:p>
        </w:tc>
        <w:tc>
          <w:tcPr>
            <w:tcW w:w="7380" w:type="dxa"/>
            <w:vAlign w:val="bottom"/>
            <w:tcBorders>
              <w:top w:val="single" w:sz="8" w:color="CCEEFF"/>
            </w:tcBorders>
            <w:gridSpan w:val="4"/>
          </w:tcPr>
          <w:p>
            <w:pPr>
              <w:spacing w:after="0"/>
              <w:rPr>
                <w:sz w:val="10"/>
                <w:szCs w:val="10"/>
                <w:color w:val="auto"/>
              </w:rPr>
            </w:pPr>
          </w:p>
        </w:tc>
        <w:tc>
          <w:tcPr>
            <w:tcW w:w="1120" w:type="dxa"/>
            <w:vAlign w:val="bottom"/>
            <w:tcBorders>
              <w:top w:val="single" w:sz="8" w:color="CCEEFF"/>
            </w:tcBorders>
          </w:tcPr>
          <w:p>
            <w:pPr>
              <w:jc w:val="right"/>
              <w:spacing w:after="0" w:line="117" w:lineRule="exact"/>
              <w:rPr>
                <w:sz w:val="20"/>
                <w:szCs w:val="20"/>
                <w:color w:val="auto"/>
              </w:rPr>
            </w:pPr>
            <w:r>
              <w:rPr>
                <w:rFonts w:ascii="Arial" w:cs="Arial" w:eastAsia="Arial" w:hAnsi="Arial"/>
                <w:sz w:val="12"/>
                <w:szCs w:val="12"/>
                <w:color w:val="auto"/>
              </w:rPr>
              <w:t>F-3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10180" w:type="dxa"/>
            <w:vAlign w:val="bottom"/>
            <w:gridSpan w:val="13"/>
            <w:shd w:val="clear" w:color="auto" w:fill="CCEEFF"/>
          </w:tcPr>
          <w:p>
            <w:pPr>
              <w:spacing w:after="0" w:line="117" w:lineRule="exact"/>
              <w:rPr>
                <w:rFonts w:ascii="Arial" w:cs="Arial" w:eastAsia="Arial" w:hAnsi="Arial"/>
                <w:sz w:val="12"/>
                <w:szCs w:val="12"/>
                <w:color w:val="0000EE"/>
              </w:rPr>
            </w:pPr>
            <w:hyperlink w:anchor="page139">
              <w:r>
                <w:rPr>
                  <w:rFonts w:ascii="Arial" w:cs="Arial" w:eastAsia="Arial" w:hAnsi="Arial"/>
                  <w:sz w:val="12"/>
                  <w:szCs w:val="12"/>
                  <w:color w:val="0000EE"/>
                </w:rPr>
                <w:t>Consolidated Statements of Income</w:t>
              </w:r>
            </w:hyperlink>
          </w:p>
        </w:tc>
        <w:tc>
          <w:tcPr>
            <w:tcW w:w="112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F-4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180" w:type="dxa"/>
            <w:vAlign w:val="bottom"/>
            <w:gridSpan w:val="13"/>
          </w:tcPr>
          <w:p>
            <w:pPr>
              <w:spacing w:after="0" w:line="117" w:lineRule="exact"/>
              <w:rPr>
                <w:rFonts w:ascii="Arial" w:cs="Arial" w:eastAsia="Arial" w:hAnsi="Arial"/>
                <w:sz w:val="12"/>
                <w:szCs w:val="12"/>
                <w:color w:val="0000EE"/>
              </w:rPr>
            </w:pPr>
            <w:hyperlink w:anchor="page140">
              <w:r>
                <w:rPr>
                  <w:rFonts w:ascii="Arial" w:cs="Arial" w:eastAsia="Arial" w:hAnsi="Arial"/>
                  <w:sz w:val="12"/>
                  <w:szCs w:val="12"/>
                  <w:color w:val="0000EE"/>
                </w:rPr>
                <w:t>Consolidated Statements of Members’ Equity</w:t>
              </w:r>
            </w:hyperlink>
          </w:p>
        </w:tc>
        <w:tc>
          <w:tcPr>
            <w:tcW w:w="1120" w:type="dxa"/>
            <w:vAlign w:val="bottom"/>
          </w:tcPr>
          <w:p>
            <w:pPr>
              <w:jc w:val="right"/>
              <w:spacing w:after="0" w:line="117" w:lineRule="exact"/>
              <w:rPr>
                <w:sz w:val="20"/>
                <w:szCs w:val="20"/>
                <w:color w:val="auto"/>
              </w:rPr>
            </w:pPr>
            <w:r>
              <w:rPr>
                <w:rFonts w:ascii="Arial" w:cs="Arial" w:eastAsia="Arial" w:hAnsi="Arial"/>
                <w:sz w:val="12"/>
                <w:szCs w:val="12"/>
                <w:color w:val="auto"/>
              </w:rPr>
              <w:t>F-5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tcBorders>
              <w:top w:val="single" w:sz="8" w:color="0000EE"/>
            </w:tcBorders>
            <w:gridSpan w:val="5"/>
            <w:shd w:val="clear" w:color="auto" w:fill="CCEEFF"/>
          </w:tcPr>
          <w:p>
            <w:pPr>
              <w:spacing w:after="0" w:line="117" w:lineRule="exact"/>
              <w:rPr>
                <w:rFonts w:ascii="Arial" w:cs="Arial" w:eastAsia="Arial" w:hAnsi="Arial"/>
                <w:sz w:val="12"/>
                <w:szCs w:val="12"/>
                <w:color w:val="0000EE"/>
              </w:rPr>
            </w:pPr>
            <w:hyperlink w:anchor="page141">
              <w:r>
                <w:rPr>
                  <w:rFonts w:ascii="Arial" w:cs="Arial" w:eastAsia="Arial" w:hAnsi="Arial"/>
                  <w:sz w:val="12"/>
                  <w:szCs w:val="12"/>
                  <w:color w:val="0000EE"/>
                </w:rPr>
                <w:t>Consolidated Statements of Cash Flows</w:t>
              </w:r>
            </w:hyperlink>
          </w:p>
        </w:tc>
        <w:tc>
          <w:tcPr>
            <w:tcW w:w="8000" w:type="dxa"/>
            <w:vAlign w:val="bottom"/>
            <w:gridSpan w:val="8"/>
            <w:shd w:val="clear" w:color="auto" w:fill="CCEEFF"/>
          </w:tcPr>
          <w:p>
            <w:pPr>
              <w:spacing w:after="0"/>
              <w:rPr>
                <w:sz w:val="10"/>
                <w:szCs w:val="10"/>
                <w:color w:val="auto"/>
              </w:rPr>
            </w:pPr>
          </w:p>
        </w:tc>
        <w:tc>
          <w:tcPr>
            <w:tcW w:w="112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F-6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180" w:type="dxa"/>
            <w:vAlign w:val="bottom"/>
            <w:gridSpan w:val="13"/>
          </w:tcPr>
          <w:p>
            <w:pPr>
              <w:spacing w:after="0" w:line="117" w:lineRule="exact"/>
              <w:rPr>
                <w:rFonts w:ascii="Arial" w:cs="Arial" w:eastAsia="Arial" w:hAnsi="Arial"/>
                <w:sz w:val="12"/>
                <w:szCs w:val="12"/>
                <w:color w:val="0000EE"/>
              </w:rPr>
            </w:pPr>
            <w:hyperlink w:anchor="page142">
              <w:r>
                <w:rPr>
                  <w:rFonts w:ascii="Arial" w:cs="Arial" w:eastAsia="Arial" w:hAnsi="Arial"/>
                  <w:sz w:val="12"/>
                  <w:szCs w:val="12"/>
                  <w:color w:val="0000EE"/>
                </w:rPr>
                <w:t>Notes to Audited Consolidated Financial Statements</w:t>
              </w:r>
            </w:hyperlink>
          </w:p>
        </w:tc>
        <w:tc>
          <w:tcPr>
            <w:tcW w:w="1120" w:type="dxa"/>
            <w:vAlign w:val="bottom"/>
          </w:tcPr>
          <w:p>
            <w:pPr>
              <w:jc w:val="right"/>
              <w:spacing w:after="0" w:line="117" w:lineRule="exact"/>
              <w:rPr>
                <w:sz w:val="20"/>
                <w:szCs w:val="20"/>
                <w:color w:val="auto"/>
              </w:rPr>
            </w:pPr>
            <w:r>
              <w:rPr>
                <w:rFonts w:ascii="Arial" w:cs="Arial" w:eastAsia="Arial" w:hAnsi="Arial"/>
                <w:sz w:val="12"/>
                <w:szCs w:val="12"/>
                <w:color w:val="auto"/>
              </w:rPr>
              <w:t>F-7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0" w:type="dxa"/>
            <w:vAlign w:val="bottom"/>
            <w:tcBorders>
              <w:top w:val="single" w:sz="8" w:color="0000EE"/>
            </w:tcBorders>
            <w:shd w:val="clear" w:color="auto" w:fill="CCEEFF"/>
          </w:tcPr>
          <w:p>
            <w:pPr>
              <w:spacing w:after="0"/>
              <w:rPr>
                <w:sz w:val="12"/>
                <w:szCs w:val="12"/>
                <w:color w:val="auto"/>
              </w:rPr>
            </w:pPr>
          </w:p>
        </w:tc>
        <w:tc>
          <w:tcPr>
            <w:tcW w:w="720" w:type="dxa"/>
            <w:vAlign w:val="bottom"/>
            <w:tcBorders>
              <w:top w:val="single" w:sz="8" w:color="0000EE"/>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28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180" w:type="dxa"/>
            <w:vAlign w:val="bottom"/>
            <w:gridSpan w:val="13"/>
          </w:tcPr>
          <w:p>
            <w:pPr>
              <w:spacing w:after="0"/>
              <w:rPr>
                <w:sz w:val="20"/>
                <w:szCs w:val="20"/>
                <w:color w:val="auto"/>
              </w:rPr>
            </w:pPr>
            <w:r>
              <w:rPr>
                <w:rFonts w:ascii="Arial" w:cs="Arial" w:eastAsia="Arial" w:hAnsi="Arial"/>
                <w:sz w:val="12"/>
                <w:szCs w:val="12"/>
                <w:b w:val="1"/>
                <w:bCs w:val="1"/>
                <w:color w:val="auto"/>
              </w:rPr>
              <w:t>Unaudited Condensed Consolidated Financial Statements of WM Holding Company, LLC</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40" w:type="dxa"/>
            <w:vAlign w:val="bottom"/>
            <w:tcBorders>
              <w:bottom w:val="single" w:sz="8" w:color="0000EE"/>
            </w:tcBorders>
            <w:gridSpan w:val="6"/>
            <w:shd w:val="clear" w:color="auto" w:fill="CCEEFF"/>
          </w:tcPr>
          <w:p>
            <w:pPr>
              <w:spacing w:after="0" w:line="117" w:lineRule="exact"/>
              <w:rPr>
                <w:rFonts w:ascii="Arial" w:cs="Arial" w:eastAsia="Arial" w:hAnsi="Arial"/>
                <w:sz w:val="12"/>
                <w:szCs w:val="12"/>
                <w:color w:val="0000EE"/>
                <w:w w:val="88"/>
              </w:rPr>
            </w:pPr>
            <w:hyperlink w:anchor="page153">
              <w:r>
                <w:rPr>
                  <w:rFonts w:ascii="Arial" w:cs="Arial" w:eastAsia="Arial" w:hAnsi="Arial"/>
                  <w:sz w:val="12"/>
                  <w:szCs w:val="12"/>
                  <w:color w:val="0000EE"/>
                  <w:w w:val="88"/>
                </w:rPr>
                <w:t>Interim Condensed Consolidated Balance Sheets</w:t>
              </w:r>
            </w:hyperlink>
          </w:p>
        </w:tc>
        <w:tc>
          <w:tcPr>
            <w:tcW w:w="7840" w:type="dxa"/>
            <w:vAlign w:val="bottom"/>
            <w:tcBorders>
              <w:bottom w:val="single" w:sz="8" w:color="CCEEFF"/>
            </w:tcBorders>
            <w:gridSpan w:val="7"/>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F-18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180" w:type="dxa"/>
            <w:vAlign w:val="bottom"/>
            <w:gridSpan w:val="13"/>
          </w:tcPr>
          <w:p>
            <w:pPr>
              <w:spacing w:after="0" w:line="117" w:lineRule="exact"/>
              <w:rPr>
                <w:rFonts w:ascii="Arial" w:cs="Arial" w:eastAsia="Arial" w:hAnsi="Arial"/>
                <w:sz w:val="12"/>
                <w:szCs w:val="12"/>
                <w:color w:val="0000EE"/>
              </w:rPr>
            </w:pPr>
            <w:hyperlink w:anchor="page154">
              <w:r>
                <w:rPr>
                  <w:rFonts w:ascii="Arial" w:cs="Arial" w:eastAsia="Arial" w:hAnsi="Arial"/>
                  <w:sz w:val="12"/>
                  <w:szCs w:val="12"/>
                  <w:color w:val="0000EE"/>
                </w:rPr>
                <w:t>Interim Condensed Consolidated Statements of Income</w:t>
              </w:r>
            </w:hyperlink>
          </w:p>
        </w:tc>
        <w:tc>
          <w:tcPr>
            <w:tcW w:w="1120" w:type="dxa"/>
            <w:vAlign w:val="bottom"/>
          </w:tcPr>
          <w:p>
            <w:pPr>
              <w:jc w:val="right"/>
              <w:spacing w:after="0" w:line="117" w:lineRule="exact"/>
              <w:rPr>
                <w:sz w:val="20"/>
                <w:szCs w:val="20"/>
                <w:color w:val="auto"/>
              </w:rPr>
            </w:pPr>
            <w:r>
              <w:rPr>
                <w:rFonts w:ascii="Arial" w:cs="Arial" w:eastAsia="Arial" w:hAnsi="Arial"/>
                <w:sz w:val="12"/>
                <w:szCs w:val="12"/>
                <w:color w:val="auto"/>
              </w:rPr>
              <w:t>F-19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140" w:type="dxa"/>
            <w:vAlign w:val="bottom"/>
            <w:tcBorders>
              <w:bottom w:val="single" w:sz="8" w:color="0000EE"/>
            </w:tcBorders>
            <w:gridSpan w:val="12"/>
            <w:shd w:val="clear" w:color="auto" w:fill="CCEEFF"/>
          </w:tcPr>
          <w:p>
            <w:pPr>
              <w:spacing w:after="0" w:line="117" w:lineRule="exact"/>
              <w:rPr>
                <w:rFonts w:ascii="Arial" w:cs="Arial" w:eastAsia="Arial" w:hAnsi="Arial"/>
                <w:sz w:val="12"/>
                <w:szCs w:val="12"/>
                <w:color w:val="0000EE"/>
                <w:w w:val="90"/>
              </w:rPr>
            </w:pPr>
            <w:hyperlink w:anchor="page155">
              <w:r>
                <w:rPr>
                  <w:rFonts w:ascii="Arial" w:cs="Arial" w:eastAsia="Arial" w:hAnsi="Arial"/>
                  <w:sz w:val="12"/>
                  <w:szCs w:val="12"/>
                  <w:color w:val="0000EE"/>
                  <w:w w:val="90"/>
                </w:rPr>
                <w:t>Interim Condensed Consolidated Statements of Members’ Equity</w:t>
              </w:r>
            </w:hyperlink>
          </w:p>
        </w:tc>
        <w:tc>
          <w:tcPr>
            <w:tcW w:w="70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F-20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60" w:type="dxa"/>
            <w:vAlign w:val="bottom"/>
            <w:tcBorders>
              <w:bottom w:val="single" w:sz="8" w:color="0000EE"/>
            </w:tcBorders>
            <w:gridSpan w:val="10"/>
          </w:tcPr>
          <w:p>
            <w:pPr>
              <w:spacing w:after="0" w:line="117" w:lineRule="exact"/>
              <w:rPr>
                <w:rFonts w:ascii="Arial" w:cs="Arial" w:eastAsia="Arial" w:hAnsi="Arial"/>
                <w:sz w:val="12"/>
                <w:szCs w:val="12"/>
                <w:color w:val="0000EE"/>
                <w:w w:val="89"/>
              </w:rPr>
            </w:pPr>
            <w:hyperlink w:anchor="page156">
              <w:r>
                <w:rPr>
                  <w:rFonts w:ascii="Arial" w:cs="Arial" w:eastAsia="Arial" w:hAnsi="Arial"/>
                  <w:sz w:val="12"/>
                  <w:szCs w:val="12"/>
                  <w:color w:val="0000EE"/>
                  <w:w w:val="89"/>
                </w:rPr>
                <w:t>Interim Condensed Consolidated Statements of Cash Flows</w:t>
              </w:r>
            </w:hyperlink>
          </w:p>
        </w:tc>
        <w:tc>
          <w:tcPr>
            <w:tcW w:w="7320" w:type="dxa"/>
            <w:vAlign w:val="bottom"/>
            <w:gridSpan w:val="3"/>
          </w:tcPr>
          <w:p>
            <w:pPr>
              <w:spacing w:after="0"/>
              <w:rPr>
                <w:sz w:val="10"/>
                <w:szCs w:val="10"/>
                <w:color w:val="auto"/>
              </w:rPr>
            </w:pPr>
          </w:p>
        </w:tc>
        <w:tc>
          <w:tcPr>
            <w:tcW w:w="1120" w:type="dxa"/>
            <w:vAlign w:val="bottom"/>
          </w:tcPr>
          <w:p>
            <w:pPr>
              <w:jc w:val="right"/>
              <w:spacing w:after="0" w:line="117" w:lineRule="exact"/>
              <w:rPr>
                <w:sz w:val="20"/>
                <w:szCs w:val="20"/>
                <w:color w:val="auto"/>
              </w:rPr>
            </w:pPr>
            <w:r>
              <w:rPr>
                <w:rFonts w:ascii="Arial" w:cs="Arial" w:eastAsia="Arial" w:hAnsi="Arial"/>
                <w:sz w:val="12"/>
                <w:szCs w:val="12"/>
                <w:color w:val="auto"/>
              </w:rPr>
              <w:t>F-21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180" w:type="dxa"/>
            <w:vAlign w:val="bottom"/>
            <w:gridSpan w:val="13"/>
            <w:shd w:val="clear" w:color="auto" w:fill="CCEEFF"/>
          </w:tcPr>
          <w:p>
            <w:pPr>
              <w:spacing w:after="0" w:line="117" w:lineRule="exact"/>
              <w:rPr>
                <w:rFonts w:ascii="Arial" w:cs="Arial" w:eastAsia="Arial" w:hAnsi="Arial"/>
                <w:sz w:val="12"/>
                <w:szCs w:val="12"/>
                <w:color w:val="0000EE"/>
              </w:rPr>
            </w:pPr>
            <w:hyperlink w:anchor="page157">
              <w:r>
                <w:rPr>
                  <w:rFonts w:ascii="Arial" w:cs="Arial" w:eastAsia="Arial" w:hAnsi="Arial"/>
                  <w:sz w:val="12"/>
                  <w:szCs w:val="12"/>
                  <w:color w:val="0000EE"/>
                </w:rPr>
                <w:t>Notes to Interim Condensed Consolidated Financial Statements</w:t>
              </w:r>
            </w:hyperlink>
          </w:p>
        </w:tc>
        <w:tc>
          <w:tcPr>
            <w:tcW w:w="112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F-22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040" w:type="dxa"/>
            <w:vAlign w:val="bottom"/>
            <w:tcBorders>
              <w:top w:val="single" w:sz="8" w:color="CCEEFF"/>
            </w:tcBorders>
          </w:tcPr>
          <w:p>
            <w:pPr>
              <w:jc w:val="center"/>
              <w:ind w:right="1966"/>
              <w:spacing w:after="0"/>
              <w:rPr>
                <w:sz w:val="20"/>
                <w:szCs w:val="20"/>
                <w:color w:val="auto"/>
              </w:rPr>
            </w:pPr>
            <w:r>
              <w:rPr>
                <w:rFonts w:ascii="Arial" w:cs="Arial" w:eastAsia="Arial" w:hAnsi="Arial"/>
                <w:sz w:val="10"/>
                <w:szCs w:val="10"/>
                <w:color w:val="auto"/>
                <w:w w:val="93"/>
              </w:rPr>
              <w:t>F-1</w:t>
            </w:r>
          </w:p>
        </w:tc>
        <w:tc>
          <w:tcPr>
            <w:tcW w:w="112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4" w:right="299" w:bottom="1440" w:gutter="0" w:footer="0" w:header="0"/>
        </w:sectPr>
      </w:pPr>
    </w:p>
    <w:bookmarkStart w:id="136" w:name="page137"/>
    <w:bookmarkEnd w:id="13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Members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WM Holding Company,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Irvine, California</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We have audited the accompanying consolidated balance sheets of WM Holding Company, LLC and its subsidiaries (collectively the “Company”) as of December 31, 2020 and 2019, the related consolidated statements of operations, members’ equity, and cash flows for each of the years ended December 31, 2020, 2019 and 2018, and the related notes to the consolidated financial statements (collectively, the “financial statements”). In our opinion, the consolidated financial statements present fairly, in all material respects, the financial position of the Company as of December 31, 2020 and 2019, and the results of its operations and its cash flows for each of the years ended December 31, 2020, 2019, and 2018,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Emphasis of Matter</w:t>
      </w:r>
    </w:p>
    <w:p>
      <w:pPr>
        <w:spacing w:after="0" w:line="15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The Company is an organization that provides online directory services to legalized cannabis companies. As discussed in Note 1,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 Baker Tilly US, LLP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9, 2021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15"/>
        </w:trPr>
        <w:tc>
          <w:tcPr>
            <w:tcW w:w="746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237"/>
        </w:trPr>
        <w:tc>
          <w:tcPr>
            <w:tcW w:w="660" w:type="dxa"/>
            <w:vAlign w:val="bottom"/>
            <w:tcBorders>
              <w:top w:val="single" w:sz="8" w:color="0000EE"/>
            </w:tcBorders>
          </w:tcPr>
          <w:p>
            <w:pPr>
              <w:spacing w:after="0"/>
              <w:rPr>
                <w:sz w:val="20"/>
                <w:szCs w:val="20"/>
                <w:color w:val="auto"/>
              </w:rPr>
            </w:pPr>
          </w:p>
        </w:tc>
        <w:tc>
          <w:tcPr>
            <w:tcW w:w="6800" w:type="dxa"/>
            <w:vAlign w:val="bottom"/>
          </w:tcPr>
          <w:p>
            <w:pPr>
              <w:jc w:val="center"/>
              <w:ind w:left="3423"/>
              <w:spacing w:after="0"/>
              <w:rPr>
                <w:sz w:val="20"/>
                <w:szCs w:val="20"/>
                <w:color w:val="auto"/>
              </w:rPr>
            </w:pPr>
            <w:r>
              <w:rPr>
                <w:rFonts w:ascii="Arial" w:cs="Arial" w:eastAsia="Arial" w:hAnsi="Arial"/>
                <w:sz w:val="12"/>
                <w:szCs w:val="12"/>
                <w:b w:val="1"/>
                <w:bCs w:val="1"/>
                <w:color w:val="auto"/>
              </w:rPr>
              <w:t>WM HOLDING COMPANY, LLC AND SUBSIDIARIES</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44"/>
        </w:trPr>
        <w:tc>
          <w:tcPr>
            <w:tcW w:w="660" w:type="dxa"/>
            <w:vAlign w:val="bottom"/>
          </w:tcPr>
          <w:p>
            <w:pPr>
              <w:spacing w:after="0"/>
              <w:rPr>
                <w:sz w:val="12"/>
                <w:szCs w:val="12"/>
                <w:color w:val="auto"/>
              </w:rPr>
            </w:pPr>
          </w:p>
        </w:tc>
        <w:tc>
          <w:tcPr>
            <w:tcW w:w="6800" w:type="dxa"/>
            <w:vAlign w:val="bottom"/>
          </w:tcPr>
          <w:p>
            <w:pPr>
              <w:jc w:val="center"/>
              <w:ind w:left="3423"/>
              <w:spacing w:after="0"/>
              <w:rPr>
                <w:sz w:val="20"/>
                <w:szCs w:val="20"/>
                <w:color w:val="auto"/>
              </w:rPr>
            </w:pPr>
            <w:r>
              <w:rPr>
                <w:rFonts w:ascii="Arial" w:cs="Arial" w:eastAsia="Arial" w:hAnsi="Arial"/>
                <w:sz w:val="12"/>
                <w:szCs w:val="12"/>
                <w:b w:val="1"/>
                <w:bCs w:val="1"/>
                <w:color w:val="auto"/>
                <w:w w:val="99"/>
              </w:rPr>
              <w:t>CONSOLIDATED BALANCE SHEETS</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57"/>
        </w:trPr>
        <w:tc>
          <w:tcPr>
            <w:tcW w:w="660" w:type="dxa"/>
            <w:vAlign w:val="bottom"/>
          </w:tcPr>
          <w:p>
            <w:pPr>
              <w:spacing w:after="0"/>
              <w:rPr>
                <w:sz w:val="13"/>
                <w:szCs w:val="13"/>
                <w:color w:val="auto"/>
              </w:rPr>
            </w:pPr>
          </w:p>
        </w:tc>
        <w:tc>
          <w:tcPr>
            <w:tcW w:w="6800" w:type="dxa"/>
            <w:vAlign w:val="bottom"/>
          </w:tcPr>
          <w:p>
            <w:pPr>
              <w:jc w:val="center"/>
              <w:ind w:left="3443"/>
              <w:spacing w:after="0"/>
              <w:rPr>
                <w:sz w:val="20"/>
                <w:szCs w:val="20"/>
                <w:color w:val="auto"/>
              </w:rPr>
            </w:pPr>
            <w:r>
              <w:rPr>
                <w:rFonts w:ascii="Arial" w:cs="Arial" w:eastAsia="Arial" w:hAnsi="Arial"/>
                <w:sz w:val="12"/>
                <w:szCs w:val="12"/>
                <w:b w:val="1"/>
                <w:bCs w:val="1"/>
                <w:color w:val="auto"/>
                <w:w w:val="89"/>
              </w:rPr>
              <w:t>December 31, 2020 and 2019</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88"/>
        </w:trPr>
        <w:tc>
          <w:tcPr>
            <w:tcW w:w="6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24"/>
                <w:szCs w:val="24"/>
                <w:color w:val="auto"/>
              </w:rPr>
            </w:pPr>
          </w:p>
        </w:tc>
      </w:tr>
      <w:tr>
        <w:trPr>
          <w:trHeight w:val="133"/>
        </w:trPr>
        <w:tc>
          <w:tcPr>
            <w:tcW w:w="7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ASSETS</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53"/>
        </w:trPr>
        <w:tc>
          <w:tcPr>
            <w:tcW w:w="746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4,967,954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19,918,914</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Accounts receivable</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3,929,321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9,428,166</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Prepaid expenses and other current assets</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1,783,783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4,819,968</w:t>
            </w:r>
          </w:p>
        </w:tc>
      </w:tr>
      <w:tr>
        <w:trPr>
          <w:trHeight w:val="20"/>
        </w:trPr>
        <w:tc>
          <w:tcPr>
            <w:tcW w:w="66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42"/>
        </w:trPr>
        <w:tc>
          <w:tcPr>
            <w:tcW w:w="7460" w:type="dxa"/>
            <w:vAlign w:val="bottom"/>
            <w:gridSpan w:val="2"/>
          </w:tcPr>
          <w:p>
            <w:pPr>
              <w:spacing w:after="0"/>
              <w:rPr>
                <w:sz w:val="20"/>
                <w:szCs w:val="20"/>
                <w:color w:val="auto"/>
              </w:rPr>
            </w:pPr>
            <w:r>
              <w:rPr>
                <w:rFonts w:ascii="Arial" w:cs="Arial" w:eastAsia="Arial" w:hAnsi="Arial"/>
                <w:sz w:val="12"/>
                <w:szCs w:val="12"/>
                <w:color w:val="auto"/>
              </w:rPr>
              <w:t>Total current assets</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10,681,058</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34,167,048</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9,155,525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7,387,420</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3,961,122</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3,961,122</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5,402,956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4,504,408</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4,553,009</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3,874,155</w:t>
            </w:r>
          </w:p>
        </w:tc>
      </w:tr>
      <w:tr>
        <w:trPr>
          <w:trHeight w:val="182"/>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assets</w:t>
            </w:r>
          </w:p>
        </w:tc>
        <w:tc>
          <w:tcPr>
            <w:tcW w:w="5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33,753,670</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53,894,153</w:t>
            </w:r>
          </w:p>
        </w:tc>
        <w:tc>
          <w:tcPr>
            <w:tcW w:w="360" w:type="dxa"/>
            <w:vAlign w:val="bottom"/>
            <w:shd w:val="clear" w:color="auto" w:fill="CCEEFF"/>
          </w:tcPr>
          <w:p>
            <w:pPr>
              <w:spacing w:after="0"/>
              <w:rPr>
                <w:sz w:val="15"/>
                <w:szCs w:val="15"/>
                <w:color w:val="auto"/>
              </w:rPr>
            </w:pPr>
          </w:p>
        </w:tc>
      </w:tr>
      <w:tr>
        <w:trPr>
          <w:trHeight w:val="120"/>
        </w:trPr>
        <w:tc>
          <w:tcPr>
            <w:tcW w:w="7460" w:type="dxa"/>
            <w:vAlign w:val="bottom"/>
            <w:tcBorders>
              <w:top w:val="single" w:sz="8" w:color="CCEEFF"/>
            </w:tcBorders>
            <w:gridSpan w:val="2"/>
          </w:tcPr>
          <w:p>
            <w:pPr>
              <w:spacing w:after="0" w:line="120" w:lineRule="exact"/>
              <w:rPr>
                <w:sz w:val="20"/>
                <w:szCs w:val="20"/>
                <w:color w:val="auto"/>
              </w:rPr>
            </w:pPr>
            <w:r>
              <w:rPr>
                <w:rFonts w:ascii="Arial" w:cs="Arial" w:eastAsia="Arial" w:hAnsi="Arial"/>
                <w:sz w:val="12"/>
                <w:szCs w:val="12"/>
                <w:b w:val="1"/>
                <w:bCs w:val="1"/>
                <w:color w:val="auto"/>
              </w:rPr>
              <w:t>LIABILITIES AND MEMBERS’ EQUITY</w:t>
            </w:r>
          </w:p>
        </w:tc>
        <w:tc>
          <w:tcPr>
            <w:tcW w:w="5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Accounts payable and accrued expenses</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14,886,301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12,651,130</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4,328,635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5,264,373</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Deferred rent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1,435,691</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5,128,755</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payable to members, current portion</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205,324</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Total current liabilities</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20,650,627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23,249,582</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Notes payable to members, non-current portion</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205,324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98,964</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1,373,836</w:t>
            </w:r>
          </w:p>
        </w:tc>
      </w:tr>
      <w:tr>
        <w:trPr>
          <w:trHeight w:val="20"/>
        </w:trPr>
        <w:tc>
          <w:tcPr>
            <w:tcW w:w="66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42"/>
        </w:trPr>
        <w:tc>
          <w:tcPr>
            <w:tcW w:w="7460" w:type="dxa"/>
            <w:vAlign w:val="bottom"/>
            <w:gridSpan w:val="2"/>
          </w:tcPr>
          <w:p>
            <w:pPr>
              <w:spacing w:after="0"/>
              <w:rPr>
                <w:sz w:val="20"/>
                <w:szCs w:val="20"/>
                <w:color w:val="auto"/>
              </w:rPr>
            </w:pPr>
            <w:r>
              <w:rPr>
                <w:rFonts w:ascii="Arial" w:cs="Arial" w:eastAsia="Arial" w:hAnsi="Arial"/>
                <w:sz w:val="12"/>
                <w:szCs w:val="12"/>
                <w:color w:val="auto"/>
              </w:rPr>
              <w:t>Total liabilities</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20,954,915</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24,623,418</w:t>
            </w: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 (Note 10)</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Members’ equity</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Class A-1 Units - no par value; 821,769 units authorized, issued and outstanding at December 31, 2020 and 2019</w:t>
            </w:r>
          </w:p>
        </w:tc>
        <w:tc>
          <w:tcPr>
            <w:tcW w:w="5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3,306,922</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2,543,998</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Class A-2 Units - no par value; 34,264 units authorized, 24,058 issued and outstanding at December 31, 2020 and 2019</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17,108,743</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16,864,901</w:t>
            </w:r>
          </w:p>
        </w:tc>
      </w:tr>
      <w:tr>
        <w:trPr>
          <w:trHeight w:val="135"/>
        </w:trPr>
        <w:tc>
          <w:tcPr>
            <w:tcW w:w="746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4"/>
              </w:rPr>
              <w:t>Class A-3 Units/Class B Units - no par value; 274,822 units authorized, 53,333 Class A-3 units and 221,483 Class B units issued and outstanding at</w:t>
            </w:r>
          </w:p>
        </w:tc>
        <w:tc>
          <w:tcPr>
            <w:tcW w:w="56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r>
        <w:trPr>
          <w:trHeight w:val="153"/>
        </w:trPr>
        <w:tc>
          <w:tcPr>
            <w:tcW w:w="74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6"/>
              </w:rPr>
              <w:t>December 31, 2020, 274,667 units authorized, 53,333 Class A-3 units and 210,744 Class B units issued and outstanding at December 31, 2019</w:t>
            </w:r>
          </w:p>
        </w:tc>
        <w:tc>
          <w:tcPr>
            <w:tcW w:w="5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Retained earnings/accumulated deficit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(7,616,910</w:t>
            </w:r>
          </w:p>
        </w:tc>
        <w:tc>
          <w:tcPr>
            <w:tcW w:w="160" w:type="dxa"/>
            <w:vAlign w:val="bottom"/>
          </w:tcPr>
          <w:p>
            <w:pPr>
              <w:spacing w:after="0"/>
              <w:rPr>
                <w:sz w:val="12"/>
                <w:szCs w:val="12"/>
                <w:color w:val="auto"/>
              </w:rPr>
            </w:pP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9,861,836</w:t>
            </w:r>
          </w:p>
        </w:tc>
      </w:tr>
      <w:tr>
        <w:trPr>
          <w:trHeight w:val="142"/>
        </w:trPr>
        <w:tc>
          <w:tcPr>
            <w:tcW w:w="7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members’ equity</w:t>
            </w:r>
          </w:p>
        </w:tc>
        <w:tc>
          <w:tcPr>
            <w:tcW w:w="5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12,798,755</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29,270,735</w:t>
            </w:r>
          </w:p>
        </w:tc>
        <w:tc>
          <w:tcPr>
            <w:tcW w:w="360" w:type="dxa"/>
            <w:vAlign w:val="bottom"/>
            <w:shd w:val="clear" w:color="auto" w:fill="CCEEFF"/>
          </w:tcPr>
          <w:p>
            <w:pPr>
              <w:spacing w:after="0"/>
              <w:rPr>
                <w:sz w:val="12"/>
                <w:szCs w:val="12"/>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142"/>
        </w:trPr>
        <w:tc>
          <w:tcPr>
            <w:tcW w:w="7460" w:type="dxa"/>
            <w:vAlign w:val="bottom"/>
            <w:gridSpan w:val="2"/>
          </w:tcPr>
          <w:p>
            <w:pPr>
              <w:spacing w:after="0"/>
              <w:rPr>
                <w:sz w:val="20"/>
                <w:szCs w:val="20"/>
                <w:color w:val="auto"/>
              </w:rPr>
            </w:pPr>
            <w:r>
              <w:rPr>
                <w:rFonts w:ascii="Arial" w:cs="Arial" w:eastAsia="Arial" w:hAnsi="Arial"/>
                <w:sz w:val="12"/>
                <w:szCs w:val="12"/>
                <w:color w:val="auto"/>
              </w:rPr>
              <w:t>Total liabilities and members’ equity</w:t>
            </w:r>
          </w:p>
        </w:tc>
        <w:tc>
          <w:tcPr>
            <w:tcW w:w="5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33,753,670</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2"/>
                <w:szCs w:val="12"/>
                <w:color w:val="auto"/>
              </w:rPr>
              <w:t>53,894,153</w:t>
            </w:r>
          </w:p>
        </w:tc>
      </w:tr>
      <w:tr>
        <w:trPr>
          <w:trHeight w:val="233"/>
        </w:trPr>
        <w:tc>
          <w:tcPr>
            <w:tcW w:w="660" w:type="dxa"/>
            <w:vAlign w:val="bottom"/>
          </w:tcPr>
          <w:p>
            <w:pPr>
              <w:spacing w:after="0"/>
              <w:rPr>
                <w:sz w:val="20"/>
                <w:szCs w:val="20"/>
                <w:color w:val="auto"/>
              </w:rPr>
            </w:pPr>
          </w:p>
        </w:tc>
        <w:tc>
          <w:tcPr>
            <w:tcW w:w="6800" w:type="dxa"/>
            <w:vAlign w:val="bottom"/>
          </w:tcPr>
          <w:p>
            <w:pPr>
              <w:jc w:val="center"/>
              <w:ind w:left="3443"/>
              <w:spacing w:after="0"/>
              <w:rPr>
                <w:sz w:val="20"/>
                <w:szCs w:val="20"/>
                <w:color w:val="auto"/>
              </w:rPr>
            </w:pPr>
            <w:r>
              <w:rPr>
                <w:rFonts w:ascii="Arial" w:cs="Arial" w:eastAsia="Arial" w:hAnsi="Arial"/>
                <w:sz w:val="10"/>
                <w:szCs w:val="10"/>
                <w:color w:val="auto"/>
                <w:w w:val="93"/>
              </w:rPr>
              <w:t>F-3</w:t>
            </w: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6"/>
        </w:trPr>
        <w:tc>
          <w:tcPr>
            <w:tcW w:w="66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4" w:right="29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42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37"/>
        </w:trPr>
        <w:tc>
          <w:tcPr>
            <w:tcW w:w="320" w:type="dxa"/>
            <w:vAlign w:val="bottom"/>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6460" w:type="dxa"/>
            <w:vAlign w:val="bottom"/>
            <w:gridSpan w:val="6"/>
          </w:tcPr>
          <w:p>
            <w:pPr>
              <w:jc w:val="center"/>
              <w:ind w:left="3120"/>
              <w:spacing w:after="0"/>
              <w:rPr>
                <w:sz w:val="20"/>
                <w:szCs w:val="20"/>
                <w:color w:val="auto"/>
              </w:rPr>
            </w:pPr>
            <w:r>
              <w:rPr>
                <w:rFonts w:ascii="Arial" w:cs="Arial" w:eastAsia="Arial" w:hAnsi="Arial"/>
                <w:sz w:val="12"/>
                <w:szCs w:val="12"/>
                <w:b w:val="1"/>
                <w:bCs w:val="1"/>
                <w:color w:val="auto"/>
              </w:rPr>
              <w:t>WM HOLDING COMPANY, LLC AND SUBSIDIARIES</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CONSOLIDATED STATEMENTS OF INCOME</w:t>
            </w: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60" w:type="dxa"/>
            <w:vAlign w:val="bottom"/>
            <w:gridSpan w:val="6"/>
          </w:tcPr>
          <w:p>
            <w:pPr>
              <w:jc w:val="center"/>
              <w:ind w:left="3120"/>
              <w:spacing w:after="0"/>
              <w:rPr>
                <w:sz w:val="20"/>
                <w:szCs w:val="20"/>
                <w:color w:val="auto"/>
              </w:rPr>
            </w:pPr>
            <w:r>
              <w:rPr>
                <w:rFonts w:ascii="Arial" w:cs="Arial" w:eastAsia="Arial" w:hAnsi="Arial"/>
                <w:sz w:val="12"/>
                <w:szCs w:val="12"/>
                <w:b w:val="1"/>
                <w:bCs w:val="1"/>
                <w:color w:val="auto"/>
                <w:w w:val="89"/>
              </w:rPr>
              <w:t>For the years ended December 31, 2020, 2019 and 2018</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88"/>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4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b w:val="1"/>
                <w:bCs w:val="1"/>
                <w:color w:val="auto"/>
              </w:rPr>
              <w:t>REVENUES, net</w:t>
            </w:r>
          </w:p>
        </w:tc>
        <w:tc>
          <w:tcPr>
            <w:tcW w:w="8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101,402,007</w:t>
            </w: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144,231,479</w:t>
            </w: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161,790,762</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r>
      <w:tr>
        <w:trPr>
          <w:trHeight w:val="142"/>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OPERATING EXPENSES</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6,304,059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7,073,728</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7,629,965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4520" w:type="dxa"/>
            <w:vAlign w:val="bottom"/>
            <w:gridSpan w:val="3"/>
          </w:tcPr>
          <w:p>
            <w:pPr>
              <w:spacing w:after="0"/>
              <w:rPr>
                <w:sz w:val="20"/>
                <w:szCs w:val="20"/>
                <w:color w:val="auto"/>
              </w:rPr>
            </w:pPr>
            <w:r>
              <w:rPr>
                <w:rFonts w:ascii="Arial" w:cs="Arial" w:eastAsia="Arial" w:hAnsi="Arial"/>
                <w:sz w:val="12"/>
                <w:szCs w:val="12"/>
                <w:color w:val="auto"/>
              </w:rPr>
              <w:t>Sales and marketing</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17,798,973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39,745,946</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30,716,015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Product development</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20,033,481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29,496,687</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27,142,129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4520" w:type="dxa"/>
            <w:vAlign w:val="bottom"/>
            <w:gridSpan w:val="3"/>
          </w:tcPr>
          <w:p>
            <w:pPr>
              <w:spacing w:after="0"/>
              <w:rPr>
                <w:sz w:val="20"/>
                <w:szCs w:val="20"/>
                <w:color w:val="auto"/>
              </w:rPr>
            </w:pPr>
            <w:r>
              <w:rPr>
                <w:rFonts w:ascii="Arial" w:cs="Arial" w:eastAsia="Arial" w:hAnsi="Arial"/>
                <w:sz w:val="12"/>
                <w:szCs w:val="12"/>
                <w:color w:val="auto"/>
              </w:rPr>
              <w:t>General and administrative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38,934,680</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56,465,609</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51,127,116</w:t>
            </w:r>
          </w:p>
        </w:tc>
        <w:tc>
          <w:tcPr>
            <w:tcW w:w="220" w:type="dxa"/>
            <w:vAlign w:val="bottom"/>
          </w:tcPr>
          <w:p>
            <w:pPr>
              <w:spacing w:after="0"/>
              <w:rPr>
                <w:sz w:val="12"/>
                <w:szCs w:val="12"/>
                <w:color w:val="auto"/>
              </w:rPr>
            </w:pPr>
          </w:p>
        </w:tc>
      </w:tr>
      <w:tr>
        <w:trPr>
          <w:trHeight w:val="144"/>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2,148,628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5,162,595</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3,977,805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4520" w:type="dxa"/>
            <w:vAlign w:val="bottom"/>
            <w:gridSpan w:val="3"/>
          </w:tcPr>
          <w:p>
            <w:pPr>
              <w:spacing w:after="0"/>
              <w:rPr>
                <w:sz w:val="20"/>
                <w:szCs w:val="20"/>
                <w:color w:val="auto"/>
              </w:rPr>
            </w:pPr>
            <w:r>
              <w:rPr>
                <w:rFonts w:ascii="Arial" w:cs="Arial" w:eastAsia="Arial" w:hAnsi="Arial"/>
                <w:sz w:val="12"/>
                <w:szCs w:val="12"/>
                <w:color w:val="auto"/>
              </w:rPr>
              <w:t>Total operating expenses</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85,219,821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137,944,565</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120,593,030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INCOME FROM OPERATIONS</w:t>
            </w:r>
          </w:p>
        </w:tc>
        <w:tc>
          <w:tcPr>
            <w:tcW w:w="8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16,182,186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6,286,914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41,197,732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2"/>
        </w:trPr>
        <w:tc>
          <w:tcPr>
            <w:tcW w:w="4520" w:type="dxa"/>
            <w:vAlign w:val="bottom"/>
            <w:tcBorders>
              <w:top w:val="single" w:sz="8" w:color="CCEEFF"/>
            </w:tcBorders>
            <w:gridSpan w:val="3"/>
          </w:tcPr>
          <w:p>
            <w:pPr>
              <w:spacing w:after="0"/>
              <w:rPr>
                <w:sz w:val="20"/>
                <w:szCs w:val="20"/>
                <w:color w:val="auto"/>
              </w:rPr>
            </w:pPr>
            <w:r>
              <w:rPr>
                <w:rFonts w:ascii="Arial" w:cs="Arial" w:eastAsia="Arial" w:hAnsi="Arial"/>
                <w:sz w:val="12"/>
                <w:szCs w:val="12"/>
                <w:b w:val="1"/>
                <w:bCs w:val="1"/>
                <w:color w:val="auto"/>
              </w:rPr>
              <w:t>OTHER EXPENSE</w:t>
            </w:r>
          </w:p>
        </w:tc>
        <w:tc>
          <w:tcPr>
            <w:tcW w:w="82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r>
      <w:tr>
        <w:trPr>
          <w:trHeight w:val="144"/>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(621,462</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(124,220</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20" w:type="dxa"/>
            <w:vAlign w:val="bottom"/>
            <w:gridSpan w:val="3"/>
          </w:tcPr>
          <w:p>
            <w:pPr>
              <w:spacing w:after="0"/>
              <w:rPr>
                <w:sz w:val="20"/>
                <w:szCs w:val="20"/>
                <w:color w:val="auto"/>
              </w:rPr>
            </w:pPr>
            <w:r>
              <w:rPr>
                <w:rFonts w:ascii="Arial" w:cs="Arial" w:eastAsia="Arial" w:hAnsi="Arial"/>
                <w:sz w:val="12"/>
                <w:szCs w:val="12"/>
                <w:color w:val="auto"/>
              </w:rPr>
              <w:t>Other expense, net</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(1,206,475</w:t>
            </w:r>
          </w:p>
        </w:tc>
        <w:tc>
          <w:tcPr>
            <w:tcW w:w="140" w:type="dxa"/>
            <w:vAlign w:val="bottom"/>
          </w:tcPr>
          <w:p>
            <w:pPr>
              <w:spacing w:after="0"/>
              <w:rPr>
                <w:sz w:val="12"/>
                <w:szCs w:val="12"/>
                <w:color w:val="auto"/>
              </w:rPr>
            </w:pP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(5,217,334</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(2,365,623</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other expense</w:t>
            </w:r>
          </w:p>
        </w:tc>
        <w:tc>
          <w:tcPr>
            <w:tcW w:w="8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(1,827,937</w:t>
            </w: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(5,341,554</w:t>
            </w: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(2,367,739</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INCOME FROM CONTINUING OPERATIONS</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14,354,249</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945,360</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38,829,993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LOSS FROM DISCONTINUED OPERATIONS</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(1,674,738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INCOME BEFORE PROVISION FOR INCOME TAXES</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12,679,511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945,360</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38,829,993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4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Provision from income taxes</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1,321,045</w:t>
            </w: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4520" w:type="dxa"/>
            <w:vAlign w:val="bottom"/>
            <w:gridSpan w:val="3"/>
          </w:tcPr>
          <w:p>
            <w:pPr>
              <w:spacing w:after="0"/>
              <w:rPr>
                <w:sz w:val="20"/>
                <w:szCs w:val="20"/>
                <w:color w:val="auto"/>
              </w:rPr>
            </w:pPr>
            <w:r>
              <w:rPr>
                <w:rFonts w:ascii="Arial" w:cs="Arial" w:eastAsia="Arial" w:hAnsi="Arial"/>
                <w:sz w:val="12"/>
                <w:szCs w:val="12"/>
                <w:b w:val="1"/>
                <w:bCs w:val="1"/>
                <w:color w:val="auto"/>
              </w:rPr>
              <w:t>NET INCOME (LOSS)</w:t>
            </w: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12,679,511</w:t>
            </w:r>
          </w:p>
        </w:tc>
        <w:tc>
          <w:tcPr>
            <w:tcW w:w="560" w:type="dxa"/>
            <w:vAlign w:val="bottom"/>
          </w:tcPr>
          <w:p>
            <w:pPr>
              <w:spacing w:after="0"/>
              <w:rPr>
                <w:sz w:val="12"/>
                <w:szCs w:val="12"/>
                <w:color w:val="auto"/>
              </w:rPr>
            </w:pPr>
          </w:p>
        </w:tc>
        <w:tc>
          <w:tcPr>
            <w:tcW w:w="5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(375,685</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38,829,993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0"/>
        </w:trPr>
        <w:tc>
          <w:tcPr>
            <w:tcW w:w="4520" w:type="dxa"/>
            <w:vAlign w:val="bottom"/>
            <w:gridSpan w:val="3"/>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EARNINGS (LOSS) PER UNIT</w:t>
            </w: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44"/>
        </w:trPr>
        <w:tc>
          <w:tcPr>
            <w:tcW w:w="4520" w:type="dxa"/>
            <w:vAlign w:val="bottom"/>
            <w:gridSpan w:val="3"/>
          </w:tcPr>
          <w:p>
            <w:pPr>
              <w:spacing w:after="0"/>
              <w:rPr>
                <w:sz w:val="20"/>
                <w:szCs w:val="20"/>
                <w:color w:val="auto"/>
              </w:rPr>
            </w:pPr>
            <w:r>
              <w:rPr>
                <w:rFonts w:ascii="Arial" w:cs="Arial" w:eastAsia="Arial" w:hAnsi="Arial"/>
                <w:sz w:val="12"/>
                <w:szCs w:val="12"/>
                <w:color w:val="auto"/>
                <w:w w:val="91"/>
              </w:rPr>
              <w:t>Basic and diluted earnings (loss) per Class A-1, A-2 and A-3 units from continuing operations</w:t>
            </w:r>
          </w:p>
        </w:tc>
        <w:tc>
          <w:tcPr>
            <w:tcW w:w="8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16.95</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(0.42</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43.18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4520" w:type="dxa"/>
            <w:vAlign w:val="bottom"/>
            <w:tcBorders>
              <w:bottom w:val="single" w:sz="8" w:color="CCEEFF"/>
            </w:tcBorders>
            <w:gridSpan w:val="3"/>
            <w:shd w:val="clear" w:color="auto" w:fill="CCEEFF"/>
          </w:tcPr>
          <w:p>
            <w:pPr>
              <w:spacing w:after="0" w:line="120" w:lineRule="exact"/>
              <w:rPr>
                <w:sz w:val="20"/>
                <w:szCs w:val="20"/>
                <w:color w:val="auto"/>
              </w:rPr>
            </w:pPr>
            <w:r>
              <w:rPr>
                <w:rFonts w:ascii="Arial" w:cs="Arial" w:eastAsia="Arial" w:hAnsi="Arial"/>
                <w:sz w:val="12"/>
                <w:szCs w:val="12"/>
                <w:color w:val="auto"/>
              </w:rPr>
              <w:t>Basic and diluted loss per Class A-1, A-2 and A-3 units from discontinued operations</w:t>
            </w:r>
          </w:p>
        </w:tc>
        <w:tc>
          <w:tcPr>
            <w:tcW w:w="8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(1.98</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300"/>
              <w:spacing w:after="0" w:line="120"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120"/>
        </w:trPr>
        <w:tc>
          <w:tcPr>
            <w:tcW w:w="4520" w:type="dxa"/>
            <w:vAlign w:val="bottom"/>
            <w:gridSpan w:val="3"/>
          </w:tcPr>
          <w:p>
            <w:pPr>
              <w:spacing w:after="0" w:line="120" w:lineRule="exact"/>
              <w:rPr>
                <w:sz w:val="20"/>
                <w:szCs w:val="20"/>
                <w:color w:val="auto"/>
              </w:rPr>
            </w:pPr>
            <w:r>
              <w:rPr>
                <w:rFonts w:ascii="Arial" w:cs="Arial" w:eastAsia="Arial" w:hAnsi="Arial"/>
                <w:sz w:val="12"/>
                <w:szCs w:val="12"/>
                <w:color w:val="auto"/>
              </w:rPr>
              <w:t>Basic and diluted earnings (loss) per Class A-1, A-2 and A-3 units</w:t>
            </w:r>
          </w:p>
        </w:tc>
        <w:tc>
          <w:tcPr>
            <w:tcW w:w="82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tcPr>
          <w:p>
            <w:pPr>
              <w:jc w:val="right"/>
              <w:spacing w:after="0" w:line="120" w:lineRule="exact"/>
              <w:rPr>
                <w:sz w:val="20"/>
                <w:szCs w:val="20"/>
                <w:color w:val="auto"/>
              </w:rPr>
            </w:pPr>
            <w:r>
              <w:rPr>
                <w:rFonts w:ascii="Arial" w:cs="Arial" w:eastAsia="Arial" w:hAnsi="Arial"/>
                <w:sz w:val="12"/>
                <w:szCs w:val="12"/>
                <w:color w:val="auto"/>
              </w:rPr>
              <w:t>14.97</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jc w:val="right"/>
              <w:ind w:right="120"/>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(0.42</w:t>
            </w:r>
          </w:p>
        </w:tc>
        <w:tc>
          <w:tcPr>
            <w:tcW w:w="560" w:type="dxa"/>
            <w:vAlign w:val="bottom"/>
          </w:tcPr>
          <w:p>
            <w:pPr>
              <w:jc w:val="right"/>
              <w:ind w:right="300"/>
              <w:spacing w:after="0" w:line="120"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0" w:lineRule="exact"/>
              <w:rPr>
                <w:sz w:val="20"/>
                <w:szCs w:val="20"/>
                <w:color w:val="auto"/>
              </w:rPr>
            </w:pPr>
            <w:r>
              <w:rPr>
                <w:rFonts w:ascii="Arial" w:cs="Arial" w:eastAsia="Arial" w:hAnsi="Arial"/>
                <w:sz w:val="12"/>
                <w:szCs w:val="12"/>
                <w:color w:val="auto"/>
              </w:rPr>
              <w:t>43.18</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0"/>
        </w:trPr>
        <w:tc>
          <w:tcPr>
            <w:tcW w:w="4520" w:type="dxa"/>
            <w:vAlign w:val="bottom"/>
            <w:tcBorders>
              <w:bottom w:val="single" w:sz="8" w:color="CCEEFF"/>
            </w:tcBorders>
            <w:gridSpan w:val="3"/>
            <w:shd w:val="clear" w:color="auto" w:fill="CCEEFF"/>
          </w:tcPr>
          <w:p>
            <w:pPr>
              <w:spacing w:after="0" w:line="120" w:lineRule="exact"/>
              <w:rPr>
                <w:sz w:val="20"/>
                <w:szCs w:val="20"/>
                <w:color w:val="auto"/>
              </w:rPr>
            </w:pPr>
            <w:r>
              <w:rPr>
                <w:rFonts w:ascii="Arial" w:cs="Arial" w:eastAsia="Arial" w:hAnsi="Arial"/>
                <w:sz w:val="12"/>
                <w:szCs w:val="12"/>
                <w:color w:val="auto"/>
              </w:rPr>
              <w:t>Basic and diluted weighted-average number of units outstanding</w:t>
            </w:r>
          </w:p>
        </w:tc>
        <w:tc>
          <w:tcPr>
            <w:tcW w:w="8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847,024</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899,160</w:t>
            </w: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899,160</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r>
      <w:tr>
        <w:trPr>
          <w:trHeight w:val="211"/>
        </w:trPr>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center"/>
              <w:ind w:right="1000"/>
              <w:spacing w:after="0"/>
              <w:rPr>
                <w:sz w:val="20"/>
                <w:szCs w:val="20"/>
                <w:color w:val="auto"/>
              </w:rPr>
            </w:pPr>
            <w:r>
              <w:rPr>
                <w:rFonts w:ascii="Arial" w:cs="Arial" w:eastAsia="Arial" w:hAnsi="Arial"/>
                <w:sz w:val="10"/>
                <w:szCs w:val="10"/>
                <w:color w:val="auto"/>
                <w:w w:val="93"/>
              </w:rPr>
              <w:t>F-4</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6"/>
        </w:trPr>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4" w:right="29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16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37"/>
        </w:trPr>
        <w:tc>
          <w:tcPr>
            <w:tcW w:w="320" w:type="dxa"/>
            <w:vAlign w:val="bottom"/>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rPr>
              <w:t>WM HOLDING COMPANY, LLC AND SUBSIDIARIES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80" w:type="dxa"/>
            <w:vAlign w:val="bottom"/>
            <w:gridSpan w:val="7"/>
          </w:tcPr>
          <w:p>
            <w:pPr>
              <w:jc w:val="center"/>
              <w:ind w:left="120"/>
              <w:spacing w:after="0"/>
              <w:rPr>
                <w:sz w:val="20"/>
                <w:szCs w:val="20"/>
                <w:color w:val="auto"/>
              </w:rPr>
            </w:pPr>
            <w:r>
              <w:rPr>
                <w:rFonts w:ascii="Arial" w:cs="Arial" w:eastAsia="Arial" w:hAnsi="Arial"/>
                <w:sz w:val="12"/>
                <w:szCs w:val="12"/>
                <w:b w:val="1"/>
                <w:bCs w:val="1"/>
                <w:color w:val="auto"/>
              </w:rPr>
              <w:t>CONSOLIDATED STATEMENTS OF MEMBERS’ EQUITY</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8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89"/>
              </w:rPr>
              <w:t>For the years ended December 31, 2020, 2019 and 2018</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5"/>
        </w:trPr>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2"/>
                <w:szCs w:val="12"/>
                <w:b w:val="1"/>
                <w:bCs w:val="1"/>
                <w:color w:val="auto"/>
              </w:rPr>
              <w:t>Class A-3/B</w:t>
            </w:r>
          </w:p>
        </w:tc>
        <w:tc>
          <w:tcPr>
            <w:tcW w:w="48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Retained</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3"/>
              </w:rPr>
              <w:t>Total Member's</w:t>
            </w:r>
          </w:p>
        </w:tc>
        <w:tc>
          <w:tcPr>
            <w:tcW w:w="220" w:type="dxa"/>
            <w:vAlign w:val="bottom"/>
          </w:tcPr>
          <w:p>
            <w:pPr>
              <w:spacing w:after="0"/>
              <w:rPr>
                <w:sz w:val="23"/>
                <w:szCs w:val="23"/>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8"/>
              </w:rPr>
              <w:t>Class A-1 Units</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8"/>
              </w:rPr>
              <w:t>Class A-2 Units</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Units</w:t>
            </w:r>
          </w:p>
        </w:tc>
        <w:tc>
          <w:tcPr>
            <w:tcW w:w="48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earnings</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Equity</w:t>
            </w:r>
          </w:p>
        </w:tc>
        <w:tc>
          <w:tcPr>
            <w:tcW w:w="220" w:type="dxa"/>
            <w:vAlign w:val="bottom"/>
          </w:tcPr>
          <w:p>
            <w:pPr>
              <w:spacing w:after="0"/>
              <w:rPr>
                <w:sz w:val="13"/>
                <w:szCs w:val="13"/>
                <w:color w:val="auto"/>
              </w:rPr>
            </w:pPr>
          </w:p>
        </w:tc>
      </w:tr>
      <w:tr>
        <w:trPr>
          <w:trHeight w:val="129"/>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w:t>
            </w: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7"/>
        </w:trPr>
        <w:tc>
          <w:tcPr>
            <w:tcW w:w="19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December 31, 2017</w:t>
            </w:r>
          </w:p>
        </w:tc>
        <w:tc>
          <w:tcPr>
            <w:tcW w:w="3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4,546,847</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8,891,183</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13,438,030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4"/>
        </w:trPr>
        <w:tc>
          <w:tcPr>
            <w:tcW w:w="3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color w:val="auto"/>
              </w:rPr>
              <w:t>Sale of Class A Units</w:t>
            </w:r>
          </w:p>
        </w:tc>
        <w:tc>
          <w:tcPr>
            <w:tcW w:w="3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17,553,601</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17,553,601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Distributions</w:t>
            </w: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(524,894</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(66,840</w:t>
            </w:r>
          </w:p>
        </w:tc>
        <w:tc>
          <w:tcPr>
            <w:tcW w:w="58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(10,832,926</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(11,424,660</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320" w:type="dxa"/>
            <w:vAlign w:val="bottom"/>
          </w:tcPr>
          <w:p>
            <w:pPr>
              <w:spacing w:after="0"/>
              <w:rPr>
                <w:sz w:val="11"/>
                <w:szCs w:val="11"/>
                <w:color w:val="auto"/>
              </w:rPr>
            </w:pPr>
          </w:p>
        </w:tc>
        <w:tc>
          <w:tcPr>
            <w:tcW w:w="1600" w:type="dxa"/>
            <w:vAlign w:val="bottom"/>
            <w:gridSpan w:val="2"/>
          </w:tcPr>
          <w:p>
            <w:pPr>
              <w:spacing w:after="0" w:line="135" w:lineRule="exact"/>
              <w:rPr>
                <w:sz w:val="20"/>
                <w:szCs w:val="20"/>
                <w:color w:val="auto"/>
              </w:rPr>
            </w:pPr>
            <w:r>
              <w:rPr>
                <w:rFonts w:ascii="Arial" w:cs="Arial" w:eastAsia="Arial" w:hAnsi="Arial"/>
                <w:sz w:val="12"/>
                <w:szCs w:val="12"/>
                <w:color w:val="auto"/>
              </w:rPr>
              <w:t>Repurchase of Class B</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3"/>
        </w:trPr>
        <w:tc>
          <w:tcPr>
            <w:tcW w:w="1920" w:type="dxa"/>
            <w:vAlign w:val="bottom"/>
            <w:gridSpan w:val="3"/>
          </w:tcPr>
          <w:p>
            <w:pPr>
              <w:spacing w:after="0"/>
              <w:rPr>
                <w:sz w:val="20"/>
                <w:szCs w:val="20"/>
                <w:color w:val="auto"/>
              </w:rPr>
            </w:pPr>
            <w:r>
              <w:rPr>
                <w:rFonts w:ascii="Arial" w:cs="Arial" w:eastAsia="Arial" w:hAnsi="Arial"/>
                <w:sz w:val="12"/>
                <w:szCs w:val="12"/>
                <w:color w:val="auto"/>
              </w:rPr>
              <w:t>Units</w:t>
            </w:r>
          </w:p>
        </w:tc>
        <w:tc>
          <w:tcPr>
            <w:tcW w:w="3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(1,694,407</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(1,694,407</w:t>
            </w:r>
          </w:p>
        </w:tc>
        <w:tc>
          <w:tcPr>
            <w:tcW w:w="1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Deemed distribution on</w:t>
            </w: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3"/>
        </w:trPr>
        <w:tc>
          <w:tcPr>
            <w:tcW w:w="1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divestiture of controlled entities</w:t>
            </w:r>
          </w:p>
        </w:tc>
        <w:tc>
          <w:tcPr>
            <w:tcW w:w="3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(428,417</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(428,417</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3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12,679,511</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12,679,511</w:t>
            </w:r>
          </w:p>
        </w:tc>
        <w:tc>
          <w:tcPr>
            <w:tcW w:w="220" w:type="dxa"/>
            <w:vAlign w:val="bottom"/>
          </w:tcPr>
          <w:p>
            <w:pPr>
              <w:spacing w:after="0"/>
              <w:rPr>
                <w:sz w:val="12"/>
                <w:szCs w:val="12"/>
                <w:color w:val="auto"/>
              </w:rPr>
            </w:pPr>
          </w:p>
        </w:tc>
      </w:tr>
      <w:tr>
        <w:trPr>
          <w:trHeight w:val="129"/>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w:t>
            </w: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7"/>
        </w:trPr>
        <w:tc>
          <w:tcPr>
            <w:tcW w:w="19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December 31, 2018</w:t>
            </w:r>
          </w:p>
        </w:tc>
        <w:tc>
          <w:tcPr>
            <w:tcW w:w="3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4,021,953</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17,486,761</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8,614,944</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30,123,658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4"/>
        </w:trPr>
        <w:tc>
          <w:tcPr>
            <w:tcW w:w="3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color w:val="auto"/>
              </w:rPr>
              <w:t>Distributions</w:t>
            </w:r>
          </w:p>
        </w:tc>
        <w:tc>
          <w:tcPr>
            <w:tcW w:w="3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(715,031</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(378,018</w:t>
            </w:r>
          </w:p>
        </w:tc>
        <w:tc>
          <w:tcPr>
            <w:tcW w:w="58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(14,289,441</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(15,382,490</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Repurchase of Class B</w:t>
            </w: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3"/>
        </w:trPr>
        <w:tc>
          <w:tcPr>
            <w:tcW w:w="1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Units</w:t>
            </w:r>
          </w:p>
        </w:tc>
        <w:tc>
          <w:tcPr>
            <w:tcW w:w="3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(1,566,728</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(1,566,728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3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(375,685</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(375,685</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w:t>
            </w: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7"/>
        </w:trPr>
        <w:tc>
          <w:tcPr>
            <w:tcW w:w="19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December 31, 2019</w:t>
            </w:r>
          </w:p>
        </w:tc>
        <w:tc>
          <w:tcPr>
            <w:tcW w:w="3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3,306,922</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17,108,743</w:t>
            </w: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(7,616,910</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12,798,755</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4"/>
        </w:trPr>
        <w:tc>
          <w:tcPr>
            <w:tcW w:w="3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color w:val="auto"/>
              </w:rPr>
              <w:t>Distributions</w:t>
            </w:r>
          </w:p>
        </w:tc>
        <w:tc>
          <w:tcPr>
            <w:tcW w:w="38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(762,924</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(243,842</w:t>
            </w:r>
          </w:p>
        </w:tc>
        <w:tc>
          <w:tcPr>
            <w:tcW w:w="58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(20,944,766</w:t>
            </w: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(21,951,532</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Repurchase of Class B</w:t>
            </w: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3"/>
        </w:trPr>
        <w:tc>
          <w:tcPr>
            <w:tcW w:w="1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Units</w:t>
            </w: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(406,481</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(406,481</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38,829,993</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38,829,993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3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 December</w:t>
            </w:r>
          </w:p>
        </w:tc>
        <w:tc>
          <w:tcPr>
            <w:tcW w:w="3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97"/>
        </w:trPr>
        <w:tc>
          <w:tcPr>
            <w:tcW w:w="9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31, 2020</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2,543,998</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16,864,901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9,861,836</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29,270,735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1"/>
        </w:trPr>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center"/>
              <w:ind w:left="342"/>
              <w:spacing w:after="0"/>
              <w:rPr>
                <w:sz w:val="20"/>
                <w:szCs w:val="20"/>
                <w:color w:val="auto"/>
              </w:rPr>
            </w:pPr>
            <w:r>
              <w:rPr>
                <w:rFonts w:ascii="Arial" w:cs="Arial" w:eastAsia="Arial" w:hAnsi="Arial"/>
                <w:sz w:val="10"/>
                <w:szCs w:val="10"/>
                <w:color w:val="auto"/>
                <w:w w:val="93"/>
              </w:rPr>
              <w:t>F-5</w:t>
            </w:r>
          </w:p>
        </w:tc>
        <w:tc>
          <w:tcPr>
            <w:tcW w:w="4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6"/>
        </w:trPr>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4" w:right="29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384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237"/>
        </w:trPr>
        <w:tc>
          <w:tcPr>
            <w:tcW w:w="320" w:type="dxa"/>
            <w:vAlign w:val="bottom"/>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3180" w:type="dxa"/>
            <w:vAlign w:val="bottom"/>
          </w:tcPr>
          <w:p>
            <w:pPr>
              <w:spacing w:after="0"/>
              <w:rPr>
                <w:sz w:val="20"/>
                <w:szCs w:val="20"/>
                <w:color w:val="auto"/>
              </w:rPr>
            </w:pPr>
          </w:p>
        </w:tc>
        <w:tc>
          <w:tcPr>
            <w:tcW w:w="3280" w:type="dxa"/>
            <w:vAlign w:val="bottom"/>
            <w:gridSpan w:val="5"/>
          </w:tcPr>
          <w:p>
            <w:pPr>
              <w:jc w:val="center"/>
              <w:spacing w:after="0"/>
              <w:rPr>
                <w:sz w:val="20"/>
                <w:szCs w:val="20"/>
                <w:color w:val="auto"/>
              </w:rPr>
            </w:pPr>
            <w:r>
              <w:rPr>
                <w:rFonts w:ascii="Arial" w:cs="Arial" w:eastAsia="Arial" w:hAnsi="Arial"/>
                <w:sz w:val="12"/>
                <w:szCs w:val="12"/>
                <w:b w:val="1"/>
                <w:bCs w:val="1"/>
                <w:color w:val="auto"/>
              </w:rPr>
              <w:t>WM HOLDING COMPANY, LLC AND SUBSIDIARIES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80" w:type="dxa"/>
            <w:vAlign w:val="bottom"/>
            <w:gridSpan w:val="5"/>
          </w:tcPr>
          <w:p>
            <w:pPr>
              <w:jc w:val="center"/>
              <w:spacing w:after="0"/>
              <w:rPr>
                <w:sz w:val="20"/>
                <w:szCs w:val="20"/>
                <w:color w:val="auto"/>
              </w:rPr>
            </w:pPr>
            <w:r>
              <w:rPr>
                <w:rFonts w:ascii="Arial" w:cs="Arial" w:eastAsia="Arial" w:hAnsi="Arial"/>
                <w:sz w:val="12"/>
                <w:szCs w:val="12"/>
                <w:b w:val="1"/>
                <w:bCs w:val="1"/>
                <w:color w:val="auto"/>
                <w:w w:val="99"/>
              </w:rPr>
              <w:t>CONSOLIDATED STATEMENTS OF CASH FLOWS</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80" w:type="dxa"/>
            <w:vAlign w:val="bottom"/>
            <w:gridSpan w:val="5"/>
          </w:tcPr>
          <w:p>
            <w:pPr>
              <w:jc w:val="center"/>
              <w:spacing w:after="0"/>
              <w:rPr>
                <w:sz w:val="20"/>
                <w:szCs w:val="20"/>
                <w:color w:val="auto"/>
              </w:rPr>
            </w:pPr>
            <w:r>
              <w:rPr>
                <w:rFonts w:ascii="Arial" w:cs="Arial" w:eastAsia="Arial" w:hAnsi="Arial"/>
                <w:sz w:val="12"/>
                <w:szCs w:val="12"/>
                <w:b w:val="1"/>
                <w:bCs w:val="1"/>
                <w:color w:val="auto"/>
                <w:w w:val="89"/>
              </w:rPr>
              <w:t>For the years ended December 31, 2020, 2019 and 2018</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88"/>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2018</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2020</w:t>
            </w:r>
          </w:p>
        </w:tc>
        <w:tc>
          <w:tcPr>
            <w:tcW w:w="380" w:type="dxa"/>
            <w:vAlign w:val="bottom"/>
          </w:tcPr>
          <w:p>
            <w:pPr>
              <w:spacing w:after="0"/>
              <w:rPr>
                <w:sz w:val="24"/>
                <w:szCs w:val="24"/>
                <w:color w:val="auto"/>
              </w:rPr>
            </w:pPr>
          </w:p>
        </w:tc>
      </w:tr>
      <w:tr>
        <w:trPr>
          <w:trHeight w:val="142"/>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12,679,511</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(375,685</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38,829,993</w:t>
            </w: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5420" w:type="dxa"/>
            <w:vAlign w:val="bottom"/>
            <w:gridSpan w:val="4"/>
          </w:tcPr>
          <w:p>
            <w:pPr>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2,148,628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5,162,595</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3,977,805</w:t>
            </w: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Accretion of debt discounts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59,079</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Accounts receivable</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(432,095</w:t>
            </w:r>
          </w:p>
        </w:tc>
        <w:tc>
          <w:tcPr>
            <w:tcW w:w="160" w:type="dxa"/>
            <w:vAlign w:val="bottom"/>
          </w:tcPr>
          <w:p>
            <w:pPr>
              <w:spacing w:after="0"/>
              <w:rPr>
                <w:sz w:val="12"/>
                <w:szCs w:val="12"/>
                <w:color w:val="auto"/>
              </w:rPr>
            </w:pPr>
          </w:p>
        </w:tc>
        <w:tc>
          <w:tcPr>
            <w:tcW w:w="5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(2,572,107</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(5,498,845</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Prepaid expenses and other current assets</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871,245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(610,758</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(3,036,185</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65,948</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(3,344,195</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678,854</w:t>
            </w: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Accounts payable and accrued expenses</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1,651,975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7,373,723</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(960,299</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Deferred rent</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6,269</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496,065</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3,693,064</w:t>
            </w: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721,378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165,488</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935,738</w:t>
            </w: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Assets and liabilities held for sale</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(82,507</w:t>
            </w:r>
          </w:p>
        </w:tc>
        <w:tc>
          <w:tcPr>
            <w:tcW w:w="5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2"/>
        </w:trPr>
        <w:tc>
          <w:tcPr>
            <w:tcW w:w="320" w:type="dxa"/>
            <w:vAlign w:val="bottom"/>
            <w:tcBorders>
              <w:bottom w:val="single" w:sz="8" w:color="CCEEFF"/>
            </w:tcBorders>
            <w:shd w:val="clear" w:color="auto" w:fill="CCEEFF"/>
          </w:tcPr>
          <w:p>
            <w:pPr>
              <w:spacing w:after="0"/>
              <w:rPr>
                <w:sz w:val="12"/>
                <w:szCs w:val="12"/>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11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17,689,431</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6,295,126</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38,620,125</w:t>
            </w:r>
          </w:p>
        </w:tc>
        <w:tc>
          <w:tcPr>
            <w:tcW w:w="380" w:type="dxa"/>
            <w:vAlign w:val="bottom"/>
            <w:tcBorders>
              <w:bottom w:val="single" w:sz="8" w:color="CCEEFF"/>
            </w:tcBorders>
            <w:shd w:val="clear" w:color="auto" w:fill="CCEEFF"/>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(2,124,408</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(5,129,470</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(1,311,152</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(2,124,408</w:t>
            </w:r>
          </w:p>
        </w:tc>
        <w:tc>
          <w:tcPr>
            <w:tcW w:w="160" w:type="dxa"/>
            <w:vAlign w:val="bottom"/>
          </w:tcPr>
          <w:p>
            <w:pPr>
              <w:spacing w:after="0"/>
              <w:rPr>
                <w:sz w:val="12"/>
                <w:szCs w:val="12"/>
                <w:color w:val="auto"/>
              </w:rPr>
            </w:pPr>
          </w:p>
        </w:tc>
        <w:tc>
          <w:tcPr>
            <w:tcW w:w="5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(5,129,470</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(1,311,152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1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Net proceeds (repayments) from secured line of credit</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1,748,038</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(5,019,814</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 of Class A Units</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17,553,601</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Distributions to members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(11,424,660</w:t>
            </w:r>
          </w:p>
        </w:tc>
        <w:tc>
          <w:tcPr>
            <w:tcW w:w="5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(15,382,490</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(21,951,532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Repurchase of Class B Units</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(1,694,407</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(1,566,728</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(406,481</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Principal payments on notes payable to members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(2,243,611</w:t>
            </w:r>
          </w:p>
        </w:tc>
        <w:tc>
          <w:tcPr>
            <w:tcW w:w="160" w:type="dxa"/>
            <w:vAlign w:val="bottom"/>
          </w:tcPr>
          <w:p>
            <w:pPr>
              <w:spacing w:after="0"/>
              <w:rPr>
                <w:sz w:val="12"/>
                <w:szCs w:val="12"/>
                <w:color w:val="auto"/>
              </w:rPr>
            </w:pPr>
          </w:p>
        </w:tc>
        <w:tc>
          <w:tcPr>
            <w:tcW w:w="5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Principal payments on notes payable</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(695,000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3,243,961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(21,969,032</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(22,358,013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increase (decrease) in cash</w:t>
            </w:r>
          </w:p>
        </w:tc>
        <w:tc>
          <w:tcPr>
            <w:tcW w:w="11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18,808,984</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(20,803,376</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14,950,960</w:t>
            </w:r>
          </w:p>
        </w:tc>
        <w:tc>
          <w:tcPr>
            <w:tcW w:w="3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CASH – beginning of year</w:t>
            </w: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6,962,346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25,771,330</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4,967,954</w:t>
            </w:r>
          </w:p>
        </w:tc>
        <w:tc>
          <w:tcPr>
            <w:tcW w:w="380" w:type="dxa"/>
            <w:vAlign w:val="bottom"/>
          </w:tcPr>
          <w:p>
            <w:pPr>
              <w:spacing w:after="0"/>
              <w:rPr>
                <w:sz w:val="12"/>
                <w:szCs w:val="12"/>
                <w:color w:val="auto"/>
              </w:rPr>
            </w:pPr>
          </w:p>
        </w:tc>
      </w:tr>
      <w:tr>
        <w:trPr>
          <w:trHeight w:val="182"/>
        </w:trPr>
        <w:tc>
          <w:tcPr>
            <w:tcW w:w="32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CASH – end of year</w:t>
            </w:r>
          </w:p>
        </w:tc>
        <w:tc>
          <w:tcPr>
            <w:tcW w:w="11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25,771,330</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4,967,954</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19,918,914</w:t>
            </w:r>
          </w:p>
        </w:tc>
        <w:tc>
          <w:tcPr>
            <w:tcW w:w="380" w:type="dxa"/>
            <w:vAlign w:val="bottom"/>
            <w:tcBorders>
              <w:bottom w:val="single" w:sz="8" w:color="CCEEFF"/>
            </w:tcBorders>
            <w:shd w:val="clear" w:color="auto" w:fill="CCEEFF"/>
          </w:tcPr>
          <w:p>
            <w:pPr>
              <w:spacing w:after="0"/>
              <w:rPr>
                <w:sz w:val="15"/>
                <w:szCs w:val="15"/>
                <w:color w:val="auto"/>
              </w:rPr>
            </w:pPr>
          </w:p>
        </w:tc>
      </w:tr>
      <w:tr>
        <w:trPr>
          <w:trHeight w:val="120"/>
        </w:trPr>
        <w:tc>
          <w:tcPr>
            <w:tcW w:w="320" w:type="dxa"/>
            <w:vAlign w:val="bottom"/>
          </w:tcPr>
          <w:p>
            <w:pPr>
              <w:spacing w:after="0"/>
              <w:rPr>
                <w:sz w:val="10"/>
                <w:szCs w:val="10"/>
                <w:color w:val="auto"/>
              </w:rPr>
            </w:pPr>
          </w:p>
        </w:tc>
        <w:tc>
          <w:tcPr>
            <w:tcW w:w="3840" w:type="dxa"/>
            <w:vAlign w:val="bottom"/>
            <w:gridSpan w:val="2"/>
          </w:tcPr>
          <w:p>
            <w:pPr>
              <w:spacing w:after="0" w:line="120" w:lineRule="exact"/>
              <w:rPr>
                <w:sz w:val="20"/>
                <w:szCs w:val="20"/>
                <w:color w:val="auto"/>
              </w:rPr>
            </w:pPr>
            <w:r>
              <w:rPr>
                <w:rFonts w:ascii="Arial" w:cs="Arial" w:eastAsia="Arial" w:hAnsi="Arial"/>
                <w:sz w:val="12"/>
                <w:szCs w:val="12"/>
                <w:b w:val="1"/>
                <w:bCs w:val="1"/>
                <w:color w:val="auto"/>
              </w:rPr>
              <w:t>SUPPLEMENTAL DISCLOSURE OF CASH FLOW INFORMATION</w:t>
            </w: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64"/>
        </w:trPr>
        <w:tc>
          <w:tcPr>
            <w:tcW w:w="320" w:type="dxa"/>
            <w:vAlign w:val="bottom"/>
            <w:shd w:val="clear" w:color="auto" w:fill="CCEEFF"/>
          </w:tcPr>
          <w:p>
            <w:pPr>
              <w:spacing w:after="0"/>
              <w:rPr>
                <w:sz w:val="14"/>
                <w:szCs w:val="14"/>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paid for interest</w:t>
            </w: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579,793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157,407</w:t>
            </w: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2,115</w:t>
            </w:r>
          </w:p>
        </w:tc>
        <w:tc>
          <w:tcPr>
            <w:tcW w:w="380" w:type="dxa"/>
            <w:vAlign w:val="bottom"/>
            <w:shd w:val="clear" w:color="auto" w:fill="CCEEFF"/>
          </w:tcPr>
          <w:p>
            <w:pPr>
              <w:spacing w:after="0"/>
              <w:rPr>
                <w:sz w:val="14"/>
                <w:szCs w:val="14"/>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320" w:type="dxa"/>
            <w:vAlign w:val="bottom"/>
          </w:tcPr>
          <w:p>
            <w:pPr>
              <w:spacing w:after="0"/>
              <w:rPr>
                <w:sz w:val="10"/>
                <w:szCs w:val="10"/>
                <w:color w:val="auto"/>
              </w:rPr>
            </w:pPr>
          </w:p>
        </w:tc>
        <w:tc>
          <w:tcPr>
            <w:tcW w:w="3840" w:type="dxa"/>
            <w:vAlign w:val="bottom"/>
            <w:gridSpan w:val="2"/>
          </w:tcPr>
          <w:p>
            <w:pPr>
              <w:spacing w:after="0" w:line="120" w:lineRule="exact"/>
              <w:rPr>
                <w:sz w:val="20"/>
                <w:szCs w:val="20"/>
                <w:color w:val="auto"/>
              </w:rPr>
            </w:pPr>
            <w:r>
              <w:rPr>
                <w:rFonts w:ascii="Arial" w:cs="Arial" w:eastAsia="Arial" w:hAnsi="Arial"/>
                <w:sz w:val="12"/>
                <w:szCs w:val="12"/>
                <w:color w:val="auto"/>
              </w:rPr>
              <w:t>Cash paid for income taxes</w:t>
            </w:r>
          </w:p>
        </w:tc>
        <w:tc>
          <w:tcPr>
            <w:tcW w:w="1180" w:type="dxa"/>
            <w:vAlign w:val="bottom"/>
          </w:tcPr>
          <w:p>
            <w:pPr>
              <w:spacing w:after="0"/>
              <w:rPr>
                <w:sz w:val="10"/>
                <w:szCs w:val="10"/>
                <w:color w:val="auto"/>
              </w:rPr>
            </w:pP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w:t>
            </w:r>
          </w:p>
        </w:tc>
        <w:tc>
          <w:tcPr>
            <w:tcW w:w="580" w:type="dxa"/>
            <w:vAlign w:val="bottom"/>
          </w:tcPr>
          <w:p>
            <w:pPr>
              <w:spacing w:after="0"/>
              <w:rPr>
                <w:sz w:val="10"/>
                <w:szCs w:val="10"/>
                <w:color w:val="auto"/>
              </w:rPr>
            </w:pPr>
          </w:p>
        </w:tc>
        <w:tc>
          <w:tcPr>
            <w:tcW w:w="560" w:type="dxa"/>
            <w:vAlign w:val="bottom"/>
          </w:tcPr>
          <w:p>
            <w:pPr>
              <w:jc w:val="right"/>
              <w:ind w:right="120"/>
              <w:spacing w:after="0" w:line="120" w:lineRule="exact"/>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117,848</w:t>
            </w:r>
          </w:p>
        </w:tc>
        <w:tc>
          <w:tcPr>
            <w:tcW w:w="580" w:type="dxa"/>
            <w:vAlign w:val="bottom"/>
          </w:tcPr>
          <w:p>
            <w:pPr>
              <w:spacing w:after="0"/>
              <w:rPr>
                <w:sz w:val="10"/>
                <w:szCs w:val="10"/>
                <w:color w:val="auto"/>
              </w:rPr>
            </w:pPr>
          </w:p>
        </w:tc>
        <w:tc>
          <w:tcPr>
            <w:tcW w:w="560" w:type="dxa"/>
            <w:vAlign w:val="bottom"/>
          </w:tcPr>
          <w:p>
            <w:pPr>
              <w:jc w:val="right"/>
              <w:ind w:right="120"/>
              <w:spacing w:after="0" w:line="120"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0" w:lineRule="exact"/>
              <w:rPr>
                <w:sz w:val="20"/>
                <w:szCs w:val="20"/>
                <w:color w:val="auto"/>
              </w:rPr>
            </w:pPr>
            <w:r>
              <w:rPr>
                <w:rFonts w:ascii="Arial" w:cs="Arial" w:eastAsia="Arial" w:hAnsi="Arial"/>
                <w:sz w:val="12"/>
                <w:szCs w:val="12"/>
                <w:color w:val="auto"/>
              </w:rPr>
              <w:t>1,335,998</w:t>
            </w:r>
          </w:p>
        </w:tc>
        <w:tc>
          <w:tcPr>
            <w:tcW w:w="380" w:type="dxa"/>
            <w:vAlign w:val="bottom"/>
          </w:tcPr>
          <w:p>
            <w:pPr>
              <w:spacing w:after="0"/>
              <w:rPr>
                <w:sz w:val="10"/>
                <w:szCs w:val="10"/>
                <w:color w:val="auto"/>
              </w:rPr>
            </w:pPr>
          </w:p>
        </w:tc>
      </w:tr>
      <w:tr>
        <w:trPr>
          <w:trHeight w:val="144"/>
        </w:trPr>
        <w:tc>
          <w:tcPr>
            <w:tcW w:w="32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Deemed distribution on divestiture of controlled entities</w:t>
            </w:r>
          </w:p>
        </w:tc>
        <w:tc>
          <w:tcPr>
            <w:tcW w:w="1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428,417</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r>
      <w:tr>
        <w:trPr>
          <w:trHeight w:val="233"/>
        </w:trPr>
        <w:tc>
          <w:tcPr>
            <w:tcW w:w="32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31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760"/>
              <w:spacing w:after="0"/>
              <w:rPr>
                <w:sz w:val="20"/>
                <w:szCs w:val="20"/>
                <w:color w:val="auto"/>
              </w:rPr>
            </w:pPr>
            <w:r>
              <w:rPr>
                <w:rFonts w:ascii="Arial" w:cs="Arial" w:eastAsia="Arial" w:hAnsi="Arial"/>
                <w:sz w:val="10"/>
                <w:szCs w:val="10"/>
                <w:color w:val="auto"/>
                <w:w w:val="93"/>
              </w:rPr>
              <w:t>F-6</w:t>
            </w:r>
          </w:p>
        </w:tc>
        <w:tc>
          <w:tcPr>
            <w:tcW w:w="16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r>
      <w:tr>
        <w:trPr>
          <w:trHeight w:val="26"/>
        </w:trPr>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14" w:right="299" w:bottom="1440" w:gutter="0" w:footer="0" w:header="0"/>
        </w:sectPr>
      </w:pPr>
    </w:p>
    <w:bookmarkStart w:id="141" w:name="page142"/>
    <w:bookmarkEnd w:id="141"/>
    <w:p>
      <w:pPr>
        <w:ind w:left="320"/>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Business and organization</w:t>
      </w:r>
    </w:p>
    <w:p>
      <w:pPr>
        <w:spacing w:after="0" w:line="15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1"/>
          <w:szCs w:val="11"/>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5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The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Weedmaps Germany GmbH, WM Teal, LLC, WM Museum, LLC, Weedmaps Artist Management, LLC, Ghost Gaming Holdings, LLC, WMBP Investment, LLC, and WMG Pharma GmbH. All significant intercompany balance and transactions have been eliminated upon consolidation.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Discontinued Operations</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Effective April 30, 2018, the Company sold 100% of the equity interests in WMG Pharma GmbH to an entity owned by its founders for $13,490 and on May 31, 2018, the Company divested its equity interests in Ghost Gaming Holdings, LLC, Weedmaps Artist Management, LLC, and WMBP Investment, LLC (collectively, “Divested Entities”) to certain of its members. The fair value based on a valuation report for the Divested Entities was $1,495,000. No gain or loss was recorded due to the related party nature of the divestiture; instead the divestiture was recorded as a deemed distribution in member’s equity. The activities of the Divested Entities were included in the consolidated financial statements through the date of the divestiture.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As a result of the Company’s decision to divest its interest in Divested Entities, the Company has reclassified and presented all related historical financial information as it relates to the Divested Entities as “discontinued operations” in the accompanying consolidated statements of operations as of and for the year ended December 31, 2018. In addition, all related activities have been excluded from footnote disclosures unless specifically referenced. These reclassifications have no effect on previously reported net income.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42" w:name="page143"/>
    <w:bookmarkEnd w:id="14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2020, 2019 and 2018.</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Significant estimates made by management include, among others, the valuation of accounts receivable, the useful lives of long-lived assets, income taxes, website and internal-use software development costs, valuation of goodwill and other intangible assets, revenue recognition, stock-based compensation, and the recognition and disclosure of contingent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150" w:lineRule="exact"/>
        <w:rPr>
          <w:sz w:val="20"/>
          <w:szCs w:val="20"/>
          <w:color w:val="auto"/>
        </w:rPr>
      </w:pPr>
    </w:p>
    <w:p>
      <w:pPr>
        <w:jc w:val="both"/>
        <w:ind w:firstLine="324"/>
        <w:spacing w:after="0" w:line="379" w:lineRule="auto"/>
        <w:rPr>
          <w:sz w:val="20"/>
          <w:szCs w:val="20"/>
          <w:color w:val="auto"/>
        </w:rPr>
      </w:pPr>
      <w:r>
        <w:rPr>
          <w:rFonts w:ascii="Arial" w:cs="Arial" w:eastAsia="Arial" w:hAnsi="Arial"/>
          <w:sz w:val="10"/>
          <w:szCs w:val="10"/>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6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 considers all highly liquid investments with an original maturity of three months or less to be cash equivalents. At December 31, 2020, 2019 and 2018, the Company did not have any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w:t>
      </w:r>
    </w:p>
    <w:p>
      <w:pPr>
        <w:spacing w:after="0" w:line="15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monthly and past due balances are reviewed individually for collectability. Account balances are written off against the allowance when it is determined that it is probable that the receivable will not be recovered. As of December 31, 2020, and 2019, the Company recorded an allowance for bad debt of $857,382 and $913,715,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Property and equipment are stated at historical cost less accumulated depreciation. Depreciation is computed using the straight-line method over the estimated useful lives of the assets, which range from three to ten years. Leasehold improvements are amortized over the lesser of the related lease term or their estimated useful life. Expenditures for major renewals and betterments are capitalized, while minor replacements, maintenance and repairs, which do not extend the asset lives, are charged to operations as incurred. Costs related to website and internal-use software are primarily related to the Company’s website. The Company capitalizes its costs to develop software when preliminary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3" w:name="page144"/>
    <w:bookmarkEnd w:id="14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Costs incurred prior to meeting these criteria, together with costs incurred for training and maintenance, are expensed as incurred. Costs incurred for enhancements that are expected to result in additional material functionality are capitalized and amortized over the estimated useful life of the upgrades. Upon sale or disposition, the cost and related accumulated depreciation and amortization are removed from the accounts, and any gain or loss is included in the Company’s results from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Goodwill is the excess of the cost of an acquired entity over the net of the amounts assigned to assets acquired and liabilities assumed.</w:t>
      </w:r>
    </w:p>
    <w:p>
      <w:pPr>
        <w:spacing w:after="0" w:line="15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For impairment purposes, the Company assesses qualitative factors to determine if it is necessary to perform the two-step quantitative goodwill impairment test.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Quantitative testing compares the fair value of the reporting unit to its book value, including goodwill. If the book value exceeds the fair value, then the Company would calculate the potential impairment loss by comparing the implied fair value of goodwill with the book value. If the implied fair value of goodwill is less than the book value, then an impairment charge would be recorded. For the years ended December 31, 2020 and 2019, there were no impairment of goodwill. The Company has elected not to amortize goodwill.</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intangible assets consist of trade and domain names, and software technology which are amortized using the straight-line method over 5 to 15 years.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5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reviews its long-lived assets for impairment whenever events or changes in circumstances indicate that the carrying amount of an asset may not be recoverable.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estimated fair value. For the years ended December 31, 2020 and 2019, there were no such impairments.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124"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1"/>
          <w:szCs w:val="11"/>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4" w:name="page145"/>
    <w:bookmarkEnd w:id="14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Deferred revenue primarily consists of billings or payments received in advance of revenue recognition from subscription offerings, as described above, and is recognized as the revenue recognition criteria are met. The prior year deferred revenue balance of $4.3 million was fully recognized in fiscal year 2020, and the current year deferred revenue balance of $5.3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the Company’s disaggregated net revenue information for the years ended December 31, 2020, 2019 and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2"/>
        </w:trPr>
        <w:tc>
          <w:tcPr>
            <w:tcW w:w="7340" w:type="dxa"/>
            <w:vAlign w:val="bottom"/>
            <w:shd w:val="clear" w:color="auto" w:fill="CCEEFF"/>
          </w:tcPr>
          <w:p>
            <w:pPr>
              <w:spacing w:after="0" w:line="142" w:lineRule="exact"/>
              <w:rPr>
                <w:sz w:val="20"/>
                <w:szCs w:val="20"/>
                <w:color w:val="auto"/>
              </w:rPr>
            </w:pPr>
            <w:r>
              <w:rPr>
                <w:rFonts w:ascii="Arial" w:cs="Arial" w:eastAsia="Arial" w:hAnsi="Arial"/>
                <w:sz w:val="10"/>
                <w:szCs w:val="10"/>
                <w:color w:val="auto"/>
              </w:rPr>
              <w:t>Revenues recognized over time</w:t>
            </w:r>
            <w:r>
              <w:rPr>
                <w:rFonts w:ascii="Arial" w:cs="Arial" w:eastAsia="Arial" w:hAnsi="Arial"/>
                <w:sz w:val="16"/>
                <w:szCs w:val="16"/>
                <w:color w:val="auto"/>
                <w:vertAlign w:val="superscript"/>
              </w:rPr>
              <w:t>(1)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101,402,007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143,489,929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155,362,875</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Revenues recognized at a point in time</w:t>
            </w:r>
            <w:r>
              <w:rPr>
                <w:rFonts w:ascii="Arial" w:cs="Arial" w:eastAsia="Arial" w:hAnsi="Arial"/>
                <w:sz w:val="16"/>
                <w:szCs w:val="16"/>
                <w:color w:val="auto"/>
                <w:vertAlign w:val="superscript"/>
              </w:rPr>
              <w:t>(2)</w:t>
            </w:r>
          </w:p>
        </w:tc>
        <w:tc>
          <w:tcPr>
            <w:tcW w:w="260" w:type="dxa"/>
            <w:vAlign w:val="bottom"/>
          </w:tcPr>
          <w:p>
            <w:pPr>
              <w:spacing w:after="0"/>
              <w:rPr>
                <w:sz w:val="12"/>
                <w:szCs w:val="12"/>
                <w:color w:val="auto"/>
              </w:rPr>
            </w:pP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741,550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6,427,887</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101,402,007</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144,231,479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161,790,762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340" w:type="dxa"/>
            <w:vAlign w:val="bottom"/>
          </w:tcPr>
          <w:p>
            <w:pPr>
              <w:spacing w:after="0"/>
              <w:rPr>
                <w:sz w:val="20"/>
                <w:szCs w:val="20"/>
                <w:color w:val="auto"/>
              </w:rPr>
            </w:pPr>
            <w:r>
              <w:rPr>
                <w:rFonts w:ascii="Arial" w:cs="Arial" w:eastAsia="Arial" w:hAnsi="Arial"/>
                <w:sz w:val="12"/>
                <w:szCs w:val="12"/>
                <w:color w:val="auto"/>
              </w:rPr>
              <w:t>(1)  Revenues from listing subscription services, featured listings and other advertising products.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7340" w:type="dxa"/>
            <w:vAlign w:val="bottom"/>
          </w:tcPr>
          <w:p>
            <w:pPr>
              <w:spacing w:after="0"/>
              <w:rPr>
                <w:sz w:val="20"/>
                <w:szCs w:val="20"/>
                <w:color w:val="auto"/>
              </w:rPr>
            </w:pPr>
            <w:r>
              <w:rPr>
                <w:rFonts w:ascii="Arial" w:cs="Arial" w:eastAsia="Arial" w:hAnsi="Arial"/>
                <w:sz w:val="12"/>
                <w:szCs w:val="12"/>
                <w:color w:val="auto"/>
              </w:rPr>
              <w:t>(2)  Revenues from use of orders functionality.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7340" w:type="dxa"/>
            <w:vAlign w:val="bottom"/>
          </w:tcPr>
          <w:p>
            <w:pPr>
              <w:ind w:left="320"/>
              <w:spacing w:after="0"/>
              <w:rPr>
                <w:sz w:val="20"/>
                <w:szCs w:val="20"/>
                <w:color w:val="auto"/>
              </w:rPr>
            </w:pPr>
            <w:r>
              <w:rPr>
                <w:rFonts w:ascii="Arial" w:cs="Arial" w:eastAsia="Arial" w:hAnsi="Arial"/>
                <w:sz w:val="12"/>
                <w:szCs w:val="12"/>
                <w:color w:val="auto"/>
              </w:rPr>
              <w:t>The following table summarizes the Company’s U.S. and foreign revenues for the years ended December 31, 2020, 2019 and 2018: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r>
      <w:tr>
        <w:trPr>
          <w:trHeight w:val="142"/>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U.S. revenues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100,670,847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132,076,823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130,373,022</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Foreign revenues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731,160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12,154,656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31,417,740</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101,402,007</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144,231,479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161,790,762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All foreign revenues were generated in Canada.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year ended December 31, 2019, the Company recorded a provision for income taxes of approximately $1.3 million, related to estimated taxable income from operations of WM Canada Holdings, Inc., in the accompanying statement of operations. No provision for income taxes was recorded for the year ended December 31, 2020 and 2018.</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components of income (loss) before income taxes for the years ended December 31, 2020, 2019 and 2018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42"/>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33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12,010,276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(4,152,308)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38,877,652</w:t>
            </w:r>
          </w:p>
        </w:tc>
        <w:tc>
          <w:tcPr>
            <w:tcW w:w="120" w:type="dxa"/>
            <w:vAlign w:val="bottom"/>
            <w:shd w:val="clear" w:color="auto" w:fill="CCEEFF"/>
          </w:tcPr>
          <w:p>
            <w:pPr>
              <w:spacing w:after="0"/>
              <w:rPr>
                <w:sz w:val="12"/>
                <w:szCs w:val="12"/>
                <w:color w:val="auto"/>
              </w:rPr>
            </w:pPr>
          </w:p>
        </w:tc>
      </w:tr>
      <w:tr>
        <w:trPr>
          <w:trHeight w:val="144"/>
        </w:trPr>
        <w:tc>
          <w:tcPr>
            <w:tcW w:w="4020" w:type="dxa"/>
            <w:vAlign w:val="bottom"/>
          </w:tcPr>
          <w:p>
            <w:pPr>
              <w:spacing w:after="0"/>
              <w:rPr>
                <w:sz w:val="20"/>
                <w:szCs w:val="20"/>
                <w:color w:val="auto"/>
              </w:rPr>
            </w:pPr>
            <w:r>
              <w:rPr>
                <w:rFonts w:ascii="Arial" w:cs="Arial" w:eastAsia="Arial" w:hAnsi="Arial"/>
                <w:sz w:val="12"/>
                <w:szCs w:val="12"/>
                <w:color w:val="auto"/>
              </w:rPr>
              <w:t>Foreign</w:t>
            </w: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669,235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5,097,668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(47,659)</w:t>
            </w:r>
          </w:p>
        </w:tc>
      </w:tr>
      <w:tr>
        <w:trPr>
          <w:trHeight w:val="182"/>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 before provision for income taxes</w:t>
            </w:r>
          </w:p>
        </w:tc>
        <w:tc>
          <w:tcPr>
            <w:tcW w:w="3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12,679,511</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945,360</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38,829,993</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11"/>
        </w:trPr>
        <w:tc>
          <w:tcPr>
            <w:tcW w:w="4020" w:type="dxa"/>
            <w:vAlign w:val="bottom"/>
          </w:tcPr>
          <w:p>
            <w:pPr>
              <w:spacing w:after="0"/>
              <w:rPr>
                <w:sz w:val="18"/>
                <w:szCs w:val="18"/>
                <w:color w:val="auto"/>
              </w:rPr>
            </w:pPr>
          </w:p>
        </w:tc>
        <w:tc>
          <w:tcPr>
            <w:tcW w:w="3580" w:type="dxa"/>
            <w:vAlign w:val="bottom"/>
            <w:gridSpan w:val="2"/>
          </w:tcPr>
          <w:p>
            <w:pPr>
              <w:jc w:val="right"/>
              <w:ind w:right="1812"/>
              <w:spacing w:after="0"/>
              <w:rPr>
                <w:sz w:val="20"/>
                <w:szCs w:val="20"/>
                <w:color w:val="auto"/>
              </w:rPr>
            </w:pPr>
            <w:r>
              <w:rPr>
                <w:rFonts w:ascii="Arial" w:cs="Arial" w:eastAsia="Arial" w:hAnsi="Arial"/>
                <w:sz w:val="10"/>
                <w:szCs w:val="10"/>
                <w:color w:val="auto"/>
              </w:rPr>
              <w:t>F-10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
        </w:trPr>
        <w:tc>
          <w:tcPr>
            <w:tcW w:w="40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45" w:name="page146"/>
    <w:bookmarkEnd w:id="14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While electing Limited Liability Company status, the Company does not believe it has any uncertain income tax positions that are more likely that not to materially affect its consolidated financial statements. The Company’s federal and state income tax returns remain open to agency examination for the standard statutory length of time after filing.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At December 31, 2020 and 2019, the Company did not have any assets or liabilities measured at fair value on a recurring or nonrecurring basis.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cost of revenue primarily consists of web hosting, internet service costs, and credit card processing costs.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Development Costs</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expenses the cost of all advertising in the period incurred. Advertising expense totaled $10.6 million, $20.6 million, and $6.6 million, for the years ended December 31, 2020, 2019 and 2018, respectively, and are included in sales and marketing expense in the accompanying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expense, net</w:t>
      </w:r>
    </w:p>
    <w:p>
      <w:pPr>
        <w:spacing w:after="0" w:line="1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company records interest expense, financing fees, political contributions, legal settlements, gain (loss) on currency exchange, and other tax related expenses in other expenses in the accompanying statement of operations. Total political contributions for the year ended December 31, 2020, 2019 and 2018 was $773,370, $915,250, and $795,275, respectively. The Company expenses the cost of all political contributions in the period incurred. Financing fees totaled $807,474, $3,540,636, and $286,228 for the years ended December 31, 2020, 2019 and 2018, respectively. The large increase in financing fees in 2019 related to legal and other consulting fees the Company incurred while working on multiple financing projects. The Company also incurred $610,539 in sales tax paid by one of the Company’s Canadian subsidiaries in 2019 due to certain sales taxes not collected from customers in the foreign jurisdiction and ultimately paid by the Company. No such cost was incurred in 2020 and 2018. The Company also recorded a gain (loss) from currency exchange of ($729,505), ($34,705) and $7,455 for fiscal years ended December 31, 2020, 2019 and 2018 related to revenue generated in Canada.</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6" w:name="page147"/>
    <w:bookmarkEnd w:id="14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and its subsidiaries operate in one business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Earnings Per Unit</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Earnings per unit amounts are computed independently for earnings per unit from continuing operations, loss per unit from discontinued operations and net earnings per unit. As a result, the sum of per unit amounts from continuing operations and discontinued operations may not equal the total per unit amounts for net earnings.</w:t>
      </w:r>
    </w:p>
    <w:p>
      <w:pPr>
        <w:spacing w:after="0" w:line="1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All Class A Units, including Class A-1, Class A-2, and Class A-3 Units, have been included in the calculations for earnings per unit as of December 31, 2020, 2019 and 2018 primarily due to their voting and distribution rights. Since Class B Units had no voting, distribution, or dividend rights and were subject to exercise limitations, such units have been excluded from the calculations for earnings per unit as of December 31, 2020, 2019 and 2018. No other dilutive instruments were outstanding as of December 31, 2020, 2019, and 2018. See Note 8 for further discussion.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new guidance is effective for private companies for annual periods beginning after December 15, 2020, with early adoption permitted. A modified retrospective transition approach is required for lessees for capital and operating leases existing at, or entered into after, the beginning of the earliest comparative period presented in the consolidated financial statements, with certain practical expedients available. The Company has multiple long-term operating leases and is currently in the process of evaluating the impact of the new accounting guidance on its consolidated balance sheets, consolidated statement of income and cash flows.</w:t>
      </w:r>
    </w:p>
    <w:p>
      <w:pPr>
        <w:spacing w:after="0" w:line="12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 January 1, 2019.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7" w:name="page148"/>
    <w:bookmarkEnd w:id="14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1"/>
          <w:szCs w:val="11"/>
          <w:color w:val="auto"/>
        </w:rPr>
        <w:t>In January 2017, the FASB issued ASU 2017-04, Intangibles - Goodwill and Other (Topic 350): Simplifying the Test for Goodwill Impairment.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 income tax effect of tax deductible goodwill when measuring goodwill impairment loss. The guidance is effective for reporting periods beginning after December 15, 2021. The Company is currently evaluating the impact of the adoption of this guidance on its consolidated financial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00" w:type="dxa"/>
            <w:vAlign w:val="bottom"/>
          </w:tcPr>
          <w:p>
            <w:pPr>
              <w:spacing w:after="0"/>
              <w:rPr>
                <w:sz w:val="20"/>
                <w:szCs w:val="20"/>
                <w:color w:val="auto"/>
              </w:rPr>
            </w:pPr>
            <w:r>
              <w:rPr>
                <w:rFonts w:ascii="Arial" w:cs="Arial" w:eastAsia="Arial" w:hAnsi="Arial"/>
                <w:sz w:val="12"/>
                <w:szCs w:val="12"/>
                <w:b w:val="1"/>
                <w:bCs w:val="1"/>
                <w:color w:val="auto"/>
              </w:rPr>
              <w:t>3. Property and equipment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ind w:left="320"/>
              <w:spacing w:after="0"/>
              <w:rPr>
                <w:sz w:val="20"/>
                <w:szCs w:val="20"/>
                <w:color w:val="auto"/>
              </w:rPr>
            </w:pPr>
            <w:r>
              <w:rPr>
                <w:rFonts w:ascii="Arial" w:cs="Arial" w:eastAsia="Arial" w:hAnsi="Arial"/>
                <w:sz w:val="12"/>
                <w:szCs w:val="12"/>
                <w:color w:val="auto"/>
              </w:rPr>
              <w:t>Property and equipment consists of the following as of December 31, 2020 and 2019: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Computer equipment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6,585,289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center"/>
              <w:ind w:left="340"/>
              <w:spacing w:after="0"/>
              <w:rPr>
                <w:sz w:val="20"/>
                <w:szCs w:val="20"/>
                <w:color w:val="auto"/>
              </w:rPr>
            </w:pPr>
            <w:r>
              <w:rPr>
                <w:rFonts w:ascii="Arial" w:cs="Arial" w:eastAsia="Arial" w:hAnsi="Arial"/>
                <w:sz w:val="12"/>
                <w:szCs w:val="12"/>
                <w:color w:val="auto"/>
                <w:w w:val="86"/>
              </w:rPr>
              <w:t>7,117,299</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Capitalized software</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5,122,650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left="200"/>
              <w:spacing w:after="0"/>
              <w:rPr>
                <w:sz w:val="20"/>
                <w:szCs w:val="20"/>
                <w:color w:val="auto"/>
              </w:rPr>
            </w:pPr>
            <w:r>
              <w:rPr>
                <w:rFonts w:ascii="Arial" w:cs="Arial" w:eastAsia="Arial" w:hAnsi="Arial"/>
                <w:sz w:val="12"/>
                <w:szCs w:val="12"/>
                <w:color w:val="auto"/>
                <w:w w:val="89"/>
              </w:rPr>
              <w:t>5,122,650</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1,213,132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left="200"/>
              <w:spacing w:after="0"/>
              <w:rPr>
                <w:sz w:val="20"/>
                <w:szCs w:val="20"/>
                <w:color w:val="auto"/>
              </w:rPr>
            </w:pPr>
            <w:r>
              <w:rPr>
                <w:rFonts w:ascii="Arial" w:cs="Arial" w:eastAsia="Arial" w:hAnsi="Arial"/>
                <w:sz w:val="12"/>
                <w:szCs w:val="12"/>
                <w:color w:val="auto"/>
                <w:w w:val="89"/>
              </w:rPr>
              <w:t>1,285,880</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Leasehold improvements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1,892,172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left="200"/>
              <w:spacing w:after="0"/>
              <w:rPr>
                <w:sz w:val="20"/>
                <w:szCs w:val="20"/>
                <w:color w:val="auto"/>
              </w:rPr>
            </w:pPr>
            <w:r>
              <w:rPr>
                <w:rFonts w:ascii="Arial" w:cs="Arial" w:eastAsia="Arial" w:hAnsi="Arial"/>
                <w:sz w:val="12"/>
                <w:szCs w:val="12"/>
                <w:color w:val="auto"/>
                <w:w w:val="89"/>
              </w:rPr>
              <w:t>2,598,566</w:t>
            </w:r>
          </w:p>
        </w:tc>
      </w:tr>
      <w:tr>
        <w:trPr>
          <w:trHeight w:val="142"/>
        </w:trPr>
        <w:tc>
          <w:tcPr>
            <w:tcW w:w="87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14,813,243</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16,124,395</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(5,657,718)</w:t>
            </w:r>
          </w:p>
        </w:tc>
        <w:tc>
          <w:tcPr>
            <w:tcW w:w="260" w:type="dxa"/>
            <w:vAlign w:val="bottom"/>
          </w:tcPr>
          <w:p>
            <w:pPr>
              <w:spacing w:after="0"/>
              <w:rPr>
                <w:sz w:val="12"/>
                <w:szCs w:val="12"/>
                <w:color w:val="auto"/>
              </w:rPr>
            </w:pPr>
          </w:p>
        </w:tc>
        <w:tc>
          <w:tcPr>
            <w:tcW w:w="980" w:type="dxa"/>
            <w:vAlign w:val="bottom"/>
            <w:gridSpan w:val="2"/>
          </w:tcPr>
          <w:p>
            <w:pPr>
              <w:jc w:val="center"/>
              <w:ind w:left="200"/>
              <w:spacing w:after="0"/>
              <w:rPr>
                <w:sz w:val="20"/>
                <w:szCs w:val="20"/>
                <w:color w:val="auto"/>
              </w:rPr>
            </w:pPr>
            <w:r>
              <w:rPr>
                <w:rFonts w:ascii="Arial" w:cs="Arial" w:eastAsia="Arial" w:hAnsi="Arial"/>
                <w:sz w:val="12"/>
                <w:szCs w:val="12"/>
                <w:color w:val="auto"/>
                <w:w w:val="91"/>
              </w:rPr>
              <w:t>(8,736,975)</w:t>
            </w:r>
          </w:p>
        </w:tc>
      </w:tr>
      <w:tr>
        <w:trPr>
          <w:trHeight w:val="182"/>
        </w:trPr>
        <w:tc>
          <w:tcPr>
            <w:tcW w:w="87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9,155,525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center"/>
              <w:ind w:left="320"/>
              <w:spacing w:after="0"/>
              <w:rPr>
                <w:sz w:val="20"/>
                <w:szCs w:val="20"/>
                <w:color w:val="auto"/>
              </w:rPr>
            </w:pPr>
            <w:r>
              <w:rPr>
                <w:rFonts w:ascii="Arial" w:cs="Arial" w:eastAsia="Arial" w:hAnsi="Arial"/>
                <w:sz w:val="12"/>
                <w:szCs w:val="12"/>
                <w:color w:val="auto"/>
                <w:w w:val="89"/>
              </w:rPr>
              <w:t>7,387,420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8700" w:type="dxa"/>
            <w:vAlign w:val="bottom"/>
          </w:tcPr>
          <w:p>
            <w:pPr>
              <w:ind w:left="320"/>
              <w:spacing w:after="0"/>
              <w:rPr>
                <w:sz w:val="20"/>
                <w:szCs w:val="20"/>
                <w:color w:val="auto"/>
              </w:rPr>
            </w:pPr>
            <w:r>
              <w:rPr>
                <w:rFonts w:ascii="Arial" w:cs="Arial" w:eastAsia="Arial" w:hAnsi="Arial"/>
                <w:sz w:val="12"/>
                <w:szCs w:val="12"/>
                <w:color w:val="auto"/>
                <w:w w:val="95"/>
              </w:rPr>
              <w:t>Depreciation and amortization expense for the years ended December 31, 2020, 2019 and 2018 amounted to $3,079,257, $1,776,983, and $1,266,508, respectively.</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8700" w:type="dxa"/>
            <w:vAlign w:val="bottom"/>
          </w:tcPr>
          <w:p>
            <w:pPr>
              <w:ind w:left="320"/>
              <w:spacing w:after="0"/>
              <w:rPr>
                <w:sz w:val="20"/>
                <w:szCs w:val="20"/>
                <w:color w:val="auto"/>
              </w:rPr>
            </w:pPr>
            <w:r>
              <w:rPr>
                <w:rFonts w:ascii="Arial" w:cs="Arial" w:eastAsia="Arial" w:hAnsi="Arial"/>
                <w:sz w:val="12"/>
                <w:szCs w:val="12"/>
                <w:color w:val="auto"/>
              </w:rPr>
              <w:t>At December 31, 2020 and 2019, the Company held $78,921, and $174,361 of property and equipment, net at its foreign locations, respectively.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700" w:type="dxa"/>
            <w:vAlign w:val="bottom"/>
          </w:tcPr>
          <w:p>
            <w:pPr>
              <w:spacing w:after="0"/>
              <w:rPr>
                <w:sz w:val="20"/>
                <w:szCs w:val="20"/>
                <w:color w:val="auto"/>
              </w:rPr>
            </w:pPr>
            <w:r>
              <w:rPr>
                <w:rFonts w:ascii="Arial" w:cs="Arial" w:eastAsia="Arial" w:hAnsi="Arial"/>
                <w:sz w:val="12"/>
                <w:szCs w:val="12"/>
                <w:b w:val="1"/>
                <w:bCs w:val="1"/>
                <w:color w:val="auto"/>
              </w:rPr>
              <w:t>4. Intangible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700" w:type="dxa"/>
            <w:vAlign w:val="bottom"/>
          </w:tcPr>
          <w:p>
            <w:pPr>
              <w:ind w:left="320"/>
              <w:spacing w:after="0"/>
              <w:rPr>
                <w:sz w:val="20"/>
                <w:szCs w:val="20"/>
                <w:color w:val="auto"/>
              </w:rPr>
            </w:pPr>
            <w:r>
              <w:rPr>
                <w:rFonts w:ascii="Arial" w:cs="Arial" w:eastAsia="Arial" w:hAnsi="Arial"/>
                <w:sz w:val="12"/>
                <w:szCs w:val="12"/>
                <w:color w:val="auto"/>
              </w:rPr>
              <w:t>Intangible assets consisted of the following as of December 31, 2020 and 2019: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Trade and domain names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7,255,381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center"/>
              <w:ind w:left="320"/>
              <w:spacing w:after="0"/>
              <w:rPr>
                <w:sz w:val="20"/>
                <w:szCs w:val="20"/>
                <w:color w:val="auto"/>
              </w:rPr>
            </w:pPr>
            <w:r>
              <w:rPr>
                <w:rFonts w:ascii="Arial" w:cs="Arial" w:eastAsia="Arial" w:hAnsi="Arial"/>
                <w:sz w:val="12"/>
                <w:szCs w:val="12"/>
                <w:color w:val="auto"/>
                <w:w w:val="89"/>
              </w:rPr>
              <w:t>7,255,381</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Software technology</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3,468,534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left="200"/>
              <w:spacing w:after="0"/>
              <w:rPr>
                <w:sz w:val="20"/>
                <w:szCs w:val="20"/>
                <w:color w:val="auto"/>
              </w:rPr>
            </w:pPr>
            <w:r>
              <w:rPr>
                <w:rFonts w:ascii="Arial" w:cs="Arial" w:eastAsia="Arial" w:hAnsi="Arial"/>
                <w:sz w:val="12"/>
                <w:szCs w:val="12"/>
                <w:color w:val="auto"/>
                <w:w w:val="89"/>
              </w:rPr>
              <w:t>3,468,534</w:t>
            </w:r>
          </w:p>
        </w:tc>
      </w:tr>
      <w:tr>
        <w:trPr>
          <w:trHeight w:val="142"/>
        </w:trPr>
        <w:tc>
          <w:tcPr>
            <w:tcW w:w="87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10,723,915</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10,723,915</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Less: accumulated amortization</w:t>
            </w:r>
          </w:p>
        </w:tc>
        <w:tc>
          <w:tcPr>
            <w:tcW w:w="26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(5,320,959)</w:t>
            </w:r>
          </w:p>
        </w:tc>
        <w:tc>
          <w:tcPr>
            <w:tcW w:w="260" w:type="dxa"/>
            <w:vAlign w:val="bottom"/>
          </w:tcPr>
          <w:p>
            <w:pPr>
              <w:spacing w:after="0"/>
              <w:rPr>
                <w:sz w:val="12"/>
                <w:szCs w:val="12"/>
                <w:color w:val="auto"/>
              </w:rPr>
            </w:pPr>
          </w:p>
        </w:tc>
        <w:tc>
          <w:tcPr>
            <w:tcW w:w="980" w:type="dxa"/>
            <w:vAlign w:val="bottom"/>
            <w:gridSpan w:val="2"/>
          </w:tcPr>
          <w:p>
            <w:pPr>
              <w:jc w:val="center"/>
              <w:ind w:left="200"/>
              <w:spacing w:after="0"/>
              <w:rPr>
                <w:sz w:val="20"/>
                <w:szCs w:val="20"/>
                <w:color w:val="auto"/>
              </w:rPr>
            </w:pPr>
            <w:r>
              <w:rPr>
                <w:rFonts w:ascii="Arial" w:cs="Arial" w:eastAsia="Arial" w:hAnsi="Arial"/>
                <w:sz w:val="12"/>
                <w:szCs w:val="12"/>
                <w:color w:val="auto"/>
                <w:w w:val="91"/>
              </w:rPr>
              <w:t>(6,219,507)</w:t>
            </w:r>
          </w:p>
        </w:tc>
      </w:tr>
      <w:tr>
        <w:trPr>
          <w:trHeight w:val="182"/>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intangible assets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5,402,956</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center"/>
              <w:ind w:left="320"/>
              <w:spacing w:after="0"/>
              <w:rPr>
                <w:sz w:val="20"/>
                <w:szCs w:val="20"/>
                <w:color w:val="auto"/>
              </w:rPr>
            </w:pPr>
            <w:r>
              <w:rPr>
                <w:rFonts w:ascii="Arial" w:cs="Arial" w:eastAsia="Arial" w:hAnsi="Arial"/>
                <w:sz w:val="12"/>
                <w:szCs w:val="12"/>
                <w:color w:val="auto"/>
                <w:w w:val="89"/>
              </w:rPr>
              <w:t>4,504,408</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Amortization expense for the years ended December 31, 2020, 2019 and 2018 amounted to $898,548, $3,385,613, and $882,120, respectively. Included in amortization in 2019, is accelerated amortization of $2,479,029 related to intangible assets that the Company initially determined had a useful life of three years. All these intangible assets related to a marketing project that the Company determined will not continue past the end of the fiscal year 2019 and therefore all amortization related to these assets were accelerated and all cost and accumulated amortization written off.</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Discontinued operations</w:t>
      </w:r>
    </w:p>
    <w:p>
      <w:pPr>
        <w:spacing w:after="0" w:line="15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As a result of the Company’s decision to divest its interest in Divested Entities, the results of operations relating to the Divested Entities have been reclassified to discontinued operations in the consolidated statements of operations for all periods presented.</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Revenue and net loss related to discontinued operations for the years ended December 31, 2020, 2019 and 2018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9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82"/>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w:t>
            </w:r>
          </w:p>
        </w:tc>
        <w:tc>
          <w:tcPr>
            <w:tcW w:w="43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85,907</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2980" w:type="dxa"/>
            <w:vAlign w:val="bottom"/>
          </w:tcPr>
          <w:p>
            <w:pPr>
              <w:spacing w:after="0" w:line="120" w:lineRule="exact"/>
              <w:rPr>
                <w:sz w:val="20"/>
                <w:szCs w:val="20"/>
                <w:color w:val="auto"/>
              </w:rPr>
            </w:pPr>
            <w:r>
              <w:rPr>
                <w:rFonts w:ascii="Arial" w:cs="Arial" w:eastAsia="Arial" w:hAnsi="Arial"/>
                <w:sz w:val="12"/>
                <w:szCs w:val="12"/>
                <w:color w:val="auto"/>
              </w:rPr>
              <w:t>Net Loss</w:t>
            </w:r>
          </w:p>
        </w:tc>
        <w:tc>
          <w:tcPr>
            <w:tcW w:w="436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line="120" w:lineRule="exact"/>
              <w:rPr>
                <w:sz w:val="20"/>
                <w:szCs w:val="20"/>
                <w:color w:val="auto"/>
              </w:rPr>
            </w:pPr>
            <w:r>
              <w:rPr>
                <w:rFonts w:ascii="Arial" w:cs="Arial" w:eastAsia="Arial" w:hAnsi="Arial"/>
                <w:sz w:val="12"/>
                <w:szCs w:val="12"/>
                <w:color w:val="auto"/>
              </w:rPr>
              <w:t>(1,674,738)</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ind w:left="740"/>
              <w:spacing w:after="0" w:line="120"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740"/>
              <w:spacing w:after="0" w:line="120" w:lineRule="exact"/>
              <w:rPr>
                <w:sz w:val="20"/>
                <w:szCs w:val="20"/>
                <w:color w:val="auto"/>
              </w:rPr>
            </w:pPr>
            <w:r>
              <w:rPr>
                <w:rFonts w:ascii="Arial" w:cs="Arial" w:eastAsia="Arial" w:hAnsi="Arial"/>
                <w:sz w:val="12"/>
                <w:szCs w:val="12"/>
                <w:color w:val="auto"/>
              </w:rPr>
              <w:t>—</w:t>
            </w:r>
          </w:p>
        </w:tc>
      </w:tr>
      <w:tr>
        <w:trPr>
          <w:trHeight w:val="20"/>
        </w:trPr>
        <w:tc>
          <w:tcPr>
            <w:tcW w:w="2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980" w:type="dxa"/>
            <w:vAlign w:val="bottom"/>
          </w:tcPr>
          <w:p>
            <w:pPr>
              <w:spacing w:after="0"/>
              <w:rPr>
                <w:sz w:val="18"/>
                <w:szCs w:val="18"/>
                <w:color w:val="auto"/>
              </w:rPr>
            </w:pPr>
          </w:p>
        </w:tc>
        <w:tc>
          <w:tcPr>
            <w:tcW w:w="4620" w:type="dxa"/>
            <w:vAlign w:val="bottom"/>
            <w:gridSpan w:val="2"/>
          </w:tcPr>
          <w:p>
            <w:pPr>
              <w:jc w:val="right"/>
              <w:ind w:right="1812"/>
              <w:spacing w:after="0"/>
              <w:rPr>
                <w:sz w:val="20"/>
                <w:szCs w:val="20"/>
                <w:color w:val="auto"/>
              </w:rPr>
            </w:pPr>
            <w:r>
              <w:rPr>
                <w:rFonts w:ascii="Arial" w:cs="Arial" w:eastAsia="Arial" w:hAnsi="Arial"/>
                <w:sz w:val="10"/>
                <w:szCs w:val="10"/>
                <w:color w:val="auto"/>
              </w:rPr>
              <w:t>F-13</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
        </w:trPr>
        <w:tc>
          <w:tcPr>
            <w:tcW w:w="29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48" w:name="page149"/>
    <w:bookmarkEnd w:id="14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right="60"/>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December 31, 2020, 2019 and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ind w:left="320"/>
              <w:spacing w:after="0"/>
              <w:rPr>
                <w:sz w:val="20"/>
                <w:szCs w:val="20"/>
                <w:color w:val="auto"/>
              </w:rPr>
            </w:pPr>
            <w:r>
              <w:rPr>
                <w:rFonts w:ascii="Arial" w:cs="Arial" w:eastAsia="Arial" w:hAnsi="Arial"/>
                <w:sz w:val="12"/>
                <w:szCs w:val="12"/>
                <w:color w:val="auto"/>
              </w:rPr>
              <w:t>Cash flow from discontinued operations for the year ended December 31, 2020, 2019 and 2018 are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(1,670,873)</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tcPr>
          <w:p>
            <w:pPr>
              <w:spacing w:after="0" w:line="120" w:lineRule="exact"/>
              <w:rPr>
                <w:sz w:val="20"/>
                <w:szCs w:val="20"/>
                <w:color w:val="auto"/>
              </w:rPr>
            </w:pPr>
            <w:r>
              <w:rPr>
                <w:rFonts w:ascii="Arial" w:cs="Arial" w:eastAsia="Arial" w:hAnsi="Arial"/>
                <w:sz w:val="12"/>
                <w:szCs w:val="12"/>
                <w:color w:val="auto"/>
              </w:rPr>
              <w:t>Net cash provided by (used in) investing activities</w:t>
            </w:r>
          </w:p>
        </w:tc>
        <w:tc>
          <w:tcPr>
            <w:tcW w:w="260" w:type="dxa"/>
            <w:vAlign w:val="bottom"/>
          </w:tcPr>
          <w:p>
            <w:pPr>
              <w:spacing w:after="0"/>
              <w:rPr>
                <w:sz w:val="10"/>
                <w:szCs w:val="10"/>
                <w:color w:val="auto"/>
              </w:rPr>
            </w:pP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355,536</w:t>
            </w:r>
          </w:p>
        </w:tc>
        <w:tc>
          <w:tcPr>
            <w:tcW w:w="24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ind w:left="740"/>
              <w:spacing w:after="0" w:line="120"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980" w:type="dxa"/>
            <w:vAlign w:val="bottom"/>
            <w:gridSpan w:val="2"/>
          </w:tcPr>
          <w:p>
            <w:pPr>
              <w:ind w:left="740"/>
              <w:spacing w:after="0" w:line="120" w:lineRule="exact"/>
              <w:rPr>
                <w:sz w:val="20"/>
                <w:szCs w:val="20"/>
                <w:color w:val="auto"/>
              </w:rPr>
            </w:pPr>
            <w:r>
              <w:rPr>
                <w:rFonts w:ascii="Arial" w:cs="Arial" w:eastAsia="Arial" w:hAnsi="Arial"/>
                <w:sz w:val="12"/>
                <w:szCs w:val="12"/>
                <w:color w:val="auto"/>
              </w:rPr>
              <w:t>—</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734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Net cash provided by financing activities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1,268,121</w:t>
            </w: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740"/>
              <w:spacing w:after="0" w:line="120" w:lineRule="exact"/>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ind w:left="740"/>
              <w:spacing w:after="0" w:line="120" w:lineRule="exact"/>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CEEFF"/>
            </w:tcBorders>
            <w:shd w:val="clear" w:color="auto" w:fill="CCEEFF"/>
          </w:tcPr>
          <w:p>
            <w:pPr>
              <w:spacing w:after="0"/>
              <w:rPr>
                <w:sz w:val="13"/>
                <w:szCs w:val="13"/>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Notes payable to members</w:t>
      </w:r>
    </w:p>
    <w:p>
      <w:pPr>
        <w:spacing w:after="0" w:line="154" w:lineRule="exact"/>
        <w:rPr>
          <w:sz w:val="20"/>
          <w:szCs w:val="20"/>
          <w:color w:val="auto"/>
        </w:rPr>
      </w:pPr>
    </w:p>
    <w:p>
      <w:pPr>
        <w:jc w:val="both"/>
        <w:ind w:right="60" w:firstLine="324"/>
        <w:spacing w:after="0" w:line="276" w:lineRule="auto"/>
        <w:rPr>
          <w:sz w:val="20"/>
          <w:szCs w:val="20"/>
          <w:color w:val="auto"/>
        </w:rPr>
      </w:pPr>
      <w:r>
        <w:rPr>
          <w:rFonts w:ascii="Arial" w:cs="Arial" w:eastAsia="Arial" w:hAnsi="Arial"/>
          <w:sz w:val="12"/>
          <w:szCs w:val="12"/>
          <w:color w:val="auto"/>
        </w:rPr>
        <w:t>The Company assumed four notes payable to the two majority members in connection with the purchase of Weedmaps in 2012. Of the four notes assumed with the purchase, three notes were paid off in full in prior periods. As of December 31, 2020 and 2019, the principal balance of the remaining note totaled $205,324, which bears no interest, and is due in June 2021.</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Members’ equity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has authorized the following number of Units which have been designated as follows:</w:t>
      </w:r>
    </w:p>
    <w:p>
      <w:pPr>
        <w:spacing w:after="0" w:line="150" w:lineRule="exact"/>
        <w:rPr>
          <w:sz w:val="20"/>
          <w:szCs w:val="20"/>
          <w:color w:val="auto"/>
        </w:rPr>
      </w:pPr>
    </w:p>
    <w:p>
      <w:pPr>
        <w:ind w:left="420" w:hanging="212"/>
        <w:spacing w:after="0"/>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Class A-1 Units - 821,769 authorized, issued and outstanding at December 31, 2020, 2019 and 2018;</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Class A-2 Units - 34,264 authorized; 24,058 Class A-2 Units issued and outstanding as of December 31, 2020, 2019, and 2018;</w:t>
      </w:r>
    </w:p>
    <w:p>
      <w:pPr>
        <w:spacing w:after="0" w:line="150"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Class A-3 Units / Class B Units - Class B Units or Class A-3 Units can be issued interchangeably, as determined by the Company’s Board of Managers. 274,822 Units authorized; 53,333 Class A-3 Units and 221,483 Class B Uni outstanding as of December 31, 2020. 274,667 Units authorized; 53,333 Class A-3 Units and 210,744 Class B Units issued and outstanding as of December 31, 2019. 274,667 Units authorized; 53,333 Class A-3 Units and 192 Units issued and outstanding as of December 31, 2018.</w:t>
      </w:r>
    </w:p>
    <w:p>
      <w:pPr>
        <w:spacing w:after="0" w:line="122" w:lineRule="exact"/>
        <w:rPr>
          <w:sz w:val="20"/>
          <w:szCs w:val="20"/>
          <w:color w:val="auto"/>
        </w:rPr>
      </w:pPr>
    </w:p>
    <w:p>
      <w:pPr>
        <w:jc w:val="both"/>
        <w:ind w:right="60" w:firstLine="324"/>
        <w:spacing w:after="0" w:line="276" w:lineRule="auto"/>
        <w:rPr>
          <w:sz w:val="20"/>
          <w:szCs w:val="20"/>
          <w:color w:val="auto"/>
        </w:rPr>
      </w:pPr>
      <w:r>
        <w:rPr>
          <w:rFonts w:ascii="Arial" w:cs="Arial" w:eastAsia="Arial" w:hAnsi="Arial"/>
          <w:sz w:val="12"/>
          <w:szCs w:val="12"/>
          <w:color w:val="auto"/>
        </w:rPr>
        <w:t>As of December 31, 2018, 821,769 Class A-1 Units were authorized, issued and outstanding. On August 15, 2018, the Company’s operating agreement was amended to authorize the subclasses of Class A Units above, and the existing Class A Units prior to such date were designated as Class A-1 Units.</w:t>
      </w:r>
    </w:p>
    <w:p>
      <w:pPr>
        <w:spacing w:after="0" w:line="115" w:lineRule="exact"/>
        <w:rPr>
          <w:sz w:val="20"/>
          <w:szCs w:val="20"/>
          <w:color w:val="auto"/>
        </w:rPr>
      </w:pPr>
    </w:p>
    <w:p>
      <w:pPr>
        <w:jc w:val="both"/>
        <w:ind w:right="60" w:firstLine="324"/>
        <w:spacing w:after="0" w:line="289" w:lineRule="auto"/>
        <w:rPr>
          <w:sz w:val="20"/>
          <w:szCs w:val="20"/>
          <w:color w:val="auto"/>
        </w:rPr>
      </w:pPr>
      <w:r>
        <w:rPr>
          <w:rFonts w:ascii="Arial" w:cs="Arial" w:eastAsia="Arial" w:hAnsi="Arial"/>
          <w:sz w:val="11"/>
          <w:szCs w:val="11"/>
          <w:color w:val="auto"/>
        </w:rPr>
        <w:t>In 2014, the Company adopted the 2014 WM Holding Company Equity Incentive Plan (the “Original Equity Plan”) to allow for the issuance of Class B Units to employees, consultants, and other service providers. The Original Equity Plan was amended and restated in October 2015 and May 2018 to, among other things, increase the number of Units available for issuance under the Original Equity Plan, as amended. On August 15, 2018, the Company entered into the Third Amended and Restated Equity Incentive Plan, which allows the Company to grant profits interest in the form of both Class B Units and Class A-3 Units and further increases the Units available for issuance under the Original Equity Plan, as amended. The Third Amended and Restated Equity Incentive Plan was further revised in 2020 to increase the number of Units available for issuance.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Class A Units are voting and all profits, losses and distributions are allocated in accordance with the terms set forth in the operating agreement of WM Holding Company, LLC.</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On various dates throughout 2018, starting on August 15, 2018, the Company issued and sold 24,058 newly designated Class A-2 Units to a group of third-party investors for a total consideration of $17.6 million.</w:t>
      </w:r>
    </w:p>
    <w:p>
      <w:pPr>
        <w:spacing w:after="0" w:line="162" w:lineRule="exact"/>
        <w:rPr>
          <w:sz w:val="20"/>
          <w:szCs w:val="20"/>
          <w:color w:val="auto"/>
        </w:rPr>
      </w:pPr>
    </w:p>
    <w:p>
      <w:pPr>
        <w:jc w:val="both"/>
        <w:ind w:right="60" w:firstLine="324"/>
        <w:spacing w:after="0" w:line="379" w:lineRule="auto"/>
        <w:rPr>
          <w:sz w:val="20"/>
          <w:szCs w:val="20"/>
          <w:color w:val="auto"/>
        </w:rPr>
      </w:pPr>
      <w:r>
        <w:rPr>
          <w:rFonts w:ascii="Arial" w:cs="Arial" w:eastAsia="Arial" w:hAnsi="Arial"/>
          <w:sz w:val="10"/>
          <w:szCs w:val="10"/>
          <w:color w:val="auto"/>
        </w:rPr>
        <w:t>The Class B Units are nonvoting, do not receive an income allocation or distributions, but will share in the sale proceeds in the event of a change of control transaction or be converted to common stock in the event of an initial public offering (a “Triggering Event”). Once vested, the Class A-3 and Class B Units do not expire and holders are not required to be employed by the Company at the time of a Triggering Event to share in the proceeds of a transaction.</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Such Class A-3 and Class B Units are treated as profits interests under the Internal Revenue Code and are therefore subject to distribution hurdles before they participate in distributions from Triggering Events.</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49" w:name="page150"/>
    <w:bookmarkEnd w:id="14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Members’ equity (continued)</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presents issuances of Class A-3 and Class B Units during the years ended December 31, 2020, 2019 and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Outstanding at December 31, 2017</w:t>
            </w:r>
          </w:p>
        </w:tc>
        <w:tc>
          <w:tcPr>
            <w:tcW w:w="1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252,241</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20"/>
                <w:szCs w:val="20"/>
                <w:color w:val="auto"/>
              </w:rPr>
            </w:pPr>
            <w:r>
              <w:rPr>
                <w:rFonts w:ascii="Arial" w:cs="Arial" w:eastAsia="Arial" w:hAnsi="Arial"/>
                <w:sz w:val="12"/>
                <w:szCs w:val="12"/>
                <w:color w:val="auto"/>
              </w:rPr>
              <w:t>Granted</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44,125</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Repurchase</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(12,391)</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Cancellations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(38,604)</w:t>
            </w:r>
          </w:p>
        </w:tc>
        <w:tc>
          <w:tcPr>
            <w:tcW w:w="0" w:type="dxa"/>
            <w:vAlign w:val="bottom"/>
          </w:tcPr>
          <w:p>
            <w:pPr>
              <w:spacing w:after="0"/>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Outstanding at December 31, 2018</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245,371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Granted</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25,990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Cancellations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(7,284)</w:t>
            </w:r>
          </w:p>
        </w:tc>
        <w:tc>
          <w:tcPr>
            <w:tcW w:w="0" w:type="dxa"/>
            <w:vAlign w:val="bottom"/>
          </w:tcPr>
          <w:p>
            <w:pPr>
              <w:spacing w:after="0"/>
              <w:rPr>
                <w:sz w:val="1"/>
                <w:szCs w:val="1"/>
                <w:color w:val="auto"/>
              </w:rPr>
            </w:pPr>
          </w:p>
        </w:tc>
      </w:tr>
      <w:tr>
        <w:trPr>
          <w:trHeight w:val="142"/>
        </w:trPr>
        <w:tc>
          <w:tcPr>
            <w:tcW w:w="60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Outstanding at December 31, 2019</w:t>
            </w:r>
          </w:p>
        </w:tc>
        <w:tc>
          <w:tcPr>
            <w:tcW w:w="11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264,077</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Repurchase</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(1,900)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Cancellations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(1,611)</w:t>
            </w:r>
          </w:p>
        </w:tc>
        <w:tc>
          <w:tcPr>
            <w:tcW w:w="0" w:type="dxa"/>
            <w:vAlign w:val="bottom"/>
          </w:tcPr>
          <w:p>
            <w:pPr>
              <w:spacing w:after="0"/>
              <w:rPr>
                <w:sz w:val="1"/>
                <w:szCs w:val="1"/>
                <w:color w:val="auto"/>
              </w:rPr>
            </w:pPr>
          </w:p>
        </w:tc>
      </w:tr>
      <w:tr>
        <w:trPr>
          <w:trHeight w:val="142"/>
        </w:trPr>
        <w:tc>
          <w:tcPr>
            <w:tcW w:w="60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Outstanding at December 31, 2020</w:t>
            </w:r>
          </w:p>
        </w:tc>
        <w:tc>
          <w:tcPr>
            <w:tcW w:w="11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274,816</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Vested as of December 31, 2019</w:t>
            </w: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207,398</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000" w:type="dxa"/>
            <w:vAlign w:val="bottom"/>
          </w:tcPr>
          <w:p>
            <w:pPr>
              <w:spacing w:after="0" w:line="120" w:lineRule="exact"/>
              <w:rPr>
                <w:sz w:val="20"/>
                <w:szCs w:val="20"/>
                <w:color w:val="auto"/>
              </w:rPr>
            </w:pPr>
            <w:r>
              <w:rPr>
                <w:rFonts w:ascii="Arial" w:cs="Arial" w:eastAsia="Arial" w:hAnsi="Arial"/>
                <w:sz w:val="12"/>
                <w:szCs w:val="12"/>
                <w:color w:val="auto"/>
              </w:rPr>
              <w:t>Vested as of December 31, 2020</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234,114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ind w:left="320"/>
              <w:spacing w:after="0"/>
              <w:rPr>
                <w:sz w:val="20"/>
                <w:szCs w:val="20"/>
                <w:color w:val="auto"/>
              </w:rPr>
            </w:pPr>
            <w:r>
              <w:rPr>
                <w:rFonts w:ascii="Arial" w:cs="Arial" w:eastAsia="Arial" w:hAnsi="Arial"/>
                <w:sz w:val="12"/>
                <w:szCs w:val="12"/>
                <w:color w:val="auto"/>
                <w:w w:val="96"/>
              </w:rPr>
              <w:t>The following presents a summary of unvested Class A-3 and Class B Units during the years ended December 31, 2020, 2019 and 2018:</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8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4"/>
          </w:tcPr>
          <w:p>
            <w:pPr>
              <w:ind w:left="560"/>
              <w:spacing w:after="0"/>
              <w:rPr>
                <w:sz w:val="20"/>
                <w:szCs w:val="20"/>
                <w:color w:val="auto"/>
              </w:rPr>
            </w:pPr>
            <w:r>
              <w:rPr>
                <w:rFonts w:ascii="Arial" w:cs="Arial" w:eastAsia="Arial" w:hAnsi="Arial"/>
                <w:sz w:val="12"/>
                <w:szCs w:val="12"/>
                <w:b w:val="1"/>
                <w:bCs w:val="1"/>
                <w:color w:val="auto"/>
              </w:rPr>
              <w:t>Weighted - Average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2"/>
                <w:szCs w:val="12"/>
                <w:b w:val="1"/>
                <w:bCs w:val="1"/>
                <w:color w:val="auto"/>
              </w:rPr>
              <w:t>Grant Date</w:t>
            </w: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1"/>
              </w:rPr>
              <w:t>Remaining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rPr>
              <w:t>Remaining</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13"/>
                <w:szCs w:val="13"/>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Units</w:t>
            </w:r>
          </w:p>
        </w:tc>
        <w:tc>
          <w:tcPr>
            <w:tcW w:w="16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Fair Value</w:t>
            </w: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Years to Vest</w:t>
            </w:r>
          </w:p>
        </w:tc>
        <w:tc>
          <w:tcPr>
            <w:tcW w:w="14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5"/>
              </w:rPr>
              <w:t>Unrecognized</w:t>
            </w:r>
          </w:p>
        </w:tc>
        <w:tc>
          <w:tcPr>
            <w:tcW w:w="0" w:type="dxa"/>
            <w:vAlign w:val="bottom"/>
          </w:tcPr>
          <w:p>
            <w:pPr>
              <w:spacing w:after="0"/>
              <w:rPr>
                <w:sz w:val="1"/>
                <w:szCs w:val="1"/>
                <w:color w:val="auto"/>
              </w:rPr>
            </w:pPr>
          </w:p>
        </w:tc>
      </w:tr>
      <w:tr>
        <w:trPr>
          <w:trHeight w:val="182"/>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Nonvested, December 31,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62,024</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236.37</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12,215,953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0" w:type="dxa"/>
            <w:vAlign w:val="bottom"/>
          </w:tcPr>
          <w:p>
            <w:pPr>
              <w:spacing w:after="0" w:line="120" w:lineRule="exact"/>
              <w:rPr>
                <w:sz w:val="20"/>
                <w:szCs w:val="20"/>
                <w:color w:val="auto"/>
              </w:rPr>
            </w:pPr>
            <w:r>
              <w:rPr>
                <w:rFonts w:ascii="Arial" w:cs="Arial" w:eastAsia="Arial" w:hAnsi="Arial"/>
                <w:sz w:val="12"/>
                <w:szCs w:val="12"/>
                <w:color w:val="auto"/>
              </w:rPr>
              <w:t>Granted</w:t>
            </w:r>
          </w:p>
        </w:tc>
        <w:tc>
          <w:tcPr>
            <w:tcW w:w="1140" w:type="dxa"/>
            <w:vAlign w:val="bottom"/>
          </w:tcPr>
          <w:p>
            <w:pPr>
              <w:jc w:val="right"/>
              <w:spacing w:after="0" w:line="120" w:lineRule="exact"/>
              <w:rPr>
                <w:sz w:val="20"/>
                <w:szCs w:val="20"/>
                <w:color w:val="auto"/>
              </w:rPr>
            </w:pPr>
            <w:r>
              <w:rPr>
                <w:rFonts w:ascii="Arial" w:cs="Arial" w:eastAsia="Arial" w:hAnsi="Arial"/>
                <w:sz w:val="12"/>
                <w:szCs w:val="12"/>
                <w:color w:val="auto"/>
              </w:rPr>
              <w:t>25,990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531.80</w:t>
            </w: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(24,051)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231.74</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Cancelled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(7,284)</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238.87</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Nonvested, December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56,679</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373.47</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18,682,331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0" w:type="dxa"/>
            <w:vAlign w:val="bottom"/>
          </w:tcPr>
          <w:p>
            <w:pPr>
              <w:spacing w:after="0" w:line="120" w:lineRule="exact"/>
              <w:rPr>
                <w:sz w:val="20"/>
                <w:szCs w:val="20"/>
                <w:color w:val="auto"/>
              </w:rPr>
            </w:pPr>
            <w:r>
              <w:rPr>
                <w:rFonts w:ascii="Arial" w:cs="Arial" w:eastAsia="Arial" w:hAnsi="Arial"/>
                <w:sz w:val="12"/>
                <w:szCs w:val="12"/>
                <w:color w:val="auto"/>
              </w:rPr>
              <w:t>Granted</w:t>
            </w:r>
          </w:p>
        </w:tc>
        <w:tc>
          <w:tcPr>
            <w:tcW w:w="1140" w:type="dxa"/>
            <w:vAlign w:val="bottom"/>
          </w:tcPr>
          <w:p>
            <w:pPr>
              <w:jc w:val="right"/>
              <w:spacing w:after="0" w:line="120" w:lineRule="exact"/>
              <w:rPr>
                <w:sz w:val="20"/>
                <w:szCs w:val="20"/>
                <w:color w:val="auto"/>
              </w:rPr>
            </w:pPr>
            <w:r>
              <w:rPr>
                <w:rFonts w:ascii="Arial" w:cs="Arial" w:eastAsia="Arial" w:hAnsi="Arial"/>
                <w:sz w:val="12"/>
                <w:szCs w:val="12"/>
                <w:color w:val="auto"/>
              </w:rPr>
              <w:t>14,250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724.28</w:t>
            </w: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(28,616)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359.45</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Cancelled</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(1,611)</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450.83</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Nonvested,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40,702</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518.13</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22,474,033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December 31, 2020, and 2019, no compensation cost has been recorded in connection with the issuance of the Class A-3 and Class B Units as management did not believe that achievement of the performance condition was probable.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measures all employee stock-based compensation awards on the date of grant using the Black-Scholes-Merton valuation model and allocates the related expense over the requisite service period (generally the vesting period of the equity award) which is typically four years. When awards include a performance condition that impacts the vesting 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0" w:name="page151"/>
    <w:bookmarkEnd w:id="15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Members’ equity (continued)</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fair value of Class A-3 and B-Units granted were estimated on their respective grant dates using the Black-Scholes-Merton option pricing model and the following assumptions for the years ended December 31, 2020, 2019 and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2020</w:t>
            </w:r>
          </w:p>
        </w:tc>
      </w:tr>
      <w:tr>
        <w:trPr>
          <w:trHeight w:val="142"/>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70%</w:t>
            </w: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70%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- 70%</w:t>
            </w:r>
          </w:p>
        </w:tc>
      </w:tr>
      <w:tr>
        <w:trPr>
          <w:trHeight w:val="144"/>
        </w:trPr>
        <w:tc>
          <w:tcPr>
            <w:tcW w:w="6460" w:type="dxa"/>
            <w:vAlign w:val="bottom"/>
          </w:tcPr>
          <w:p>
            <w:pPr>
              <w:spacing w:after="0"/>
              <w:rPr>
                <w:sz w:val="20"/>
                <w:szCs w:val="20"/>
                <w:color w:val="auto"/>
              </w:rPr>
            </w:pPr>
            <w:r>
              <w:rPr>
                <w:rFonts w:ascii="Arial" w:cs="Arial" w:eastAsia="Arial" w:hAnsi="Arial"/>
                <w:sz w:val="12"/>
                <w:szCs w:val="12"/>
                <w:color w:val="auto"/>
              </w:rPr>
              <w:t>Risk - free interest rate</w:t>
            </w:r>
          </w:p>
        </w:tc>
        <w:tc>
          <w:tcPr>
            <w:tcW w:w="1520" w:type="dxa"/>
            <w:vAlign w:val="bottom"/>
          </w:tcPr>
          <w:p>
            <w:pPr>
              <w:jc w:val="center"/>
              <w:spacing w:after="0"/>
              <w:rPr>
                <w:sz w:val="20"/>
                <w:szCs w:val="20"/>
                <w:color w:val="auto"/>
              </w:rPr>
            </w:pPr>
            <w:r>
              <w:rPr>
                <w:rFonts w:ascii="Arial" w:cs="Arial" w:eastAsia="Arial" w:hAnsi="Arial"/>
                <w:sz w:val="12"/>
                <w:szCs w:val="12"/>
                <w:color w:val="auto"/>
                <w:w w:val="91"/>
              </w:rPr>
              <w:t>2.65% - 2.90%</w:t>
            </w:r>
          </w:p>
        </w:tc>
        <w:tc>
          <w:tcPr>
            <w:tcW w:w="14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Arial" w:cs="Arial" w:eastAsia="Arial" w:hAnsi="Arial"/>
                <w:sz w:val="12"/>
                <w:szCs w:val="12"/>
                <w:color w:val="auto"/>
                <w:w w:val="91"/>
              </w:rPr>
              <w:t>1.68% - 2.49%</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0.21%</w:t>
            </w:r>
          </w:p>
        </w:tc>
        <w:tc>
          <w:tcPr>
            <w:tcW w:w="800" w:type="dxa"/>
            <w:vAlign w:val="bottom"/>
          </w:tcPr>
          <w:p>
            <w:pPr>
              <w:ind w:left="20"/>
              <w:spacing w:after="0"/>
              <w:rPr>
                <w:sz w:val="20"/>
                <w:szCs w:val="20"/>
                <w:color w:val="auto"/>
              </w:rPr>
            </w:pPr>
            <w:r>
              <w:rPr>
                <w:rFonts w:ascii="Arial" w:cs="Arial" w:eastAsia="Arial" w:hAnsi="Arial"/>
                <w:sz w:val="12"/>
                <w:szCs w:val="12"/>
                <w:color w:val="auto"/>
              </w:rPr>
              <w:t>- 0.29%</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0.00%</w:t>
            </w: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0.00%</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0.00%</w:t>
            </w:r>
          </w:p>
        </w:tc>
      </w:tr>
      <w:tr>
        <w:trPr>
          <w:trHeight w:val="144"/>
        </w:trPr>
        <w:tc>
          <w:tcPr>
            <w:tcW w:w="6460" w:type="dxa"/>
            <w:vAlign w:val="bottom"/>
          </w:tcPr>
          <w:p>
            <w:pPr>
              <w:spacing w:after="0"/>
              <w:rPr>
                <w:sz w:val="20"/>
                <w:szCs w:val="20"/>
                <w:color w:val="auto"/>
              </w:rPr>
            </w:pPr>
            <w:r>
              <w:rPr>
                <w:rFonts w:ascii="Arial" w:cs="Arial" w:eastAsia="Arial" w:hAnsi="Arial"/>
                <w:sz w:val="12"/>
                <w:szCs w:val="12"/>
                <w:color w:val="auto"/>
              </w:rPr>
              <w:t>Expected life of option (in years)</w:t>
            </w:r>
          </w:p>
        </w:tc>
        <w:tc>
          <w:tcPr>
            <w:tcW w:w="1660" w:type="dxa"/>
            <w:vAlign w:val="bottom"/>
            <w:gridSpan w:val="2"/>
          </w:tcPr>
          <w:p>
            <w:pPr>
              <w:ind w:left="580"/>
              <w:spacing w:after="0"/>
              <w:rPr>
                <w:sz w:val="20"/>
                <w:szCs w:val="20"/>
                <w:color w:val="auto"/>
              </w:rPr>
            </w:pPr>
            <w:r>
              <w:rPr>
                <w:rFonts w:ascii="Arial" w:cs="Arial" w:eastAsia="Arial" w:hAnsi="Arial"/>
                <w:sz w:val="12"/>
                <w:szCs w:val="12"/>
                <w:color w:val="auto"/>
              </w:rPr>
              <w:t>4 years</w:t>
            </w:r>
          </w:p>
        </w:tc>
        <w:tc>
          <w:tcPr>
            <w:tcW w:w="1660" w:type="dxa"/>
            <w:vAlign w:val="bottom"/>
            <w:gridSpan w:val="2"/>
          </w:tcPr>
          <w:p>
            <w:pPr>
              <w:ind w:left="580"/>
              <w:spacing w:after="0"/>
              <w:rPr>
                <w:sz w:val="20"/>
                <w:szCs w:val="20"/>
                <w:color w:val="auto"/>
              </w:rPr>
            </w:pPr>
            <w:r>
              <w:rPr>
                <w:rFonts w:ascii="Arial" w:cs="Arial" w:eastAsia="Arial" w:hAnsi="Arial"/>
                <w:sz w:val="12"/>
                <w:szCs w:val="12"/>
                <w:color w:val="auto"/>
              </w:rPr>
              <w:t>4 years</w:t>
            </w:r>
          </w:p>
        </w:tc>
        <w:tc>
          <w:tcPr>
            <w:tcW w:w="1520" w:type="dxa"/>
            <w:vAlign w:val="bottom"/>
            <w:gridSpan w:val="2"/>
          </w:tcPr>
          <w:p>
            <w:pPr>
              <w:ind w:left="580"/>
              <w:spacing w:after="0"/>
              <w:rPr>
                <w:sz w:val="20"/>
                <w:szCs w:val="20"/>
                <w:color w:val="auto"/>
              </w:rPr>
            </w:pPr>
            <w:r>
              <w:rPr>
                <w:rFonts w:ascii="Arial" w:cs="Arial" w:eastAsia="Arial" w:hAnsi="Arial"/>
                <w:sz w:val="12"/>
                <w:szCs w:val="12"/>
                <w:color w:val="auto"/>
              </w:rPr>
              <w:t>4 years</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Weighted - average fair value of common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$305.35</w:t>
            </w: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$531.80</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2"/>
              </w:rPr>
              <w:t>$724.28</w:t>
            </w:r>
          </w:p>
        </w:tc>
      </w:tr>
    </w:tbl>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total cumulative amount of compensation cost that would have been recognized had all performance conditions been met is $12.0 million as of December 31, 2020. As a limited liability company, each member’s liability is limited to the capital invested. Should the Company consummate the business combination with Silver Spike Acquisition Corp. and become a publicly traded entity, the limitations on the exercisability of the Class A-3 an B units will be removed and all performance obligations would have been met, resulting in the recognition of all cumulative compensation cost. The Company has an unlimited life subject to consents to dissolve the Company by a majority of the Company’s members.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leases space in Irvine, California; Los Angeles, California; Denver, Colorado; New York, New York; Ontario, Canada; and Barcelona, Spain. Minimum lease obligations under noncancelable operating leases, which expire at various dates through the year ended 2031,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380" w:type="dxa"/>
            <w:vAlign w:val="bottom"/>
            <w:gridSpan w:val="2"/>
          </w:tcPr>
          <w:p>
            <w:pPr>
              <w:spacing w:after="0"/>
              <w:rPr>
                <w:sz w:val="20"/>
                <w:szCs w:val="20"/>
                <w:color w:val="auto"/>
              </w:rPr>
            </w:pPr>
            <w:r>
              <w:rPr>
                <w:rFonts w:ascii="Arial" w:cs="Arial" w:eastAsia="Arial" w:hAnsi="Arial"/>
                <w:sz w:val="12"/>
                <w:szCs w:val="12"/>
                <w:b w:val="1"/>
                <w:bCs w:val="1"/>
                <w:color w:val="auto"/>
              </w:rPr>
              <w:t>Years ending December 31,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8,225,436</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2022</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9,605,487</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9,897,648</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2024</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9,405,482</w:t>
            </w:r>
          </w:p>
        </w:tc>
        <w:tc>
          <w:tcPr>
            <w:tcW w:w="120" w:type="dxa"/>
            <w:vAlign w:val="bottom"/>
          </w:tcPr>
          <w:p>
            <w:pPr>
              <w:spacing w:after="0"/>
              <w:rPr>
                <w:sz w:val="12"/>
                <w:szCs w:val="12"/>
                <w:color w:val="auto"/>
              </w:rPr>
            </w:pPr>
          </w:p>
        </w:tc>
      </w:tr>
      <w:tr>
        <w:trPr>
          <w:trHeight w:val="144"/>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2025 and beyond</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35,561,951</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10380" w:type="dxa"/>
            <w:vAlign w:val="bottom"/>
            <w:gridSpan w:val="2"/>
          </w:tcPr>
          <w:p>
            <w:pPr>
              <w:ind w:left="100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72,696,004</w:t>
            </w:r>
          </w:p>
        </w:tc>
        <w:tc>
          <w:tcPr>
            <w:tcW w:w="120" w:type="dxa"/>
            <w:vAlign w:val="bottom"/>
          </w:tcPr>
          <w:p>
            <w:pPr>
              <w:spacing w:after="0"/>
              <w:rPr>
                <w:sz w:val="12"/>
                <w:szCs w:val="12"/>
                <w:color w:val="auto"/>
              </w:rPr>
            </w:pPr>
          </w:p>
        </w:tc>
      </w:tr>
      <w:tr>
        <w:trPr>
          <w:trHeight w:val="20"/>
        </w:trPr>
        <w:tc>
          <w:tcPr>
            <w:tcW w:w="10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Rent expense for the years ended December 31, 2020, 2019 and 2018 amounted to $11.1 million, $5.6 million, and $4.1 million, respectively, and is included in general and administrative expense in the accompanying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15"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1" w:name="page152"/>
    <w:bookmarkEnd w:id="15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HOLDING COMPANY, LLC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 2019 and 2018</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Subsequent events</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evaluated events subsequent to December 31, 2020 for their potential impact on the consolidated financial statements and disclosures through March 9, 2021, the date the consolidated financial statements were available to be issued.</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 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15"/>
        </w:trPr>
        <w:tc>
          <w:tcPr>
            <w:tcW w:w="752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237"/>
        </w:trPr>
        <w:tc>
          <w:tcPr>
            <w:tcW w:w="660" w:type="dxa"/>
            <w:vAlign w:val="bottom"/>
            <w:tcBorders>
              <w:top w:val="single" w:sz="8" w:color="0000EE"/>
            </w:tcBorders>
          </w:tcPr>
          <w:p>
            <w:pPr>
              <w:spacing w:after="0"/>
              <w:rPr>
                <w:sz w:val="20"/>
                <w:szCs w:val="20"/>
                <w:color w:val="auto"/>
              </w:rPr>
            </w:pPr>
          </w:p>
        </w:tc>
        <w:tc>
          <w:tcPr>
            <w:tcW w:w="6860" w:type="dxa"/>
            <w:vAlign w:val="bottom"/>
          </w:tcPr>
          <w:p>
            <w:pPr>
              <w:jc w:val="center"/>
              <w:ind w:left="3360"/>
              <w:spacing w:after="0"/>
              <w:rPr>
                <w:sz w:val="20"/>
                <w:szCs w:val="20"/>
                <w:color w:val="auto"/>
              </w:rPr>
            </w:pPr>
            <w:r>
              <w:rPr>
                <w:rFonts w:ascii="Arial" w:cs="Arial" w:eastAsia="Arial" w:hAnsi="Arial"/>
                <w:sz w:val="12"/>
                <w:szCs w:val="12"/>
                <w:b w:val="1"/>
                <w:bCs w:val="1"/>
                <w:color w:val="auto"/>
              </w:rPr>
              <w:t>WM TECHNOLOGY, INC. AND SUBSIDIARIES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44"/>
        </w:trPr>
        <w:tc>
          <w:tcPr>
            <w:tcW w:w="660" w:type="dxa"/>
            <w:vAlign w:val="bottom"/>
          </w:tcPr>
          <w:p>
            <w:pPr>
              <w:spacing w:after="0"/>
              <w:rPr>
                <w:sz w:val="12"/>
                <w:szCs w:val="12"/>
                <w:color w:val="auto"/>
              </w:rPr>
            </w:pPr>
          </w:p>
        </w:tc>
        <w:tc>
          <w:tcPr>
            <w:tcW w:w="6860" w:type="dxa"/>
            <w:vAlign w:val="bottom"/>
          </w:tcPr>
          <w:p>
            <w:pPr>
              <w:jc w:val="center"/>
              <w:ind w:left="3380"/>
              <w:spacing w:after="0"/>
              <w:rPr>
                <w:sz w:val="20"/>
                <w:szCs w:val="20"/>
                <w:color w:val="auto"/>
              </w:rPr>
            </w:pPr>
            <w:r>
              <w:rPr>
                <w:rFonts w:ascii="Arial" w:cs="Arial" w:eastAsia="Arial" w:hAnsi="Arial"/>
                <w:sz w:val="12"/>
                <w:szCs w:val="12"/>
                <w:b w:val="1"/>
                <w:bCs w:val="1"/>
                <w:color w:val="auto"/>
                <w:w w:val="98"/>
              </w:rPr>
              <w:t>CONDENSED CONSOLIDATED BALANCE SHEETS</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6860" w:type="dxa"/>
            <w:vAlign w:val="bottom"/>
          </w:tcPr>
          <w:p>
            <w:pPr>
              <w:jc w:val="center"/>
              <w:ind w:left="3380"/>
              <w:spacing w:after="0"/>
              <w:rPr>
                <w:sz w:val="20"/>
                <w:szCs w:val="20"/>
                <w:color w:val="auto"/>
              </w:rPr>
            </w:pPr>
            <w:r>
              <w:rPr>
                <w:rFonts w:ascii="Arial" w:cs="Arial" w:eastAsia="Arial" w:hAnsi="Arial"/>
                <w:sz w:val="12"/>
                <w:szCs w:val="12"/>
                <w:b w:val="1"/>
                <w:bCs w:val="1"/>
                <w:color w:val="auto"/>
                <w:w w:val="92"/>
              </w:rPr>
              <w:t>(Unaudited)</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57"/>
        </w:trPr>
        <w:tc>
          <w:tcPr>
            <w:tcW w:w="660" w:type="dxa"/>
            <w:vAlign w:val="bottom"/>
          </w:tcPr>
          <w:p>
            <w:pPr>
              <w:spacing w:after="0"/>
              <w:rPr>
                <w:sz w:val="13"/>
                <w:szCs w:val="13"/>
                <w:color w:val="auto"/>
              </w:rPr>
            </w:pPr>
          </w:p>
        </w:tc>
        <w:tc>
          <w:tcPr>
            <w:tcW w:w="6860" w:type="dxa"/>
            <w:vAlign w:val="bottom"/>
          </w:tcPr>
          <w:p>
            <w:pPr>
              <w:jc w:val="center"/>
              <w:ind w:left="3360"/>
              <w:spacing w:after="0"/>
              <w:rPr>
                <w:sz w:val="20"/>
                <w:szCs w:val="20"/>
                <w:color w:val="auto"/>
              </w:rPr>
            </w:pPr>
            <w:r>
              <w:rPr>
                <w:rFonts w:ascii="Arial" w:cs="Arial" w:eastAsia="Arial" w:hAnsi="Arial"/>
                <w:sz w:val="12"/>
                <w:szCs w:val="12"/>
                <w:b w:val="1"/>
                <w:bCs w:val="1"/>
                <w:color w:val="auto"/>
                <w:w w:val="89"/>
              </w:rPr>
              <w:t>(In thousands, except for share data)</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75"/>
        </w:trPr>
        <w:tc>
          <w:tcPr>
            <w:tcW w:w="66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2"/>
                <w:szCs w:val="12"/>
                <w:b w:val="1"/>
                <w:bCs w:val="1"/>
                <w:color w:val="auto"/>
                <w:w w:val="92"/>
              </w:rPr>
              <w:t>September 30,</w:t>
            </w: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w:t>
            </w:r>
          </w:p>
        </w:tc>
      </w:tr>
      <w:tr>
        <w:trPr>
          <w:trHeight w:val="157"/>
        </w:trPr>
        <w:tc>
          <w:tcPr>
            <w:tcW w:w="66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2021</w:t>
            </w:r>
          </w:p>
        </w:tc>
        <w:tc>
          <w:tcPr>
            <w:tcW w:w="7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2020</w:t>
            </w:r>
          </w:p>
        </w:tc>
        <w:tc>
          <w:tcPr>
            <w:tcW w:w="360" w:type="dxa"/>
            <w:vAlign w:val="bottom"/>
          </w:tcPr>
          <w:p>
            <w:pPr>
              <w:spacing w:after="0"/>
              <w:rPr>
                <w:sz w:val="13"/>
                <w:szCs w:val="13"/>
                <w:color w:val="auto"/>
              </w:rPr>
            </w:pPr>
          </w:p>
        </w:tc>
      </w:tr>
      <w:tr>
        <w:trPr>
          <w:trHeight w:val="133"/>
        </w:trPr>
        <w:tc>
          <w:tcPr>
            <w:tcW w:w="75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Assets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53"/>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Current assets</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Cash</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77,935</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19,919</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Accounts receivable, net</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12,784</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9,428</w:t>
            </w:r>
          </w:p>
        </w:tc>
      </w:tr>
      <w:tr>
        <w:trPr>
          <w:trHeight w:val="144"/>
        </w:trPr>
        <w:tc>
          <w:tcPr>
            <w:tcW w:w="7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15,338</w:t>
            </w:r>
          </w:p>
        </w:tc>
        <w:tc>
          <w:tcPr>
            <w:tcW w:w="7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4,820</w:t>
            </w:r>
          </w:p>
        </w:tc>
        <w:tc>
          <w:tcPr>
            <w:tcW w:w="360" w:type="dxa"/>
            <w:vAlign w:val="bottom"/>
            <w:tcBorders>
              <w:bottom w:val="single" w:sz="8" w:color="CCEEFF"/>
            </w:tcBorders>
            <w:shd w:val="clear" w:color="auto" w:fill="CCEEFF"/>
          </w:tcPr>
          <w:p>
            <w:pPr>
              <w:spacing w:after="0"/>
              <w:rPr>
                <w:sz w:val="12"/>
                <w:szCs w:val="12"/>
                <w:color w:val="auto"/>
              </w:rPr>
            </w:pPr>
          </w:p>
        </w:tc>
      </w:tr>
      <w:tr>
        <w:trPr>
          <w:trHeight w:val="142"/>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Total current assets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106,057</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34,167</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Property and equipment, net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10,031</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7,387</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Goodwill</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45,658</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3,961</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Intangible assets, net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8,446</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4,505</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Right-of-use assets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37,673</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Deferred tax assets</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147,972</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Other assets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6,787</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3,874</w:t>
            </w:r>
          </w:p>
        </w:tc>
      </w:tr>
      <w:tr>
        <w:trPr>
          <w:trHeight w:val="182"/>
        </w:trPr>
        <w:tc>
          <w:tcPr>
            <w:tcW w:w="7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Total assets</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362,624</w:t>
            </w: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53,894</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20"/>
        </w:trPr>
        <w:tc>
          <w:tcPr>
            <w:tcW w:w="7520" w:type="dxa"/>
            <w:vAlign w:val="bottom"/>
            <w:gridSpan w:val="2"/>
          </w:tcPr>
          <w:p>
            <w:pPr>
              <w:ind w:left="320"/>
              <w:spacing w:after="0" w:line="120" w:lineRule="exact"/>
              <w:rPr>
                <w:sz w:val="20"/>
                <w:szCs w:val="20"/>
                <w:color w:val="auto"/>
              </w:rPr>
            </w:pPr>
            <w:r>
              <w:rPr>
                <w:rFonts w:ascii="Arial" w:cs="Arial" w:eastAsia="Arial" w:hAnsi="Arial"/>
                <w:sz w:val="12"/>
                <w:szCs w:val="12"/>
                <w:b w:val="1"/>
                <w:bCs w:val="1"/>
                <w:color w:val="auto"/>
              </w:rPr>
              <w:t>Liabilities and Equity</w:t>
            </w: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Current liabilities</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Accounts payable and accrued expenses</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23,881</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12,651</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Deferred revenue</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7,759</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5,264</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Deferred rent</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5,129</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Operating lease liabilities, current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5,256</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Notes payable to members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205</w:t>
            </w:r>
          </w:p>
        </w:tc>
      </w:tr>
      <w:tr>
        <w:trPr>
          <w:trHeight w:val="144"/>
        </w:trPr>
        <w:tc>
          <w:tcPr>
            <w:tcW w:w="7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Other current liabilities</w:t>
            </w: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7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2"/>
                <w:szCs w:val="12"/>
                <w:color w:val="auto"/>
              </w:rPr>
            </w:pPr>
          </w:p>
        </w:tc>
      </w:tr>
      <w:tr>
        <w:trPr>
          <w:trHeight w:val="142"/>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Total current liabilities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37,896</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23,249</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Operating lease liabilities, non-current</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40,813</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Tax receivable agreement liability</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126,150</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Warrant liability</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110,350</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Other long-term liabilities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1,374</w:t>
            </w:r>
          </w:p>
        </w:tc>
      </w:tr>
      <w:tr>
        <w:trPr>
          <w:trHeight w:val="142"/>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Total liabilities</w:t>
            </w: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315,209</w:t>
            </w:r>
          </w:p>
        </w:tc>
        <w:tc>
          <w:tcPr>
            <w:tcW w:w="7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24,623</w:t>
            </w:r>
          </w:p>
        </w:tc>
        <w:tc>
          <w:tcPr>
            <w:tcW w:w="360" w:type="dxa"/>
            <w:vAlign w:val="bottom"/>
            <w:shd w:val="clear" w:color="auto" w:fill="CCEEFF"/>
          </w:tcPr>
          <w:p>
            <w:pPr>
              <w:spacing w:after="0"/>
              <w:rPr>
                <w:sz w:val="12"/>
                <w:szCs w:val="12"/>
                <w:color w:val="auto"/>
              </w:rPr>
            </w:pP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Commitments and contingencies (Note 4)</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Stockholders’ equity/Members’ equity</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35"/>
        </w:trPr>
        <w:tc>
          <w:tcPr>
            <w:tcW w:w="7520" w:type="dxa"/>
            <w:vAlign w:val="bottom"/>
            <w:gridSpan w:val="2"/>
          </w:tcPr>
          <w:p>
            <w:pPr>
              <w:ind w:left="320"/>
              <w:spacing w:after="0" w:line="135" w:lineRule="exact"/>
              <w:rPr>
                <w:sz w:val="20"/>
                <w:szCs w:val="20"/>
                <w:color w:val="auto"/>
              </w:rPr>
            </w:pPr>
            <w:r>
              <w:rPr>
                <w:rFonts w:ascii="Arial" w:cs="Arial" w:eastAsia="Arial" w:hAnsi="Arial"/>
                <w:sz w:val="12"/>
                <w:szCs w:val="12"/>
                <w:color w:val="auto"/>
                <w:w w:val="93"/>
              </w:rPr>
              <w:t>Preferred Stock - $0.0001 par value; 75,000,000 shares authorized; no shares issued and outstanding at September 30, 2021 and December 31,</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2020</w:t>
            </w:r>
          </w:p>
        </w:tc>
        <w:tc>
          <w:tcPr>
            <w:tcW w:w="6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35"/>
        </w:trPr>
        <w:tc>
          <w:tcPr>
            <w:tcW w:w="752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2"/>
                <w:szCs w:val="12"/>
                <w:color w:val="auto"/>
                <w:w w:val="96"/>
              </w:rPr>
              <w:t>Class A Common Stock - $0.0001 par value; 1,500,000,000 shares authorized; 65,677,361 shares issued and outstanding at September 30,</w:t>
            </w: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r>
        <w:trPr>
          <w:trHeight w:val="153"/>
        </w:trPr>
        <w:tc>
          <w:tcPr>
            <w:tcW w:w="7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and no shares issued and outstanding at December 31, 2020</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35"/>
        </w:trPr>
        <w:tc>
          <w:tcPr>
            <w:tcW w:w="7520" w:type="dxa"/>
            <w:vAlign w:val="bottom"/>
            <w:gridSpan w:val="2"/>
          </w:tcPr>
          <w:p>
            <w:pPr>
              <w:ind w:left="320"/>
              <w:spacing w:after="0" w:line="135" w:lineRule="exact"/>
              <w:rPr>
                <w:sz w:val="20"/>
                <w:szCs w:val="20"/>
                <w:color w:val="auto"/>
              </w:rPr>
            </w:pPr>
            <w:r>
              <w:rPr>
                <w:rFonts w:ascii="Arial" w:cs="Arial" w:eastAsia="Arial" w:hAnsi="Arial"/>
                <w:sz w:val="12"/>
                <w:szCs w:val="12"/>
                <w:color w:val="auto"/>
                <w:w w:val="94"/>
              </w:rPr>
              <w:t>Class V Common Stock - $0.0001 par value; 500,000,000 shares authorized, 65,502,347 shares issued and outstanding at September 30, 2021</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53"/>
        </w:trPr>
        <w:tc>
          <w:tcPr>
            <w:tcW w:w="7520" w:type="dxa"/>
            <w:vAlign w:val="bottom"/>
            <w:gridSpan w:val="2"/>
          </w:tcPr>
          <w:p>
            <w:pPr>
              <w:spacing w:after="0"/>
              <w:rPr>
                <w:sz w:val="20"/>
                <w:szCs w:val="20"/>
                <w:color w:val="auto"/>
              </w:rPr>
            </w:pPr>
            <w:r>
              <w:rPr>
                <w:rFonts w:ascii="Arial" w:cs="Arial" w:eastAsia="Arial" w:hAnsi="Arial"/>
                <w:sz w:val="12"/>
                <w:szCs w:val="12"/>
                <w:color w:val="auto"/>
              </w:rPr>
              <w:t>and no shares issued and outstanding at December 31, 2020</w:t>
            </w: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Additional paid-in capital</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(3,592</w:t>
            </w:r>
          </w:p>
        </w:tc>
        <w:tc>
          <w:tcPr>
            <w:tcW w:w="7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Retained earnings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26,084</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42"/>
        </w:trPr>
        <w:tc>
          <w:tcPr>
            <w:tcW w:w="75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Total WM Technology, Inc. stockholders’ equity</w:t>
            </w: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22,506</w:t>
            </w:r>
          </w:p>
        </w:tc>
        <w:tc>
          <w:tcPr>
            <w:tcW w:w="7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r>
      <w:tr>
        <w:trPr>
          <w:trHeight w:val="144"/>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Noncontrolling interests</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24,909</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r>
      <w:tr>
        <w:trPr>
          <w:trHeight w:val="144"/>
        </w:trPr>
        <w:tc>
          <w:tcPr>
            <w:tcW w:w="7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Members’ equity</w:t>
            </w: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29,271</w:t>
            </w:r>
          </w:p>
        </w:tc>
        <w:tc>
          <w:tcPr>
            <w:tcW w:w="360" w:type="dxa"/>
            <w:vAlign w:val="bottom"/>
            <w:tcBorders>
              <w:bottom w:val="single" w:sz="8" w:color="CCEEFF"/>
            </w:tcBorders>
            <w:shd w:val="clear" w:color="auto" w:fill="CCEEFF"/>
          </w:tcPr>
          <w:p>
            <w:pPr>
              <w:spacing w:after="0"/>
              <w:rPr>
                <w:sz w:val="12"/>
                <w:szCs w:val="12"/>
                <w:color w:val="auto"/>
              </w:rPr>
            </w:pPr>
          </w:p>
        </w:tc>
      </w:tr>
      <w:tr>
        <w:trPr>
          <w:trHeight w:val="142"/>
        </w:trPr>
        <w:tc>
          <w:tcPr>
            <w:tcW w:w="7520" w:type="dxa"/>
            <w:vAlign w:val="bottom"/>
            <w:gridSpan w:val="2"/>
          </w:tcPr>
          <w:p>
            <w:pPr>
              <w:ind w:left="320"/>
              <w:spacing w:after="0"/>
              <w:rPr>
                <w:sz w:val="20"/>
                <w:szCs w:val="20"/>
                <w:color w:val="auto"/>
              </w:rPr>
            </w:pPr>
            <w:r>
              <w:rPr>
                <w:rFonts w:ascii="Arial" w:cs="Arial" w:eastAsia="Arial" w:hAnsi="Arial"/>
                <w:sz w:val="12"/>
                <w:szCs w:val="12"/>
                <w:color w:val="auto"/>
              </w:rPr>
              <w:t>Total equity</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47,415</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29,271</w:t>
            </w:r>
          </w:p>
        </w:tc>
      </w:tr>
      <w:tr>
        <w:trPr>
          <w:trHeight w:val="182"/>
        </w:trPr>
        <w:tc>
          <w:tcPr>
            <w:tcW w:w="7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color w:val="auto"/>
              </w:rPr>
              <w:t>Total liabilities and stockholders’ equity/members’ equity</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362,624</w:t>
            </w: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53,894</w:t>
            </w:r>
          </w:p>
        </w:tc>
        <w:tc>
          <w:tcPr>
            <w:tcW w:w="36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center"/>
        <w:ind w:left="3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28" w:lineRule="exact"/>
        <w:rPr>
          <w:sz w:val="20"/>
          <w:szCs w:val="20"/>
          <w:color w:val="auto"/>
        </w:rPr>
      </w:pPr>
    </w:p>
    <w:p>
      <w:pPr>
        <w:jc w:val="center"/>
        <w:ind w:left="320"/>
        <w:spacing w:after="0"/>
        <w:rPr>
          <w:sz w:val="20"/>
          <w:szCs w:val="20"/>
          <w:color w:val="auto"/>
        </w:rPr>
      </w:pPr>
      <w:r>
        <w:rPr>
          <w:rFonts w:ascii="Arial" w:cs="Arial" w:eastAsia="Arial" w:hAnsi="Arial"/>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320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237"/>
        </w:trPr>
        <w:tc>
          <w:tcPr>
            <w:tcW w:w="320" w:type="dxa"/>
            <w:vAlign w:val="bottom"/>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40" w:type="dxa"/>
            <w:vAlign w:val="bottom"/>
            <w:gridSpan w:val="6"/>
          </w:tcPr>
          <w:p>
            <w:pPr>
              <w:jc w:val="center"/>
              <w:spacing w:after="0"/>
              <w:rPr>
                <w:sz w:val="20"/>
                <w:szCs w:val="20"/>
                <w:color w:val="auto"/>
              </w:rPr>
            </w:pPr>
            <w:r>
              <w:rPr>
                <w:rFonts w:ascii="Arial" w:cs="Arial" w:eastAsia="Arial" w:hAnsi="Arial"/>
                <w:sz w:val="12"/>
                <w:szCs w:val="12"/>
                <w:b w:val="1"/>
                <w:bCs w:val="1"/>
                <w:color w:val="auto"/>
              </w:rPr>
              <w:t>WM TECHNOLOGY, INC. AND SUBSIDIARIES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40" w:type="dxa"/>
            <w:vAlign w:val="bottom"/>
            <w:gridSpan w:val="6"/>
          </w:tcPr>
          <w:p>
            <w:pPr>
              <w:jc w:val="center"/>
              <w:spacing w:after="0"/>
              <w:rPr>
                <w:sz w:val="20"/>
                <w:szCs w:val="20"/>
                <w:color w:val="auto"/>
              </w:rPr>
            </w:pPr>
            <w:r>
              <w:rPr>
                <w:rFonts w:ascii="Arial" w:cs="Arial" w:eastAsia="Arial" w:hAnsi="Arial"/>
                <w:sz w:val="12"/>
                <w:szCs w:val="12"/>
                <w:b w:val="1"/>
                <w:bCs w:val="1"/>
                <w:color w:val="auto"/>
                <w:w w:val="99"/>
              </w:rPr>
              <w:t>CONDENSED CONSOLIDATED STATEMENTS OF INCOME</w:t>
            </w: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center"/>
              <w:ind w:left="540"/>
              <w:spacing w:after="0"/>
              <w:rPr>
                <w:sz w:val="20"/>
                <w:szCs w:val="20"/>
                <w:color w:val="auto"/>
              </w:rPr>
            </w:pPr>
            <w:r>
              <w:rPr>
                <w:rFonts w:ascii="Arial" w:cs="Arial" w:eastAsia="Arial" w:hAnsi="Arial"/>
                <w:sz w:val="12"/>
                <w:szCs w:val="12"/>
                <w:b w:val="1"/>
                <w:bCs w:val="1"/>
                <w:color w:val="auto"/>
                <w:w w:val="92"/>
              </w:rPr>
              <w:t>(Unaudited)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89"/>
              </w:rPr>
              <w:t>(In thousands, except for share data)</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75"/>
        </w:trPr>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4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Three Months Ended</w:t>
            </w: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2"/>
                <w:szCs w:val="12"/>
                <w:b w:val="1"/>
                <w:bCs w:val="1"/>
                <w:color w:val="auto"/>
                <w:w w:val="92"/>
              </w:rPr>
              <w:t>Nine Months Ended</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w w:val="95"/>
              </w:rPr>
              <w:t>September 30,</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7"/>
              </w:rPr>
              <w:t>September 30,</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2"/>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2021</w:t>
            </w:r>
          </w:p>
        </w:tc>
        <w:tc>
          <w:tcPr>
            <w:tcW w:w="7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w w:val="97"/>
              </w:rPr>
              <w:t>2020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6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2"/>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Revenues</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50,884</w:t>
            </w: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46,505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138,969</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117,470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2,035</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2,109</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5,800</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5,572</w:t>
            </w: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12,806</w:t>
            </w: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7,384</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37,194</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21,437</w:t>
            </w:r>
          </w:p>
        </w:tc>
        <w:tc>
          <w:tcPr>
            <w:tcW w:w="2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Product development</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7,782</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6,923</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25,921</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20,325</w:t>
            </w: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23,220</w:t>
            </w: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12,906</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70,356</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37,147</w:t>
            </w:r>
          </w:p>
        </w:tc>
        <w:tc>
          <w:tcPr>
            <w:tcW w:w="2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980</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991</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2,970</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2,980</w:t>
            </w:r>
          </w:p>
        </w:tc>
        <w:tc>
          <w:tcPr>
            <w:tcW w:w="280" w:type="dxa"/>
            <w:vAlign w:val="bottom"/>
          </w:tcPr>
          <w:p>
            <w:pPr>
              <w:spacing w:after="0"/>
              <w:rPr>
                <w:sz w:val="12"/>
                <w:szCs w:val="12"/>
                <w:color w:val="auto"/>
              </w:rPr>
            </w:pPr>
          </w:p>
        </w:tc>
      </w:tr>
      <w:tr>
        <w:trPr>
          <w:trHeight w:val="142"/>
        </w:trPr>
        <w:tc>
          <w:tcPr>
            <w:tcW w:w="32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46,823</w:t>
            </w:r>
          </w:p>
        </w:tc>
        <w:tc>
          <w:tcPr>
            <w:tcW w:w="7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30,313</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142,241</w:t>
            </w:r>
          </w:p>
        </w:tc>
        <w:tc>
          <w:tcPr>
            <w:tcW w:w="6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87,461</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Operating income (loss)</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4,061</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16,192</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(3,272</w:t>
            </w:r>
          </w:p>
        </w:tc>
        <w:tc>
          <w:tcPr>
            <w:tcW w:w="6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30,009</w:t>
            </w: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(expenses)</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Change in fair value of warrant liability</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45,837</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83,628</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70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(662</w:t>
            </w:r>
          </w:p>
        </w:tc>
        <w:tc>
          <w:tcPr>
            <w:tcW w:w="620" w:type="dxa"/>
            <w:vAlign w:val="bottom"/>
            <w:shd w:val="clear" w:color="auto" w:fill="CCEEFF"/>
          </w:tcPr>
          <w:p>
            <w:pPr>
              <w:jc w:val="right"/>
              <w:ind w:right="368"/>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(6,341</w:t>
            </w:r>
          </w:p>
        </w:tc>
        <w:tc>
          <w:tcPr>
            <w:tcW w:w="6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(1,277</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2"/>
                <w:szCs w:val="12"/>
                <w:color w:val="auto"/>
              </w:rPr>
              <w:t>)</w:t>
            </w: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Income before income taxes</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49,598</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15,530</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74,015</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28,732</w:t>
            </w: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49,205</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15,530</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73,773</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28,732</w:t>
            </w:r>
          </w:p>
        </w:tc>
        <w:tc>
          <w:tcPr>
            <w:tcW w:w="28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attributable to noncontrolling interests</w:t>
            </w: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28,370</w:t>
            </w: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48,675</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Net income attributable to WM Technology, Inc.</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20,835</w:t>
            </w:r>
          </w:p>
        </w:tc>
        <w:tc>
          <w:tcPr>
            <w:tcW w:w="700" w:type="dxa"/>
            <w:vAlign w:val="bottom"/>
          </w:tcPr>
          <w:p>
            <w:pPr>
              <w:spacing w:after="0"/>
              <w:rPr>
                <w:sz w:val="12"/>
                <w:szCs w:val="12"/>
                <w:color w:val="auto"/>
              </w:rPr>
            </w:pPr>
          </w:p>
        </w:tc>
        <w:tc>
          <w:tcPr>
            <w:tcW w:w="6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15,530</w:t>
            </w:r>
          </w:p>
        </w:tc>
        <w:tc>
          <w:tcPr>
            <w:tcW w:w="620" w:type="dxa"/>
            <w:vAlign w:val="bottom"/>
          </w:tcPr>
          <w:p>
            <w:pPr>
              <w:spacing w:after="0"/>
              <w:rPr>
                <w:sz w:val="12"/>
                <w:szCs w:val="12"/>
                <w:color w:val="auto"/>
              </w:rPr>
            </w:pP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25,098</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28,732</w:t>
            </w:r>
          </w:p>
        </w:tc>
        <w:tc>
          <w:tcPr>
            <w:tcW w:w="2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20"/>
        </w:trPr>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44"/>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Class A Common Stock:</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1"/>
        </w:trPr>
        <w:tc>
          <w:tcPr>
            <w:tcW w:w="3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income per share</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rPr>
              <w:t>1</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N/A</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r>
      <w:tr>
        <w:trPr>
          <w:trHeight w:val="171"/>
        </w:trPr>
        <w:tc>
          <w:tcPr>
            <w:tcW w:w="32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Diluted income (loss) per share</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0.02</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N/A</w:t>
            </w:r>
          </w:p>
        </w:tc>
        <w:tc>
          <w:tcPr>
            <w:tcW w:w="620" w:type="dxa"/>
            <w:vAlign w:val="bottom"/>
          </w:tcPr>
          <w:p>
            <w:pPr>
              <w:jc w:val="right"/>
              <w:ind w:right="328"/>
              <w:spacing w:after="0"/>
              <w:rPr>
                <w:sz w:val="20"/>
                <w:szCs w:val="20"/>
                <w:color w:val="auto"/>
              </w:rPr>
            </w:pPr>
            <w:r>
              <w:rPr>
                <w:rFonts w:ascii="Arial" w:cs="Arial" w:eastAsia="Arial" w:hAnsi="Arial"/>
                <w:sz w:val="10"/>
                <w:szCs w:val="10"/>
                <w:color w:val="auto"/>
              </w:rPr>
              <w:t>1</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(0.15</w:t>
            </w:r>
          </w:p>
        </w:tc>
        <w:tc>
          <w:tcPr>
            <w:tcW w:w="6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28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44"/>
        </w:trPr>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Class A Common Stock:</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71"/>
        </w:trPr>
        <w:tc>
          <w:tcPr>
            <w:tcW w:w="3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basic shares outstanding</w:t>
            </w:r>
          </w:p>
        </w:tc>
        <w:tc>
          <w:tcPr>
            <w:tcW w:w="5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64,216,732</w:t>
            </w: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N/A</w:t>
            </w:r>
          </w:p>
        </w:tc>
        <w:tc>
          <w:tcPr>
            <w:tcW w:w="62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rPr>
              <w:t>1</w:t>
            </w:r>
          </w:p>
        </w:tc>
        <w:tc>
          <w:tcPr>
            <w:tcW w:w="56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64,149,699</w:t>
            </w: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N/A</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r>
      <w:tr>
        <w:trPr>
          <w:trHeight w:val="162"/>
        </w:trPr>
        <w:tc>
          <w:tcPr>
            <w:tcW w:w="32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2"/>
                <w:szCs w:val="12"/>
                <w:color w:val="auto"/>
              </w:rPr>
              <w:t>Weighted average diluted shares outstanding</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68,304,372</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N/A</w:t>
            </w:r>
          </w:p>
        </w:tc>
        <w:tc>
          <w:tcPr>
            <w:tcW w:w="620" w:type="dxa"/>
            <w:vAlign w:val="bottom"/>
          </w:tcPr>
          <w:p>
            <w:pPr>
              <w:jc w:val="right"/>
              <w:ind w:right="328"/>
              <w:spacing w:after="0"/>
              <w:rPr>
                <w:sz w:val="20"/>
                <w:szCs w:val="20"/>
                <w:color w:val="auto"/>
              </w:rPr>
            </w:pPr>
            <w:r>
              <w:rPr>
                <w:rFonts w:ascii="Arial" w:cs="Arial" w:eastAsia="Arial" w:hAnsi="Arial"/>
                <w:sz w:val="10"/>
                <w:szCs w:val="10"/>
                <w:color w:val="auto"/>
              </w:rPr>
              <w:t>1</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69,950,141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28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53"/>
        </w:trPr>
        <w:tc>
          <w:tcPr>
            <w:tcW w:w="3520" w:type="dxa"/>
            <w:vAlign w:val="bottom"/>
            <w:gridSpan w:val="3"/>
          </w:tcPr>
          <w:p>
            <w:pPr>
              <w:jc w:val="right"/>
              <w:ind w:right="2100"/>
              <w:spacing w:after="0"/>
              <w:rPr>
                <w:sz w:val="20"/>
                <w:szCs w:val="20"/>
                <w:color w:val="auto"/>
              </w:rPr>
            </w:pPr>
            <w:r>
              <w:rPr>
                <w:rFonts w:ascii="Arial" w:cs="Arial" w:eastAsia="Arial" w:hAnsi="Arial"/>
                <w:sz w:val="12"/>
                <w:szCs w:val="12"/>
                <w:color w:val="auto"/>
              </w:rPr>
              <w:t>__________________</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r>
    </w:tbl>
    <w:p>
      <w:pPr>
        <w:jc w:val="both"/>
        <w:ind w:left="380" w:right="20" w:hanging="64"/>
        <w:spacing w:after="0" w:line="255" w:lineRule="auto"/>
        <w:tabs>
          <w:tab w:leader="none" w:pos="704" w:val="left"/>
        </w:tabs>
        <w:numPr>
          <w:ilvl w:val="0"/>
          <w:numId w:val="62"/>
        </w:numPr>
        <w:rPr>
          <w:rFonts w:ascii="Arial" w:cs="Arial" w:eastAsia="Arial" w:hAnsi="Arial"/>
          <w:sz w:val="12"/>
          <w:szCs w:val="12"/>
          <w:color w:val="auto"/>
        </w:rPr>
      </w:pPr>
      <w:r>
        <w:rPr>
          <w:rFonts w:ascii="Arial" w:cs="Arial" w:eastAsia="Arial" w:hAnsi="Arial"/>
          <w:sz w:val="12"/>
          <w:szCs w:val="12"/>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6).</w:t>
      </w:r>
    </w:p>
    <w:p>
      <w:pPr>
        <w:spacing w:after="0" w:line="127" w:lineRule="exact"/>
        <w:rPr>
          <w:sz w:val="20"/>
          <w:szCs w:val="20"/>
          <w:color w:val="auto"/>
        </w:rPr>
      </w:pPr>
    </w:p>
    <w:p>
      <w:pPr>
        <w:jc w:val="center"/>
        <w:ind w:left="3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28" w:lineRule="exact"/>
        <w:rPr>
          <w:sz w:val="20"/>
          <w:szCs w:val="20"/>
          <w:color w:val="auto"/>
        </w:rPr>
      </w:pPr>
    </w:p>
    <w:p>
      <w:pPr>
        <w:jc w:val="center"/>
        <w:ind w:left="320"/>
        <w:spacing w:after="0"/>
        <w:rPr>
          <w:sz w:val="20"/>
          <w:szCs w:val="20"/>
          <w:color w:val="auto"/>
        </w:rPr>
      </w:pPr>
      <w:r>
        <w:rPr>
          <w:rFonts w:ascii="Arial" w:cs="Arial" w:eastAsia="Arial" w:hAnsi="Arial"/>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98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8"/>
          </w:tcPr>
          <w:p>
            <w:pPr>
              <w:jc w:val="center"/>
              <w:ind w:right="220"/>
              <w:spacing w:after="0"/>
              <w:rPr>
                <w:sz w:val="20"/>
                <w:szCs w:val="20"/>
                <w:color w:val="auto"/>
              </w:rPr>
            </w:pPr>
            <w:r>
              <w:rPr>
                <w:rFonts w:ascii="Arial" w:cs="Arial" w:eastAsia="Arial" w:hAnsi="Arial"/>
                <w:sz w:val="12"/>
                <w:szCs w:val="12"/>
                <w:b w:val="1"/>
                <w:bCs w:val="1"/>
                <w:color w:val="auto"/>
              </w:rPr>
              <w:t>WM TECHNOLOGY, INC. AND SUBSIDIARIES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60" w:type="dxa"/>
            <w:vAlign w:val="bottom"/>
            <w:gridSpan w:val="9"/>
          </w:tcPr>
          <w:p>
            <w:pPr>
              <w:jc w:val="center"/>
              <w:spacing w:after="0"/>
              <w:rPr>
                <w:sz w:val="20"/>
                <w:szCs w:val="20"/>
                <w:color w:val="auto"/>
              </w:rPr>
            </w:pPr>
            <w:r>
              <w:rPr>
                <w:rFonts w:ascii="Arial" w:cs="Arial" w:eastAsia="Arial" w:hAnsi="Arial"/>
                <w:sz w:val="12"/>
                <w:szCs w:val="12"/>
                <w:b w:val="1"/>
                <w:bCs w:val="1"/>
                <w:color w:val="auto"/>
                <w:w w:val="99"/>
              </w:rPr>
              <w:t>CONDENSED CONSOLIDATED STATEMENTS OF EQUITY</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jc w:val="center"/>
              <w:ind w:left="220"/>
              <w:spacing w:after="0"/>
              <w:rPr>
                <w:sz w:val="20"/>
                <w:szCs w:val="20"/>
                <w:color w:val="auto"/>
              </w:rPr>
            </w:pPr>
            <w:r>
              <w:rPr>
                <w:rFonts w:ascii="Arial" w:cs="Arial" w:eastAsia="Arial" w:hAnsi="Arial"/>
                <w:sz w:val="12"/>
                <w:szCs w:val="12"/>
                <w:b w:val="1"/>
                <w:bCs w:val="1"/>
                <w:color w:val="auto"/>
                <w:w w:val="92"/>
              </w:rPr>
              <w:t>(Unaudited)</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right"/>
              <w:spacing w:after="0"/>
              <w:rPr>
                <w:sz w:val="20"/>
                <w:szCs w:val="20"/>
                <w:color w:val="auto"/>
              </w:rPr>
            </w:pPr>
            <w:r>
              <w:rPr>
                <w:rFonts w:ascii="Arial" w:cs="Arial" w:eastAsia="Arial" w:hAnsi="Arial"/>
                <w:sz w:val="12"/>
                <w:szCs w:val="12"/>
                <w:b w:val="1"/>
                <w:bCs w:val="1"/>
                <w:color w:val="auto"/>
                <w:w w:val="90"/>
              </w:rPr>
              <w:t>Three and Nine Months Ended September 30, 2021</w:t>
            </w:r>
          </w:p>
        </w:tc>
        <w:tc>
          <w:tcPr>
            <w:tcW w:w="0" w:type="dxa"/>
            <w:vAlign w:val="bottom"/>
          </w:tcPr>
          <w:p>
            <w:pPr>
              <w:spacing w:after="0"/>
              <w:rPr>
                <w:sz w:val="1"/>
                <w:szCs w:val="1"/>
                <w:color w:val="auto"/>
              </w:rPr>
            </w:pPr>
          </w:p>
        </w:tc>
      </w:tr>
      <w:tr>
        <w:trPr>
          <w:trHeight w:val="300"/>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ind w:left="340"/>
              <w:spacing w:after="0"/>
              <w:rPr>
                <w:sz w:val="20"/>
                <w:szCs w:val="20"/>
                <w:color w:val="auto"/>
              </w:rPr>
            </w:pPr>
            <w:r>
              <w:rPr>
                <w:rFonts w:ascii="Arial" w:cs="Arial" w:eastAsia="Arial" w:hAnsi="Arial"/>
                <w:sz w:val="12"/>
                <w:szCs w:val="12"/>
                <w:b w:val="1"/>
                <w:bCs w:val="1"/>
                <w:color w:val="auto"/>
              </w:rPr>
              <w:t>Common 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w w:val="93"/>
              </w:rPr>
              <w:t>Common Stock</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1"/>
              </w:rPr>
              <w:t>Additional</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Arial" w:cs="Arial" w:eastAsia="Arial" w:hAnsi="Arial"/>
                <w:sz w:val="12"/>
                <w:szCs w:val="12"/>
                <w:b w:val="1"/>
                <w:bCs w:val="1"/>
                <w:color w:val="auto"/>
              </w:rPr>
              <w:t>Class A</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92"/>
              </w:rPr>
              <w:t>Class V</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4"/>
              </w:rPr>
              <w:t>Paid-in</w:t>
            </w: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2"/>
                <w:szCs w:val="12"/>
                <w:b w:val="1"/>
                <w:bCs w:val="1"/>
                <w:color w:val="auto"/>
                <w:w w:val="94"/>
              </w:rPr>
              <w:t>Retained</w:t>
            </w:r>
          </w:p>
        </w:tc>
        <w:tc>
          <w:tcPr>
            <w:tcW w:w="0" w:type="dxa"/>
            <w:vAlign w:val="bottom"/>
          </w:tcPr>
          <w:p>
            <w:pPr>
              <w:spacing w:after="0"/>
              <w:rPr>
                <w:sz w:val="1"/>
                <w:szCs w:val="1"/>
                <w:color w:val="auto"/>
              </w:rPr>
            </w:pPr>
          </w:p>
        </w:tc>
      </w:tr>
      <w:tr>
        <w:trPr>
          <w:trHeight w:val="84"/>
        </w:trPr>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89"/>
              </w:rPr>
              <w:t>Shares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4"/>
          </w:tcPr>
          <w:p>
            <w:pPr>
              <w:ind w:left="180"/>
              <w:spacing w:after="0"/>
              <w:rPr>
                <w:sz w:val="20"/>
                <w:szCs w:val="20"/>
                <w:color w:val="auto"/>
              </w:rPr>
            </w:pPr>
            <w:r>
              <w:rPr>
                <w:rFonts w:ascii="Arial" w:cs="Arial" w:eastAsia="Arial" w:hAnsi="Arial"/>
                <w:sz w:val="12"/>
                <w:szCs w:val="12"/>
                <w:b w:val="1"/>
                <w:bCs w:val="1"/>
                <w:color w:val="auto"/>
                <w:w w:val="94"/>
              </w:rPr>
              <w:t>Par Value</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ind w:left="300"/>
              <w:spacing w:after="0"/>
              <w:rPr>
                <w:sz w:val="20"/>
                <w:szCs w:val="20"/>
                <w:color w:val="auto"/>
              </w:rPr>
            </w:pPr>
            <w:r>
              <w:rPr>
                <w:rFonts w:ascii="Arial" w:cs="Arial" w:eastAsia="Arial" w:hAnsi="Arial"/>
                <w:sz w:val="12"/>
                <w:szCs w:val="12"/>
                <w:b w:val="1"/>
                <w:bCs w:val="1"/>
                <w:color w:val="auto"/>
              </w:rPr>
              <w:t>Par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3"/>
              </w:rPr>
              <w:t>Earnings</w:t>
            </w: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December 31,</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2020</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880"/>
              <w:spacing w:after="0"/>
              <w:rPr>
                <w:sz w:val="20"/>
                <w:szCs w:val="20"/>
                <w:color w:val="auto"/>
              </w:rPr>
            </w:pPr>
            <w:r>
              <w:rPr>
                <w:rFonts w:ascii="Arial" w:cs="Arial" w:eastAsia="Arial" w:hAnsi="Arial"/>
                <w:sz w:val="11"/>
                <w:szCs w:val="11"/>
                <w:color w:val="auto"/>
                <w:w w:val="72"/>
              </w:rPr>
              <w:t>—</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Distributions</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to members</w:t>
            </w:r>
          </w:p>
        </w:tc>
        <w:tc>
          <w:tcPr>
            <w:tcW w:w="82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Repurchase</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Class B Units</w:t>
            </w:r>
          </w:p>
        </w:tc>
        <w:tc>
          <w:tcPr>
            <w:tcW w:w="8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980" w:type="dxa"/>
            <w:vAlign w:val="bottom"/>
            <w:gridSpan w:val="3"/>
            <w:shd w:val="clear" w:color="auto" w:fill="CCEEFF"/>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820" w:type="dxa"/>
            <w:vAlign w:val="bottom"/>
          </w:tcPr>
          <w:p>
            <w:pPr>
              <w:spacing w:after="0"/>
              <w:rPr>
                <w:sz w:val="12"/>
                <w:szCs w:val="12"/>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March 31, 2021</w:t>
            </w:r>
          </w:p>
        </w:tc>
        <w:tc>
          <w:tcPr>
            <w:tcW w:w="8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980" w:type="dxa"/>
            <w:vAlign w:val="bottom"/>
            <w:gridSpan w:val="3"/>
            <w:shd w:val="clear" w:color="auto" w:fill="CCEEFF"/>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Stock-based</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Distributions</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 members</w:t>
            </w:r>
          </w:p>
        </w:tc>
        <w:tc>
          <w:tcPr>
            <w:tcW w:w="8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980" w:type="dxa"/>
            <w:vAlign w:val="bottom"/>
            <w:gridSpan w:val="3"/>
            <w:shd w:val="clear" w:color="auto" w:fill="CCEEFF"/>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Repurchase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of Class B Units</w:t>
            </w:r>
          </w:p>
        </w:tc>
        <w:tc>
          <w:tcPr>
            <w:tcW w:w="82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Proceeds</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and shares issued</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 the Business</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Combination (Note</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6)</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63,738,563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2020" w:type="dxa"/>
            <w:vAlign w:val="bottom"/>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65,502,347</w:t>
            </w: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(20,212</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986</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820" w:type="dxa"/>
            <w:vAlign w:val="bottom"/>
          </w:tcPr>
          <w:p>
            <w:pPr>
              <w:spacing w:after="0"/>
              <w:rPr>
                <w:sz w:val="12"/>
                <w:szCs w:val="12"/>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4,263</w:t>
            </w: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June 30, 2021</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63,738,563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2020" w:type="dxa"/>
            <w:vAlign w:val="bottom"/>
            <w:gridSpan w:val="6"/>
            <w:shd w:val="clear" w:color="auto" w:fill="CCEEFF"/>
          </w:tcPr>
          <w:p>
            <w:pPr>
              <w:jc w:val="right"/>
              <w:ind w:right="100"/>
              <w:spacing w:after="0"/>
              <w:rPr>
                <w:sz w:val="20"/>
                <w:szCs w:val="20"/>
                <w:color w:val="auto"/>
              </w:rPr>
            </w:pPr>
            <w:r>
              <w:rPr>
                <w:rFonts w:ascii="Arial" w:cs="Arial" w:eastAsia="Arial" w:hAnsi="Arial"/>
                <w:sz w:val="12"/>
                <w:szCs w:val="12"/>
                <w:color w:val="auto"/>
              </w:rPr>
              <w:t>65,502,347</w:t>
            </w: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(20,212</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5,249</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Stock-based</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compensation</w:t>
            </w:r>
          </w:p>
        </w:tc>
        <w:tc>
          <w:tcPr>
            <w:tcW w:w="820" w:type="dxa"/>
            <w:vAlign w:val="bottom"/>
          </w:tcPr>
          <w:p>
            <w:pPr>
              <w:spacing w:after="0"/>
              <w:rPr>
                <w:sz w:val="13"/>
                <w:szCs w:val="13"/>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4,173</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Transaction</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costs related to the</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Business</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Combination (Note</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6)</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980" w:type="dxa"/>
            <w:vAlign w:val="bottom"/>
            <w:gridSpan w:val="3"/>
            <w:shd w:val="clear" w:color="auto" w:fill="CCEEFF"/>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(274</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Issuance of</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tcPr>
          <w:p>
            <w:pPr>
              <w:spacing w:after="0"/>
              <w:rPr>
                <w:sz w:val="20"/>
                <w:szCs w:val="20"/>
                <w:color w:val="auto"/>
              </w:rPr>
            </w:pPr>
            <w:r>
              <w:rPr>
                <w:rFonts w:ascii="Arial" w:cs="Arial" w:eastAsia="Arial" w:hAnsi="Arial"/>
                <w:sz w:val="12"/>
                <w:szCs w:val="12"/>
                <w:color w:val="auto"/>
              </w:rPr>
              <w:t>common stock for</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gridSpan w:val="3"/>
          </w:tcPr>
          <w:p>
            <w:pPr>
              <w:spacing w:after="0"/>
              <w:rPr>
                <w:sz w:val="20"/>
                <w:szCs w:val="20"/>
                <w:color w:val="auto"/>
              </w:rPr>
            </w:pPr>
            <w:r>
              <w:rPr>
                <w:rFonts w:ascii="Arial" w:cs="Arial" w:eastAsia="Arial" w:hAnsi="Arial"/>
                <w:sz w:val="12"/>
                <w:szCs w:val="12"/>
                <w:color w:val="auto"/>
              </w:rPr>
              <w:t>acquisitions (Note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rPr>
              <w:t>7)</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2"/>
                <w:szCs w:val="12"/>
                <w:color w:val="auto"/>
              </w:rPr>
              <w:t>1,938,798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12,721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3"/>
            <w:shd w:val="clear" w:color="auto" w:fill="CCEEFF"/>
          </w:tcPr>
          <w:p>
            <w:pPr>
              <w:jc w:val="right"/>
              <w:ind w:right="88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20,835</w:t>
            </w:r>
          </w:p>
        </w:tc>
        <w:tc>
          <w:tcPr>
            <w:tcW w:w="0" w:type="dxa"/>
            <w:vAlign w:val="bottom"/>
          </w:tcPr>
          <w:p>
            <w:pPr>
              <w:spacing w:after="0"/>
              <w:rPr>
                <w:sz w:val="1"/>
                <w:szCs w:val="1"/>
                <w:color w:val="auto"/>
              </w:rPr>
            </w:pPr>
          </w:p>
        </w:tc>
      </w:tr>
      <w:tr>
        <w:trPr>
          <w:trHeight w:val="129"/>
        </w:trPr>
        <w:tc>
          <w:tcPr>
            <w:tcW w:w="32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gridSpan w:val="2"/>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20"/>
                <w:szCs w:val="20"/>
                <w:color w:val="auto"/>
              </w:rPr>
            </w:pPr>
            <w:r>
              <w:rPr>
                <w:rFonts w:ascii="Arial" w:cs="Arial" w:eastAsia="Arial" w:hAnsi="Arial"/>
                <w:sz w:val="12"/>
                <w:szCs w:val="12"/>
                <w:b w:val="1"/>
                <w:bCs w:val="1"/>
                <w:color w:val="auto"/>
              </w:rPr>
              <w:t>2021</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2"/>
                <w:szCs w:val="12"/>
                <w:color w:val="auto"/>
              </w:rPr>
              <w:t>65,677,361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ind w:lef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7</w:t>
            </w:r>
          </w:p>
        </w:tc>
        <w:tc>
          <w:tcPr>
            <w:tcW w:w="2020" w:type="dxa"/>
            <w:vAlign w:val="bottom"/>
            <w:gridSpan w:val="6"/>
          </w:tcPr>
          <w:p>
            <w:pPr>
              <w:jc w:val="right"/>
              <w:ind w:right="100"/>
              <w:spacing w:after="0"/>
              <w:rPr>
                <w:sz w:val="20"/>
                <w:szCs w:val="20"/>
                <w:color w:val="auto"/>
              </w:rPr>
            </w:pPr>
            <w:r>
              <w:rPr>
                <w:rFonts w:ascii="Arial" w:cs="Arial" w:eastAsia="Arial" w:hAnsi="Arial"/>
                <w:sz w:val="12"/>
                <w:szCs w:val="12"/>
                <w:color w:val="auto"/>
              </w:rPr>
              <w:t>65,502,347</w:t>
            </w:r>
          </w:p>
        </w:tc>
        <w:tc>
          <w:tcPr>
            <w:tcW w:w="460" w:type="dxa"/>
            <w:vAlign w:val="bottom"/>
          </w:tcPr>
          <w:p>
            <w:pPr>
              <w:spacing w:after="0"/>
              <w:rPr>
                <w:sz w:val="13"/>
                <w:szCs w:val="13"/>
                <w:color w:val="auto"/>
              </w:rPr>
            </w:pPr>
          </w:p>
        </w:tc>
        <w:tc>
          <w:tcPr>
            <w:tcW w:w="88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60"/>
              <w:spacing w:after="0"/>
              <w:rPr>
                <w:sz w:val="20"/>
                <w:szCs w:val="20"/>
                <w:color w:val="auto"/>
              </w:rPr>
            </w:pPr>
            <w:r>
              <w:rPr>
                <w:rFonts w:ascii="Arial" w:cs="Arial" w:eastAsia="Arial" w:hAnsi="Arial"/>
                <w:sz w:val="12"/>
                <w:szCs w:val="12"/>
                <w:color w:val="auto"/>
              </w:rPr>
              <w:t>7</w:t>
            </w:r>
          </w:p>
        </w:tc>
        <w:tc>
          <w:tcPr>
            <w:tcW w:w="160" w:type="dxa"/>
            <w:vAlign w:val="bottom"/>
          </w:tcPr>
          <w:p>
            <w:pPr>
              <w:spacing w:after="0"/>
              <w:rPr>
                <w:sz w:val="13"/>
                <w:szCs w:val="13"/>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(3,592</w:t>
            </w:r>
          </w:p>
        </w:tc>
        <w:tc>
          <w:tcPr>
            <w:tcW w:w="3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560"/>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120"/>
              <w:spacing w:after="0"/>
              <w:rPr>
                <w:sz w:val="20"/>
                <w:szCs w:val="20"/>
                <w:color w:val="auto"/>
              </w:rPr>
            </w:pPr>
            <w:r>
              <w:rPr>
                <w:rFonts w:ascii="Arial" w:cs="Arial" w:eastAsia="Arial" w:hAnsi="Arial"/>
                <w:sz w:val="12"/>
                <w:szCs w:val="12"/>
                <w:color w:val="auto"/>
              </w:rPr>
              <w:t>26,084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gridSpan w:val="13"/>
          </w:tcPr>
          <w:p>
            <w:pPr>
              <w:jc w:val="right"/>
              <w:ind w:right="580"/>
              <w:spacing w:after="0"/>
              <w:rPr>
                <w:sz w:val="20"/>
                <w:szCs w:val="20"/>
                <w:color w:val="auto"/>
              </w:rPr>
            </w:pPr>
            <w:r>
              <w:rPr>
                <w:rFonts w:ascii="Arial" w:cs="Arial" w:eastAsia="Arial" w:hAnsi="Arial"/>
                <w:sz w:val="12"/>
                <w:szCs w:val="12"/>
                <w:b w:val="1"/>
                <w:bCs w:val="1"/>
                <w:color w:val="auto"/>
              </w:rPr>
              <w:t>Three and Nine Months Ended September 30, 2020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center"/>
              <w:ind w:left="80"/>
              <w:spacing w:after="0"/>
              <w:rPr>
                <w:sz w:val="20"/>
                <w:szCs w:val="20"/>
                <w:color w:val="auto"/>
              </w:rPr>
            </w:pPr>
            <w:r>
              <w:rPr>
                <w:rFonts w:ascii="Arial" w:cs="Arial" w:eastAsia="Arial" w:hAnsi="Arial"/>
                <w:sz w:val="12"/>
                <w:szCs w:val="12"/>
                <w:b w:val="1"/>
                <w:bCs w:val="1"/>
                <w:color w:val="auto"/>
                <w:w w:val="90"/>
              </w:rPr>
              <w:t>Common Stock</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restart"/>
          </w:tcPr>
          <w:p>
            <w:pPr>
              <w:jc w:val="center"/>
              <w:ind w:left="280"/>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Te</w:t>
            </w:r>
          </w:p>
        </w:tc>
        <w:tc>
          <w:tcPr>
            <w:tcW w:w="0" w:type="dxa"/>
            <w:vAlign w:val="bottom"/>
          </w:tcPr>
          <w:p>
            <w:pPr>
              <w:spacing w:after="0"/>
              <w:rPr>
                <w:sz w:val="1"/>
                <w:szCs w:val="1"/>
                <w:color w:val="auto"/>
              </w:rPr>
            </w:pPr>
          </w:p>
        </w:tc>
      </w:tr>
      <w:tr>
        <w:trPr>
          <w:trHeight w:val="63"/>
        </w:trPr>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gridSpan w:val="3"/>
            <w:vMerge w:val="restart"/>
          </w:tcPr>
          <w:p>
            <w:pPr>
              <w:ind w:left="340"/>
              <w:spacing w:after="0"/>
              <w:rPr>
                <w:sz w:val="20"/>
                <w:szCs w:val="20"/>
                <w:color w:val="auto"/>
              </w:rPr>
            </w:pPr>
            <w:r>
              <w:rPr>
                <w:rFonts w:ascii="Arial" w:cs="Arial" w:eastAsia="Arial" w:hAnsi="Arial"/>
                <w:sz w:val="12"/>
                <w:szCs w:val="12"/>
                <w:b w:val="1"/>
                <w:bCs w:val="1"/>
                <w:color w:val="auto"/>
              </w:rPr>
              <w:t>Class A</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gridSpan w:val="3"/>
            <w:vMerge w:val="restart"/>
          </w:tcPr>
          <w:p>
            <w:pPr>
              <w:jc w:val="center"/>
              <w:ind w:left="80"/>
              <w:spacing w:after="0"/>
              <w:rPr>
                <w:sz w:val="20"/>
                <w:szCs w:val="20"/>
                <w:color w:val="auto"/>
              </w:rPr>
            </w:pPr>
            <w:r>
              <w:rPr>
                <w:rFonts w:ascii="Arial" w:cs="Arial" w:eastAsia="Arial" w:hAnsi="Arial"/>
                <w:sz w:val="12"/>
                <w:szCs w:val="12"/>
                <w:b w:val="1"/>
                <w:bCs w:val="1"/>
                <w:color w:val="auto"/>
                <w:w w:val="92"/>
              </w:rPr>
              <w:t>Class V</w:t>
            </w: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center"/>
              <w:ind w:left="280"/>
              <w:spacing w:after="0"/>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Retained</w:t>
            </w: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w:t>
            </w: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tcPr>
          <w:p>
            <w:pPr>
              <w:jc w:val="right"/>
              <w:ind w:right="1060"/>
              <w:spacing w:after="0"/>
              <w:rPr>
                <w:sz w:val="20"/>
                <w:szCs w:val="20"/>
                <w:color w:val="auto"/>
              </w:rPr>
            </w:pPr>
            <w:r>
              <w:rPr>
                <w:rFonts w:ascii="Arial" w:cs="Arial" w:eastAsia="Arial" w:hAnsi="Arial"/>
                <w:sz w:val="12"/>
                <w:szCs w:val="12"/>
                <w:b w:val="1"/>
                <w:bCs w:val="1"/>
                <w:color w:val="auto"/>
              </w:rPr>
              <w:t>Shares</w:t>
            </w: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Par Value</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5"/>
          </w:tcPr>
          <w:p>
            <w:pPr>
              <w:ind w:left="380"/>
              <w:spacing w:after="0"/>
              <w:rPr>
                <w:sz w:val="20"/>
                <w:szCs w:val="20"/>
                <w:color w:val="auto"/>
              </w:rPr>
            </w:pPr>
            <w:r>
              <w:rPr>
                <w:rFonts w:ascii="Arial" w:cs="Arial" w:eastAsia="Arial" w:hAnsi="Arial"/>
                <w:sz w:val="12"/>
                <w:szCs w:val="12"/>
                <w:b w:val="1"/>
                <w:bCs w:val="1"/>
                <w:color w:val="auto"/>
              </w:rPr>
              <w:t>Shares</w:t>
            </w:r>
          </w:p>
        </w:tc>
        <w:tc>
          <w:tcPr>
            <w:tcW w:w="1340" w:type="dxa"/>
            <w:vAlign w:val="bottom"/>
            <w:gridSpan w:val="3"/>
          </w:tcPr>
          <w:p>
            <w:pPr>
              <w:jc w:val="right"/>
              <w:ind w:right="660"/>
              <w:spacing w:after="0"/>
              <w:rPr>
                <w:sz w:val="20"/>
                <w:szCs w:val="20"/>
                <w:color w:val="auto"/>
              </w:rPr>
            </w:pPr>
            <w:r>
              <w:rPr>
                <w:rFonts w:ascii="Arial" w:cs="Arial" w:eastAsia="Arial" w:hAnsi="Arial"/>
                <w:sz w:val="12"/>
                <w:szCs w:val="12"/>
                <w:b w:val="1"/>
                <w:bCs w:val="1"/>
                <w:color w:val="auto"/>
              </w:rPr>
              <w:t>Par Value</w:t>
            </w:r>
          </w:p>
        </w:tc>
        <w:tc>
          <w:tcPr>
            <w:tcW w:w="100" w:type="dxa"/>
            <w:vAlign w:val="bottom"/>
          </w:tcPr>
          <w:p>
            <w:pPr>
              <w:spacing w:after="0"/>
              <w:rPr>
                <w:sz w:val="13"/>
                <w:szCs w:val="13"/>
                <w:color w:val="auto"/>
              </w:rPr>
            </w:pPr>
          </w:p>
        </w:tc>
        <w:tc>
          <w:tcPr>
            <w:tcW w:w="880" w:type="dxa"/>
            <w:vAlign w:val="bottom"/>
            <w:gridSpan w:val="2"/>
          </w:tcPr>
          <w:p>
            <w:pPr>
              <w:jc w:val="center"/>
              <w:ind w:left="28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b w:val="1"/>
                <w:bCs w:val="1"/>
                <w:color w:val="auto"/>
              </w:rPr>
              <w:t>Earnings</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December 31,</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2019</w:t>
            </w: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0" w:type="dxa"/>
            <w:vAlign w:val="bottom"/>
            <w:gridSpan w:val="4"/>
            <w:shd w:val="clear" w:color="auto" w:fill="CCEEFF"/>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Distributions</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to members</w:t>
            </w:r>
          </w:p>
        </w:tc>
        <w:tc>
          <w:tcPr>
            <w:tcW w:w="1800" w:type="dxa"/>
            <w:vAlign w:val="bottom"/>
            <w:gridSpan w:val="4"/>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Repurchase</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Class B Units</w:t>
            </w:r>
          </w:p>
        </w:tc>
        <w:tc>
          <w:tcPr>
            <w:tcW w:w="1800" w:type="dxa"/>
            <w:vAlign w:val="bottom"/>
            <w:gridSpan w:val="4"/>
            <w:shd w:val="clear" w:color="auto" w:fill="CCEEFF"/>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800" w:type="dxa"/>
            <w:vAlign w:val="bottom"/>
            <w:gridSpan w:val="4"/>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March 31, 2020</w:t>
            </w:r>
          </w:p>
        </w:tc>
        <w:tc>
          <w:tcPr>
            <w:tcW w:w="1800" w:type="dxa"/>
            <w:vAlign w:val="bottom"/>
            <w:gridSpan w:val="4"/>
            <w:shd w:val="clear" w:color="auto" w:fill="CCEEFF"/>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Distributions</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to members</w:t>
            </w:r>
          </w:p>
        </w:tc>
        <w:tc>
          <w:tcPr>
            <w:tcW w:w="1800" w:type="dxa"/>
            <w:vAlign w:val="bottom"/>
            <w:gridSpan w:val="4"/>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Repurchase</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Class B Units</w:t>
            </w:r>
          </w:p>
        </w:tc>
        <w:tc>
          <w:tcPr>
            <w:tcW w:w="1800" w:type="dxa"/>
            <w:vAlign w:val="bottom"/>
            <w:gridSpan w:val="4"/>
            <w:shd w:val="clear" w:color="auto" w:fill="CCEEFF"/>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800" w:type="dxa"/>
            <w:vAlign w:val="bottom"/>
            <w:gridSpan w:val="4"/>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June 30, 2020</w:t>
            </w:r>
          </w:p>
        </w:tc>
        <w:tc>
          <w:tcPr>
            <w:tcW w:w="1800" w:type="dxa"/>
            <w:vAlign w:val="bottom"/>
            <w:gridSpan w:val="4"/>
            <w:shd w:val="clear" w:color="auto" w:fill="CCEEFF"/>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color w:val="auto"/>
              </w:rPr>
              <w:t>Distributions</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tcPr>
          <w:p>
            <w:pPr>
              <w:spacing w:after="0"/>
              <w:rPr>
                <w:sz w:val="20"/>
                <w:szCs w:val="20"/>
                <w:color w:val="auto"/>
              </w:rPr>
            </w:pPr>
            <w:r>
              <w:rPr>
                <w:rFonts w:ascii="Arial" w:cs="Arial" w:eastAsia="Arial" w:hAnsi="Arial"/>
                <w:sz w:val="12"/>
                <w:szCs w:val="12"/>
                <w:color w:val="auto"/>
              </w:rPr>
              <w:t>to members</w:t>
            </w:r>
          </w:p>
        </w:tc>
        <w:tc>
          <w:tcPr>
            <w:tcW w:w="1800" w:type="dxa"/>
            <w:vAlign w:val="bottom"/>
            <w:gridSpan w:val="4"/>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Repurchase</w:t>
            </w: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Class B Units</w:t>
            </w:r>
          </w:p>
        </w:tc>
        <w:tc>
          <w:tcPr>
            <w:tcW w:w="1800" w:type="dxa"/>
            <w:vAlign w:val="bottom"/>
            <w:gridSpan w:val="4"/>
            <w:shd w:val="clear" w:color="auto" w:fill="CCEEFF"/>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800" w:type="dxa"/>
            <w:vAlign w:val="bottom"/>
            <w:gridSpan w:val="4"/>
          </w:tcPr>
          <w:p>
            <w:pPr>
              <w:jc w:val="center"/>
              <w:ind w:right="28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As of</w:t>
            </w:r>
          </w:p>
        </w:tc>
        <w:tc>
          <w:tcPr>
            <w:tcW w:w="8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right w:val="single" w:sz="8" w:color="CCEEFF"/>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September 30,</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2020</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40"/>
              <w:spacing w:after="0"/>
              <w:rPr>
                <w:sz w:val="20"/>
                <w:szCs w:val="20"/>
                <w:color w:val="auto"/>
              </w:rPr>
            </w:pPr>
            <w:r>
              <w:rPr>
                <w:rFonts w:ascii="Arial" w:cs="Arial" w:eastAsia="Arial" w:hAnsi="Arial"/>
                <w:sz w:val="12"/>
                <w:szCs w:val="12"/>
                <w:color w:val="auto"/>
                <w:w w:val="99"/>
              </w:rPr>
              <w:t>—</w:t>
            </w:r>
          </w:p>
        </w:tc>
        <w:tc>
          <w:tcPr>
            <w:tcW w:w="720" w:type="dxa"/>
            <w:vAlign w:val="bottom"/>
            <w:gridSpan w:val="2"/>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left="3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72" w:lineRule="exact"/>
        <w:rPr>
          <w:sz w:val="20"/>
          <w:szCs w:val="20"/>
          <w:color w:val="auto"/>
        </w:rPr>
      </w:pPr>
    </w:p>
    <w:p>
      <w:pPr>
        <w:jc w:val="center"/>
        <w:ind w:left="320"/>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0"/>
          </w:cols>
          <w:pgMar w:left="300" w:top="115"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7400" w:type="dxa"/>
            <w:vAlign w:val="bottom"/>
            <w:gridSpan w:val="3"/>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37"/>
        </w:trPr>
        <w:tc>
          <w:tcPr>
            <w:tcW w:w="320" w:type="dxa"/>
            <w:vAlign w:val="bottom"/>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6740" w:type="dxa"/>
            <w:vAlign w:val="bottom"/>
            <w:gridSpan w:val="2"/>
          </w:tcPr>
          <w:p>
            <w:pPr>
              <w:jc w:val="center"/>
              <w:ind w:left="2840"/>
              <w:spacing w:after="0"/>
              <w:rPr>
                <w:sz w:val="20"/>
                <w:szCs w:val="20"/>
                <w:color w:val="auto"/>
              </w:rPr>
            </w:pPr>
            <w:r>
              <w:rPr>
                <w:rFonts w:ascii="Arial" w:cs="Arial" w:eastAsia="Arial" w:hAnsi="Arial"/>
                <w:sz w:val="12"/>
                <w:szCs w:val="12"/>
                <w:b w:val="1"/>
                <w:bCs w:val="1"/>
                <w:color w:val="auto"/>
              </w:rPr>
              <w:t>WM TECHNOLOGY, INC. AND SUBSIDIARIES</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740" w:type="dxa"/>
            <w:vAlign w:val="bottom"/>
            <w:gridSpan w:val="2"/>
          </w:tcPr>
          <w:p>
            <w:pPr>
              <w:jc w:val="center"/>
              <w:ind w:left="2840"/>
              <w:spacing w:after="0"/>
              <w:rPr>
                <w:sz w:val="20"/>
                <w:szCs w:val="20"/>
                <w:color w:val="auto"/>
              </w:rPr>
            </w:pPr>
            <w:r>
              <w:rPr>
                <w:rFonts w:ascii="Arial" w:cs="Arial" w:eastAsia="Arial" w:hAnsi="Arial"/>
                <w:sz w:val="12"/>
                <w:szCs w:val="12"/>
                <w:b w:val="1"/>
                <w:bCs w:val="1"/>
                <w:color w:val="auto"/>
                <w:w w:val="98"/>
              </w:rPr>
              <w:t>CONDENSED CONSOLIDATED STATEMENTS OF CASH FLOWS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740" w:type="dxa"/>
            <w:vAlign w:val="bottom"/>
            <w:gridSpan w:val="2"/>
          </w:tcPr>
          <w:p>
            <w:pPr>
              <w:jc w:val="center"/>
              <w:ind w:left="2860"/>
              <w:spacing w:after="0"/>
              <w:rPr>
                <w:sz w:val="20"/>
                <w:szCs w:val="20"/>
                <w:color w:val="auto"/>
              </w:rPr>
            </w:pPr>
            <w:r>
              <w:rPr>
                <w:rFonts w:ascii="Arial" w:cs="Arial" w:eastAsia="Arial" w:hAnsi="Arial"/>
                <w:sz w:val="12"/>
                <w:szCs w:val="12"/>
                <w:b w:val="1"/>
                <w:bCs w:val="1"/>
                <w:color w:val="auto"/>
                <w:w w:val="92"/>
              </w:rPr>
              <w:t>(Unaudited)</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740" w:type="dxa"/>
            <w:vAlign w:val="bottom"/>
            <w:gridSpan w:val="2"/>
          </w:tcPr>
          <w:p>
            <w:pPr>
              <w:jc w:val="center"/>
              <w:ind w:left="2860"/>
              <w:spacing w:after="0"/>
              <w:rPr>
                <w:sz w:val="20"/>
                <w:szCs w:val="20"/>
                <w:color w:val="auto"/>
              </w:rPr>
            </w:pPr>
            <w:r>
              <w:rPr>
                <w:rFonts w:ascii="Arial" w:cs="Arial" w:eastAsia="Arial" w:hAnsi="Arial"/>
                <w:sz w:val="12"/>
                <w:szCs w:val="12"/>
                <w:b w:val="1"/>
                <w:bCs w:val="1"/>
                <w:color w:val="auto"/>
                <w:w w:val="89"/>
              </w:rPr>
              <w:t>(In thousands)</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88"/>
        </w:trPr>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1"/>
              </w:rPr>
              <w:t>Nine Months Ended September 30,</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89"/>
              </w:rPr>
              <w:t>2020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7180" w:type="dxa"/>
            <w:vAlign w:val="bottom"/>
            <w:gridSpan w:val="2"/>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income</w:t>
            </w:r>
          </w:p>
        </w:tc>
        <w:tc>
          <w:tcPr>
            <w:tcW w:w="7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73,773</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28,732</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2,970</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Change in fair value of warrant liability</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3"/>
              </w:rPr>
              <w:t>(83,628</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Impairment loss on right-of-use asset</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2,372</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Stock-based compensation</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23,625</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Provision for doubtful accounts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3,015</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Accounts receivable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(6,371</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(4,300</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Prepaid expenses and other current assets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6,504</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Other assets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87</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Accounts payable and accrued expenses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Deferred revenue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2,495</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3,180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320" w:type="dxa"/>
            <w:vAlign w:val="bottom"/>
            <w:tcBorders>
              <w:bottom w:val="single" w:sz="8" w:color="CCEEFF"/>
            </w:tcBorders>
            <w:shd w:val="clear" w:color="auto" w:fill="CCEEFF"/>
          </w:tcPr>
          <w:p>
            <w:pPr>
              <w:spacing w:after="0"/>
              <w:rPr>
                <w:sz w:val="12"/>
                <w:szCs w:val="1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25,173</w:t>
            </w:r>
          </w:p>
        </w:tc>
        <w:tc>
          <w:tcPr>
            <w:tcW w:w="7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29,566</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74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Purchases of property and equipment</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(4,246</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(903</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 paid for acquisitions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(16,000</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Cash paid for other investments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(3,000</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2"/>
        </w:trPr>
        <w:tc>
          <w:tcPr>
            <w:tcW w:w="320" w:type="dxa"/>
            <w:vAlign w:val="bottom"/>
            <w:tcBorders>
              <w:bottom w:val="single" w:sz="8" w:color="CCEEFF"/>
            </w:tcBorders>
            <w:shd w:val="clear" w:color="auto" w:fill="CCEEFF"/>
          </w:tcPr>
          <w:p>
            <w:pPr>
              <w:spacing w:after="0"/>
              <w:rPr>
                <w:sz w:val="12"/>
                <w:szCs w:val="1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(23,246</w:t>
            </w:r>
          </w:p>
        </w:tc>
        <w:tc>
          <w:tcPr>
            <w:tcW w:w="7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(903</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74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Proceeds from the Business Combination</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79,969</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Payment of note payable</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Distributions to members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3"/>
              </w:rPr>
              <w:t>(18,110</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(9,198</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20" w:type="dxa"/>
            <w:vAlign w:val="bottom"/>
            <w:tcBorders>
              <w:bottom w:val="single" w:sz="8" w:color="CCEEFF"/>
            </w:tcBorders>
            <w:shd w:val="clear" w:color="auto" w:fill="CCEEFF"/>
          </w:tcPr>
          <w:p>
            <w:pPr>
              <w:spacing w:after="0"/>
              <w:rPr>
                <w:sz w:val="12"/>
                <w:szCs w:val="1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Repurchase of Class B Units</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(5,565</w:t>
            </w:r>
          </w:p>
        </w:tc>
        <w:tc>
          <w:tcPr>
            <w:tcW w:w="7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320" w:type="dxa"/>
            <w:vAlign w:val="bottom"/>
          </w:tcPr>
          <w:p>
            <w:pPr>
              <w:spacing w:after="0"/>
              <w:rPr>
                <w:sz w:val="12"/>
                <w:szCs w:val="12"/>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Net cash provided by (used in) financing activities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56,089</w:t>
            </w:r>
          </w:p>
        </w:tc>
        <w:tc>
          <w:tcPr>
            <w:tcW w:w="7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(9,499</w:t>
            </w:r>
          </w:p>
        </w:tc>
        <w:tc>
          <w:tcPr>
            <w:tcW w:w="1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740" w:type="dxa"/>
            <w:vAlign w:val="bottom"/>
            <w:gridSpan w:val="2"/>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Net increase in cash</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58,016</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19,164</w:t>
            </w:r>
          </w:p>
        </w:tc>
        <w:tc>
          <w:tcPr>
            <w:tcW w:w="220" w:type="dxa"/>
            <w:vAlign w:val="bottom"/>
          </w:tcPr>
          <w:p>
            <w:pPr>
              <w:spacing w:after="0"/>
              <w:rPr>
                <w:sz w:val="12"/>
                <w:szCs w:val="12"/>
                <w:color w:val="auto"/>
              </w:rPr>
            </w:pPr>
          </w:p>
        </w:tc>
      </w:tr>
      <w:tr>
        <w:trPr>
          <w:trHeight w:val="144"/>
        </w:trPr>
        <w:tc>
          <w:tcPr>
            <w:tcW w:w="320" w:type="dxa"/>
            <w:vAlign w:val="bottom"/>
            <w:tcBorders>
              <w:bottom w:val="single" w:sz="8" w:color="CCEEFF"/>
            </w:tcBorders>
            <w:shd w:val="clear" w:color="auto" w:fill="CCEEFF"/>
          </w:tcPr>
          <w:p>
            <w:pPr>
              <w:spacing w:after="0"/>
              <w:rPr>
                <w:sz w:val="12"/>
                <w:szCs w:val="1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Cash – beginning of period</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19,919</w:t>
            </w:r>
          </w:p>
        </w:tc>
        <w:tc>
          <w:tcPr>
            <w:tcW w:w="7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4,968</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7180" w:type="dxa"/>
            <w:vAlign w:val="bottom"/>
            <w:gridSpan w:val="2"/>
          </w:tcPr>
          <w:p>
            <w:pPr>
              <w:spacing w:after="0"/>
              <w:rPr>
                <w:sz w:val="20"/>
                <w:szCs w:val="20"/>
                <w:color w:val="auto"/>
              </w:rPr>
            </w:pPr>
            <w:r>
              <w:rPr>
                <w:rFonts w:ascii="Arial" w:cs="Arial" w:eastAsia="Arial" w:hAnsi="Arial"/>
                <w:sz w:val="12"/>
                <w:szCs w:val="12"/>
                <w:color w:val="auto"/>
              </w:rPr>
              <w:t>Cash – end of period</w:t>
            </w:r>
          </w:p>
        </w:tc>
        <w:tc>
          <w:tcPr>
            <w:tcW w:w="220" w:type="dxa"/>
            <w:vAlign w:val="bottom"/>
          </w:tcPr>
          <w:p>
            <w:pPr>
              <w:spacing w:after="0"/>
              <w:rPr>
                <w:sz w:val="12"/>
                <w:szCs w:val="12"/>
                <w:color w:val="auto"/>
              </w:rPr>
            </w:pPr>
          </w:p>
        </w:tc>
        <w:tc>
          <w:tcPr>
            <w:tcW w:w="74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77,935</w:t>
            </w:r>
          </w:p>
        </w:tc>
        <w:tc>
          <w:tcPr>
            <w:tcW w:w="720" w:type="dxa"/>
            <w:vAlign w:val="bottom"/>
          </w:tcPr>
          <w:p>
            <w:pPr>
              <w:spacing w:after="0"/>
              <w:rPr>
                <w:sz w:val="12"/>
                <w:szCs w:val="12"/>
                <w:color w:val="auto"/>
              </w:rPr>
            </w:pPr>
          </w:p>
        </w:tc>
        <w:tc>
          <w:tcPr>
            <w:tcW w:w="7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24,132</w:t>
            </w:r>
          </w:p>
        </w:tc>
        <w:tc>
          <w:tcPr>
            <w:tcW w:w="22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0"/>
        </w:trPr>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740" w:type="dxa"/>
            <w:vAlign w:val="bottom"/>
            <w:gridSpan w:val="2"/>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b w:val="1"/>
                <w:bCs w:val="1"/>
                <w:color w:val="auto"/>
              </w:rPr>
              <w:t>Supplemental disclosures of noncash activities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Warranty liability assumed from the Business Combination</w:t>
            </w:r>
          </w:p>
        </w:tc>
        <w:tc>
          <w:tcPr>
            <w:tcW w:w="7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193,978</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Tax receivable agreement liability recognized in connection with the Business Combination</w:t>
            </w:r>
          </w:p>
        </w:tc>
        <w:tc>
          <w:tcPr>
            <w:tcW w:w="74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87"/>
              </w:rPr>
              <w:t>126,150</w:t>
            </w:r>
          </w:p>
        </w:tc>
        <w:tc>
          <w:tcPr>
            <w:tcW w:w="1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tax assets recognized in connection with the Business Combination</w:t>
            </w:r>
          </w:p>
        </w:tc>
        <w:tc>
          <w:tcPr>
            <w:tcW w:w="7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147,973</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Other assets assumed from the Business Combination</w:t>
            </w:r>
          </w:p>
        </w:tc>
        <w:tc>
          <w:tcPr>
            <w:tcW w:w="74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1,053</w:t>
            </w:r>
          </w:p>
        </w:tc>
        <w:tc>
          <w:tcPr>
            <w:tcW w:w="1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Issuance of equity for acquisitions</w:t>
            </w:r>
          </w:p>
        </w:tc>
        <w:tc>
          <w:tcPr>
            <w:tcW w:w="7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29,312</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7400" w:type="dxa"/>
            <w:vAlign w:val="bottom"/>
            <w:gridSpan w:val="3"/>
          </w:tcPr>
          <w:p>
            <w:pPr>
              <w:spacing w:after="0"/>
              <w:rPr>
                <w:sz w:val="20"/>
                <w:szCs w:val="20"/>
                <w:color w:val="auto"/>
              </w:rPr>
            </w:pPr>
            <w:r>
              <w:rPr>
                <w:rFonts w:ascii="Arial" w:cs="Arial" w:eastAsia="Arial" w:hAnsi="Arial"/>
                <w:sz w:val="12"/>
                <w:szCs w:val="12"/>
                <w:color w:val="auto"/>
              </w:rPr>
              <w:t>Holdback liability recognized in connection with acquisition</w:t>
            </w:r>
          </w:p>
        </w:tc>
        <w:tc>
          <w:tcPr>
            <w:tcW w:w="74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1,000</w:t>
            </w:r>
          </w:p>
        </w:tc>
        <w:tc>
          <w:tcPr>
            <w:tcW w:w="1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r>
      <w:tr>
        <w:trPr>
          <w:trHeight w:val="144"/>
        </w:trPr>
        <w:tc>
          <w:tcPr>
            <w:tcW w:w="320" w:type="dxa"/>
            <w:vAlign w:val="bottom"/>
            <w:shd w:val="clear" w:color="auto" w:fill="CCEEFF"/>
          </w:tcPr>
          <w:p>
            <w:pPr>
              <w:spacing w:after="0"/>
              <w:rPr>
                <w:sz w:val="12"/>
                <w:szCs w:val="12"/>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Stock-based compensation capitalized for software development</w:t>
            </w:r>
          </w:p>
        </w:tc>
        <w:tc>
          <w:tcPr>
            <w:tcW w:w="7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r>
    </w:tbl>
    <w:p>
      <w:pPr>
        <w:spacing w:after="0" w:line="135" w:lineRule="exact"/>
        <w:rPr>
          <w:sz w:val="20"/>
          <w:szCs w:val="20"/>
          <w:color w:val="auto"/>
        </w:rPr>
      </w:pPr>
    </w:p>
    <w:p>
      <w:pPr>
        <w:jc w:val="center"/>
        <w:ind w:left="3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272" w:lineRule="exact"/>
        <w:rPr>
          <w:sz w:val="20"/>
          <w:szCs w:val="20"/>
          <w:color w:val="auto"/>
        </w:rPr>
      </w:pPr>
    </w:p>
    <w:p>
      <w:pPr>
        <w:jc w:val="center"/>
        <w:ind w:left="320"/>
        <w:spacing w:after="0"/>
        <w:rPr>
          <w:sz w:val="20"/>
          <w:szCs w:val="20"/>
          <w:color w:val="auto"/>
        </w:rPr>
      </w:pPr>
      <w:r>
        <w:rPr>
          <w:rFonts w:ascii="Arial" w:cs="Arial" w:eastAsia="Arial" w:hAnsi="Arial"/>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56" w:name="page157"/>
    <w:bookmarkEnd w:id="156"/>
    <w:p>
      <w:pPr>
        <w:ind w:left="320"/>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Business and Organization</w:t>
      </w:r>
    </w:p>
    <w:p>
      <w:pPr>
        <w:spacing w:after="0" w:line="15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1"/>
          <w:szCs w:val="11"/>
          <w:color w:val="auto"/>
        </w:rPr>
        <w:t>WM Technology, Inc.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the Company has a limited number of non-monetized listings in several international countries including Austria, Canada,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the Company imposed regardless of whether the proposed order was canceled or completed. As of January 1, 2021, the Company migrated all standard listing subscription clients to its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w:t>
      </w:r>
    </w:p>
    <w:p>
      <w:pPr>
        <w:spacing w:after="0" w:line="15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1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 is an “emerging growth company,” as defined in Section 2(a) of the Securities Act of 1933, as amended (the “Securities Act”), as modified by the Jumpstart Our Business Startups Act of 2012 (the “JOBS Act”).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7" w:name="page158"/>
    <w:bookmarkEnd w:id="15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Company’s audited financial statements and accompanying notes included in the Company’s Registration Statement on Form S-1 filed with the SEC on July 8, 2021. The condensed financial statements of the Company include all adjustments of a normal recurring nature which, in the opinion of management, are necessary for a fair statement of the Company’s financial position as of September 30, 2021, and results of its operations and its cash flows for the interim periods presented. The results of operations for the nine months ended September 30, 2021 are not necessarily indicative of the results to be expected for the entire year. There have been no significant changes in the Company’s accounting policies from those described in the Company’s audited consolidated financial statements and the related notes to those statements, other than the adoption of the lease accounting guidance.</w:t>
      </w:r>
    </w:p>
    <w:p>
      <w:pPr>
        <w:spacing w:after="0" w:line="130"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Accordingly, for accounting purposes, the Reverse Recapitalization was treated as the equivalent of Legacy WMH issuing stock for the net assets of Silver Spike, accompanied by a recapitalization.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Legacy WMH was determined to be the accounting acquirer based on evaluation of the following facts and circumstances:</w:t>
      </w:r>
    </w:p>
    <w:p>
      <w:pPr>
        <w:spacing w:after="0" w:line="150" w:lineRule="exact"/>
        <w:rPr>
          <w:sz w:val="20"/>
          <w:szCs w:val="20"/>
          <w:color w:val="auto"/>
        </w:rPr>
      </w:pPr>
    </w:p>
    <w:p>
      <w:pPr>
        <w:ind w:left="420" w:hanging="212"/>
        <w:spacing w:after="0"/>
        <w:tabs>
          <w:tab w:leader="none" w:pos="4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Legacy WMH Class A Unit holders, through their ownership of the Class V Common Stock, have the greatest voting interest in the Company with over 50% of the voting interest;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Legacy WMH selected the majority of the new board of directors of the Company;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Legacy WMH senior management is the senior management of the Company;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Legacy WMH is the larger entity based on historical operating activity and has the larger employee base.</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5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The condensed consolidated financial statements include the accounts of WM Technology, Inc. and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Weedmaps Germany GmbH, Transport Logistics Holding Company, LLC and WM Loyalty, LLC. All significant intercompany balance and transactions have been eliminated upon consolidation.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2021 and 2020.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8" w:name="page159"/>
    <w:bookmarkEnd w:id="15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92" w:lineRule="exact"/>
        <w:rPr>
          <w:sz w:val="20"/>
          <w:szCs w:val="20"/>
          <w:color w:val="auto"/>
        </w:rPr>
      </w:pPr>
    </w:p>
    <w:p>
      <w:pPr>
        <w:jc w:val="both"/>
        <w:ind w:right="20" w:firstLine="324"/>
        <w:spacing w:after="0" w:line="379" w:lineRule="auto"/>
        <w:rPr>
          <w:sz w:val="20"/>
          <w:szCs w:val="20"/>
          <w:color w:val="auto"/>
        </w:rPr>
      </w:pPr>
      <w:r>
        <w:rPr>
          <w:rFonts w:ascii="Arial" w:cs="Arial" w:eastAsia="Arial" w:hAnsi="Arial"/>
          <w:sz w:val="10"/>
          <w:szCs w:val="10"/>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and tax receivable agreement liability, revenue recognition, stock-based compensation, and the recognition and disclosure of contingent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150" w:lineRule="exact"/>
        <w:rPr>
          <w:sz w:val="20"/>
          <w:szCs w:val="20"/>
          <w:color w:val="auto"/>
        </w:rPr>
      </w:pPr>
    </w:p>
    <w:p>
      <w:pPr>
        <w:jc w:val="both"/>
        <w:ind w:firstLine="324"/>
        <w:spacing w:after="0" w:line="379" w:lineRule="auto"/>
        <w:rPr>
          <w:sz w:val="20"/>
          <w:szCs w:val="20"/>
          <w:color w:val="auto"/>
        </w:rPr>
      </w:pPr>
      <w:r>
        <w:rPr>
          <w:rFonts w:ascii="Arial" w:cs="Arial" w:eastAsia="Arial" w:hAnsi="Arial"/>
          <w:sz w:val="10"/>
          <w:szCs w:val="10"/>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6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Accounts Receivable</w:t>
      </w:r>
    </w:p>
    <w:p>
      <w:pPr>
        <w:spacing w:after="0" w:line="15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the Company reserves for all balances outstanding in excess of ninety days. Account balances are written off against the allowance when it is determined that it is probable that the receivable will not be recovered. The Company recorded a provision for doubtful accounts of $3.0 million and $0.9 million as of September 30, 2021 and December 31, 2020,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Company’s revenues are derived primarily from monthly subscriptions and additional offerings for access to the Company’s Weedmaps platform and the Company’s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1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Substantially all of the Company’s revenue is generated by providing standard listing and software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deferred revenue balance as of September 30, 2021 of $7.8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9" w:name="page160"/>
    <w:bookmarkEnd w:id="159"/>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ind w:left="320"/>
              <w:spacing w:after="0"/>
              <w:rPr>
                <w:sz w:val="20"/>
                <w:szCs w:val="20"/>
                <w:color w:val="auto"/>
              </w:rPr>
            </w:pPr>
            <w:r>
              <w:rPr>
                <w:rFonts w:ascii="Arial" w:cs="Arial" w:eastAsia="Arial" w:hAnsi="Arial"/>
                <w:sz w:val="12"/>
                <w:szCs w:val="12"/>
                <w:color w:val="auto"/>
              </w:rPr>
              <w:t>The following table summarizes the Company’s disaggregated net revenue information (in thousands):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6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9"/>
              </w:rPr>
              <w:t>Three months ended</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3"/>
          </w:tcPr>
          <w:p>
            <w:pPr>
              <w:ind w:left="480"/>
              <w:spacing w:after="0"/>
              <w:rPr>
                <w:sz w:val="20"/>
                <w:szCs w:val="20"/>
                <w:color w:val="auto"/>
              </w:rPr>
            </w:pPr>
            <w:r>
              <w:rPr>
                <w:rFonts w:ascii="Arial" w:cs="Arial" w:eastAsia="Arial" w:hAnsi="Arial"/>
                <w:sz w:val="12"/>
                <w:szCs w:val="12"/>
                <w:b w:val="1"/>
                <w:bCs w:val="1"/>
                <w:color w:val="auto"/>
                <w:w w:val="89"/>
              </w:rPr>
              <w:t>Nine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0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line="142" w:lineRule="exact"/>
              <w:rPr>
                <w:sz w:val="20"/>
                <w:szCs w:val="20"/>
                <w:color w:val="auto"/>
              </w:rPr>
            </w:pPr>
            <w:r>
              <w:rPr>
                <w:rFonts w:ascii="Arial" w:cs="Arial" w:eastAsia="Arial" w:hAnsi="Arial"/>
                <w:sz w:val="10"/>
                <w:szCs w:val="10"/>
                <w:color w:val="auto"/>
              </w:rPr>
              <w:t>Revenues recognized over time</w:t>
            </w:r>
            <w:r>
              <w:rPr>
                <w:rFonts w:ascii="Arial" w:cs="Arial" w:eastAsia="Arial" w:hAnsi="Arial"/>
                <w:sz w:val="16"/>
                <w:szCs w:val="16"/>
                <w:color w:val="auto"/>
                <w:vertAlign w:val="superscript"/>
              </w:rPr>
              <w:t>(1)</w:t>
            </w: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44,459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138,969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112,615</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line="144" w:lineRule="exact"/>
              <w:rPr>
                <w:sz w:val="20"/>
                <w:szCs w:val="20"/>
                <w:color w:val="auto"/>
              </w:rPr>
            </w:pPr>
            <w:r>
              <w:rPr>
                <w:rFonts w:ascii="Arial" w:cs="Arial" w:eastAsia="Arial" w:hAnsi="Arial"/>
                <w:sz w:val="10"/>
                <w:szCs w:val="10"/>
                <w:color w:val="auto"/>
              </w:rPr>
              <w:t>Revenues recognized at a point in time</w:t>
            </w:r>
            <w:r>
              <w:rPr>
                <w:rFonts w:ascii="Arial" w:cs="Arial" w:eastAsia="Arial" w:hAnsi="Arial"/>
                <w:sz w:val="16"/>
                <w:szCs w:val="16"/>
                <w:color w:val="auto"/>
                <w:vertAlign w:val="superscript"/>
              </w:rPr>
              <w:t>(2)</w:t>
            </w:r>
          </w:p>
        </w:tc>
        <w:tc>
          <w:tcPr>
            <w:tcW w:w="700" w:type="dxa"/>
            <w:vAlign w:val="bottom"/>
          </w:tcPr>
          <w:p>
            <w:pPr>
              <w:spacing w:after="0"/>
              <w:rPr>
                <w:sz w:val="12"/>
                <w:szCs w:val="12"/>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2,046</w:t>
            </w:r>
          </w:p>
        </w:tc>
        <w:tc>
          <w:tcPr>
            <w:tcW w:w="260" w:type="dxa"/>
            <w:vAlign w:val="bottom"/>
          </w:tcPr>
          <w:p>
            <w:pPr>
              <w:spacing w:after="0"/>
              <w:rPr>
                <w:sz w:val="12"/>
                <w:szCs w:val="12"/>
                <w:color w:val="auto"/>
              </w:rPr>
            </w:pPr>
          </w:p>
        </w:tc>
        <w:tc>
          <w:tcPr>
            <w:tcW w:w="108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4,855</w:t>
            </w:r>
          </w:p>
        </w:tc>
      </w:tr>
      <w:tr>
        <w:trPr>
          <w:trHeight w:val="18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50,884</w:t>
            </w:r>
          </w:p>
        </w:tc>
        <w:tc>
          <w:tcPr>
            <w:tcW w:w="2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46,505</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82"/>
              </w:rPr>
              <w:t>138,969</w:t>
            </w:r>
          </w:p>
        </w:tc>
        <w:tc>
          <w:tcPr>
            <w:tcW w:w="2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117,470</w:t>
            </w:r>
          </w:p>
        </w:tc>
        <w:tc>
          <w:tcPr>
            <w:tcW w:w="120" w:type="dxa"/>
            <w:vAlign w:val="bottom"/>
            <w:shd w:val="clear" w:color="auto" w:fill="CCEEFF"/>
          </w:tcPr>
          <w:p>
            <w:pPr>
              <w:spacing w:after="0"/>
              <w:rPr>
                <w:sz w:val="15"/>
                <w:szCs w:val="15"/>
                <w:color w:val="auto"/>
              </w:rPr>
            </w:pPr>
          </w:p>
        </w:tc>
      </w:tr>
      <w:tr>
        <w:trPr>
          <w:trHeight w:val="111"/>
        </w:trPr>
        <w:tc>
          <w:tcPr>
            <w:tcW w:w="600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_________________</w:t>
            </w:r>
          </w:p>
        </w:tc>
        <w:tc>
          <w:tcPr>
            <w:tcW w:w="7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(1)  Revenues from listing subscription services, featured listings and other advertising products.</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(2)  Revenues from use of orders functionality.</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ind w:left="320"/>
              <w:spacing w:after="0"/>
              <w:rPr>
                <w:sz w:val="20"/>
                <w:szCs w:val="20"/>
                <w:color w:val="auto"/>
              </w:rPr>
            </w:pPr>
            <w:r>
              <w:rPr>
                <w:rFonts w:ascii="Arial" w:cs="Arial" w:eastAsia="Arial" w:hAnsi="Arial"/>
                <w:sz w:val="12"/>
                <w:szCs w:val="12"/>
                <w:color w:val="auto"/>
              </w:rPr>
              <w:t>The following table summarizes the Company’s U.S. and foreign revenues (in thousands):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6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9"/>
              </w:rPr>
              <w:t>Three months ended</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3"/>
          </w:tcPr>
          <w:p>
            <w:pPr>
              <w:ind w:left="480"/>
              <w:spacing w:after="0"/>
              <w:rPr>
                <w:sz w:val="20"/>
                <w:szCs w:val="20"/>
                <w:color w:val="auto"/>
              </w:rPr>
            </w:pPr>
            <w:r>
              <w:rPr>
                <w:rFonts w:ascii="Arial" w:cs="Arial" w:eastAsia="Arial" w:hAnsi="Arial"/>
                <w:sz w:val="12"/>
                <w:szCs w:val="12"/>
                <w:b w:val="1"/>
                <w:bCs w:val="1"/>
                <w:color w:val="auto"/>
                <w:w w:val="89"/>
              </w:rPr>
              <w:t>Nine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60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2020</w:t>
            </w:r>
          </w:p>
        </w:tc>
        <w:tc>
          <w:tcPr>
            <w:tcW w:w="120" w:type="dxa"/>
            <w:vAlign w:val="bottom"/>
          </w:tcPr>
          <w:p>
            <w:pPr>
              <w:spacing w:after="0"/>
              <w:rPr>
                <w:sz w:val="12"/>
                <w:szCs w:val="12"/>
                <w:color w:val="auto"/>
              </w:rPr>
            </w:pP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U.S. revenues</w:t>
            </w: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50,884</w:t>
            </w:r>
          </w:p>
        </w:tc>
        <w:tc>
          <w:tcPr>
            <w:tcW w:w="240" w:type="dxa"/>
            <w:vAlign w:val="bottom"/>
            <w:gridSpan w:val="2"/>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34,877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138,969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91,275</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Foreign revenues</w:t>
            </w:r>
          </w:p>
        </w:tc>
        <w:tc>
          <w:tcPr>
            <w:tcW w:w="700" w:type="dxa"/>
            <w:vAlign w:val="bottom"/>
          </w:tcPr>
          <w:p>
            <w:pPr>
              <w:spacing w:after="0"/>
              <w:rPr>
                <w:sz w:val="12"/>
                <w:szCs w:val="12"/>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11,628</w:t>
            </w:r>
          </w:p>
        </w:tc>
        <w:tc>
          <w:tcPr>
            <w:tcW w:w="260" w:type="dxa"/>
            <w:vAlign w:val="bottom"/>
          </w:tcPr>
          <w:p>
            <w:pPr>
              <w:spacing w:after="0"/>
              <w:rPr>
                <w:sz w:val="12"/>
                <w:szCs w:val="12"/>
                <w:color w:val="auto"/>
              </w:rPr>
            </w:pPr>
          </w:p>
        </w:tc>
        <w:tc>
          <w:tcPr>
            <w:tcW w:w="1080" w:type="dxa"/>
            <w:vAlign w:val="bottom"/>
            <w:gridSpan w:val="2"/>
          </w:tcPr>
          <w:p>
            <w:pPr>
              <w:ind w:left="7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26,195</w:t>
            </w:r>
          </w:p>
        </w:tc>
      </w:tr>
      <w:tr>
        <w:trPr>
          <w:trHeight w:val="182"/>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revenues</w:t>
            </w:r>
          </w:p>
        </w:tc>
        <w:tc>
          <w:tcPr>
            <w:tcW w:w="70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50,884</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46,505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w w:val="82"/>
              </w:rPr>
              <w:t>138,969</w:t>
            </w: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117,470</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left="8" w:right="20" w:firstLine="324"/>
        <w:spacing w:after="0" w:line="323" w:lineRule="auto"/>
        <w:rPr>
          <w:sz w:val="20"/>
          <w:szCs w:val="20"/>
          <w:color w:val="auto"/>
        </w:rPr>
      </w:pPr>
      <w:r>
        <w:rPr>
          <w:rFonts w:ascii="Arial" w:cs="Arial" w:eastAsia="Arial" w:hAnsi="Arial"/>
          <w:sz w:val="11"/>
          <w:szCs w:val="11"/>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ind w:left="328"/>
        <w:spacing w:after="0"/>
        <w:rPr>
          <w:sz w:val="20"/>
          <w:szCs w:val="20"/>
          <w:color w:val="auto"/>
        </w:rPr>
      </w:pPr>
      <w:r>
        <w:rPr>
          <w:rFonts w:ascii="Arial" w:cs="Arial" w:eastAsia="Arial" w:hAnsi="Arial"/>
          <w:sz w:val="11"/>
          <w:szCs w:val="11"/>
          <w:color w:val="auto"/>
        </w:rPr>
        <w:t xml:space="preserve">The Company uses the asset and liability method of accounting for income taxes under ASC 740 -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Under the guidance, deferred tax assets and liabilities are recognized for the future tax consequences of</w:t>
      </w:r>
    </w:p>
    <w:p>
      <w:pPr>
        <w:spacing w:after="0" w:line="26" w:lineRule="exact"/>
        <w:rPr>
          <w:sz w:val="20"/>
          <w:szCs w:val="20"/>
          <w:color w:val="auto"/>
        </w:rPr>
      </w:pPr>
    </w:p>
    <w:p>
      <w:pPr>
        <w:jc w:val="both"/>
        <w:ind w:left="8" w:hanging="8"/>
        <w:spacing w:after="0" w:line="255" w:lineRule="auto"/>
        <w:tabs>
          <w:tab w:leader="none" w:pos="156" w:val="left"/>
        </w:tabs>
        <w:numPr>
          <w:ilvl w:val="0"/>
          <w:numId w:val="64"/>
        </w:numPr>
        <w:rPr>
          <w:rFonts w:ascii="Arial" w:cs="Arial" w:eastAsia="Arial" w:hAnsi="Arial"/>
          <w:sz w:val="12"/>
          <w:szCs w:val="12"/>
          <w:color w:val="auto"/>
        </w:rPr>
      </w:pPr>
      <w:r>
        <w:rPr>
          <w:rFonts w:ascii="Arial" w:cs="Arial" w:eastAsia="Arial" w:hAnsi="Arial"/>
          <w:sz w:val="12"/>
          <w:szCs w:val="12"/>
          <w:color w:val="auto"/>
        </w:rPr>
        <w:t>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127" w:lineRule="exact"/>
        <w:rPr>
          <w:sz w:val="20"/>
          <w:szCs w:val="20"/>
          <w:color w:val="auto"/>
        </w:rPr>
      </w:pPr>
    </w:p>
    <w:p>
      <w:pPr>
        <w:jc w:val="both"/>
        <w:ind w:left="8" w:right="20" w:firstLine="324"/>
        <w:spacing w:after="0" w:line="298" w:lineRule="auto"/>
        <w:rPr>
          <w:sz w:val="20"/>
          <w:szCs w:val="20"/>
          <w:color w:val="auto"/>
        </w:rPr>
      </w:pPr>
      <w:r>
        <w:rPr>
          <w:rFonts w:ascii="Arial" w:cs="Arial" w:eastAsia="Arial" w:hAnsi="Arial"/>
          <w:sz w:val="11"/>
          <w:szCs w:val="11"/>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105" w:lineRule="exact"/>
        <w:rPr>
          <w:sz w:val="20"/>
          <w:szCs w:val="20"/>
          <w:color w:val="auto"/>
        </w:rPr>
      </w:pPr>
    </w:p>
    <w:p>
      <w:pPr>
        <w:jc w:val="both"/>
        <w:ind w:left="8" w:firstLine="324"/>
        <w:spacing w:after="0" w:line="256" w:lineRule="auto"/>
        <w:rPr>
          <w:sz w:val="20"/>
          <w:szCs w:val="20"/>
          <w:color w:val="auto"/>
        </w:rPr>
      </w:pPr>
      <w:r>
        <w:rPr>
          <w:rFonts w:ascii="Arial" w:cs="Arial" w:eastAsia="Arial" w:hAnsi="Arial"/>
          <w:sz w:val="12"/>
          <w:szCs w:val="12"/>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60" w:name="page161"/>
    <w:bookmarkEnd w:id="16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11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For the three and nine months ended September 30, 2021, the Company recorded a provision for income taxes of $0.4 million and $0.2 million, respectively.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 based compensation, and state taxes.</w:t>
      </w:r>
    </w:p>
    <w:p>
      <w:pPr>
        <w:spacing w:after="0" w:line="1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cost of revenue primarily consists of web hosting, internet service costs, and credit card processing costs.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Development Costs</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w:t>
      </w:r>
    </w:p>
    <w:p>
      <w:pPr>
        <w:spacing w:after="0" w:line="150"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The Company expenses the cost of advertising in the period incurred. Advertising expense totaled $4.1 million and $2.4 million for the three months ended September 30, 2021 and 2020, respectively, and $11.9 million and $6.7 million for the nine months ended September 30, 2021 and 2020, respectively, and are included in sales and marketing expense in the accompanying condensed consolidated statements of income.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Political Contributions</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 expenses the costs of all political contributions in the period incurred. Political contributions totaled $0.2 million and $0.3 million for the three months ended September 30, 2021 and 2020, respectively, and $0.5 million and $0.6 million for the nine months ended September 30, 2021 and 2020, respectively, and are included in other expense in the accompanying condensed consolidated statements of income.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0"/>
          <w:szCs w:val="10"/>
          <w:color w:val="auto"/>
        </w:rPr>
        <w:t>The Company measures fair value of employee stock-based compensation awards on the date of grant and allocates the related expense over the requisite service period. The fair value of the Class P Units are measured using the Black-Scholes-Merton valuation model.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1" w:name="page162"/>
    <w:bookmarkEnd w:id="16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and its subsidiaries operate in one business segment.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Earnings Per Share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Basic income (loss) per share is computed by dividing net income (loss) attributable to WM Technology, Inc. by the weighted-average number of shares of Class A Common Stock outstanding during the period.</w:t>
      </w:r>
    </w:p>
    <w:p>
      <w:pPr>
        <w:spacing w:after="0" w:line="1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w:t>
      </w:r>
    </w:p>
    <w:p>
      <w:pPr>
        <w:spacing w:after="0" w:line="11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The basic and diluted income (loss) per share for the nine months ended September 30, 2021 represent the period from June 16, 2021 (Closing Date) to September 30, 2021.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50"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0"/>
          <w:szCs w:val="10"/>
          <w:color w:val="auto"/>
        </w:rPr>
        <w:t>The Company assumed 12,499,933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September 30,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0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 xml:space="preserve">The Company evaluated the Warrants under ASC 815-40 </w:t>
      </w:r>
      <w:r>
        <w:rPr>
          <w:rFonts w:ascii="Arial" w:cs="Arial" w:eastAsia="Arial" w:hAnsi="Arial"/>
          <w:sz w:val="11"/>
          <w:szCs w:val="11"/>
          <w:i w:val="1"/>
          <w:iCs w:val="1"/>
          <w:color w:val="auto"/>
        </w:rPr>
        <w:t>- Derivatives and Hedging - Contracts in Entity’s Own Equity</w:t>
      </w:r>
      <w:r>
        <w:rPr>
          <w:rFonts w:ascii="Arial" w:cs="Arial" w:eastAsia="Arial" w:hAnsi="Arial"/>
          <w:sz w:val="11"/>
          <w:szCs w:val="11"/>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income at each reporting date.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2" w:name="page163"/>
    <w:bookmarkEnd w:id="16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The Company follows the guidance in ASC 820 -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for its financial assets and liabilities that are re-measured and reported at fair value at each reporting period.</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24" w:lineRule="exact"/>
        <w:rPr>
          <w:sz w:val="20"/>
          <w:szCs w:val="20"/>
          <w:color w:val="auto"/>
        </w:rPr>
      </w:pPr>
    </w:p>
    <w:p>
      <w:pPr>
        <w:ind w:left="540" w:hanging="224"/>
        <w:spacing w:after="0" w:line="276" w:lineRule="auto"/>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14" w:lineRule="exact"/>
        <w:rPr>
          <w:rFonts w:ascii="Arial" w:cs="Arial" w:eastAsia="Arial" w:hAnsi="Arial"/>
          <w:sz w:val="12"/>
          <w:szCs w:val="12"/>
          <w:color w:val="auto"/>
        </w:rPr>
      </w:pPr>
    </w:p>
    <w:p>
      <w:pPr>
        <w:ind w:left="540" w:hanging="224"/>
        <w:spacing w:after="0" w:line="276" w:lineRule="auto"/>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14" w:lineRule="exact"/>
        <w:rPr>
          <w:rFonts w:ascii="Arial" w:cs="Arial" w:eastAsia="Arial" w:hAnsi="Arial"/>
          <w:sz w:val="12"/>
          <w:szCs w:val="12"/>
          <w:color w:val="auto"/>
        </w:rPr>
      </w:pPr>
    </w:p>
    <w:p>
      <w:pPr>
        <w:ind w:left="540" w:hanging="224"/>
        <w:spacing w:after="0"/>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Level 3: Unobservable inputs based on the Company assessment of the assumptions that market participants would use in pricing the asset or liability.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Receivable Agreement</w:t>
      </w:r>
    </w:p>
    <w:p>
      <w:pPr>
        <w:spacing w:after="0" w:line="15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The Business Combination was accomplished through what is commonly referred to as an “Up-C” structure, which is often used by partnerships and limited liability companies undertaking an initial public offering. The Up-C structure allows the Legacy WMH Unit holders to retain their equity ownership in WMH LLC, an entity that is classified as a partnership for U.S. federal income tax purposes, in the form of Units and provides potential future tax benefits for both the Company and the WMH LLC Unit holders when they ultimately exchange their pass-through interests for shares of Class A Common Stock. Additionally, the Company could obtain future increases in its tax basis of the assets of WMH LLC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11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 xml:space="preserve">Effective January 1, 2021, the Company accounts for its leases under ASC 842 - </w:t>
      </w:r>
      <w:r>
        <w:rPr>
          <w:rFonts w:ascii="Arial" w:cs="Arial" w:eastAsia="Arial" w:hAnsi="Arial"/>
          <w:sz w:val="12"/>
          <w:szCs w:val="12"/>
          <w:i w:val="1"/>
          <w:iCs w:val="1"/>
          <w:color w:val="auto"/>
        </w:rPr>
        <w:t>Leases</w:t>
      </w:r>
      <w:r>
        <w:rPr>
          <w:rFonts w:ascii="Arial" w:cs="Arial" w:eastAsia="Arial" w:hAnsi="Arial"/>
          <w:sz w:val="12"/>
          <w:szCs w:val="12"/>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3" w:name="page164"/>
    <w:bookmarkEnd w:id="16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The Company continues to account for leases in the prior period financial statements under ASC 840, </w:t>
      </w:r>
      <w:r>
        <w:rPr>
          <w:rFonts w:ascii="Arial" w:cs="Arial" w:eastAsia="Arial" w:hAnsi="Arial"/>
          <w:sz w:val="12"/>
          <w:szCs w:val="12"/>
          <w:i w:val="1"/>
          <w:iCs w:val="1"/>
          <w:color w:val="auto"/>
        </w:rPr>
        <w:t>Leases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 Equity Security</w:t>
      </w:r>
    </w:p>
    <w:p>
      <w:pPr>
        <w:spacing w:after="0" w:line="15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1"/>
          <w:szCs w:val="11"/>
          <w:i w:val="1"/>
          <w:iCs w:val="1"/>
          <w:color w:val="auto"/>
        </w:rPr>
        <w:t>Investments – Equity Securities</w:t>
      </w:r>
      <w:r>
        <w:rPr>
          <w:rFonts w:ascii="Arial" w:cs="Arial" w:eastAsia="Arial" w:hAnsi="Arial"/>
          <w:sz w:val="11"/>
          <w:szCs w:val="11"/>
          <w:color w:val="auto"/>
        </w:rPr>
        <w:t xml:space="preserve"> are accounted for at cost, less any impairment, plus or minus changes resulting from observable price changes in orderly transactions for an identical or similar investment of the same issuer. As of September 30, 2021, the carrying value of the Company’s investment in an equity security without a readily determinable fair value was $3.0 million, which is recorded within Other assets on the Company’s condensed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Leases</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On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ind w:left="320"/>
              <w:spacing w:after="0"/>
              <w:rPr>
                <w:sz w:val="20"/>
                <w:szCs w:val="20"/>
                <w:color w:val="auto"/>
              </w:rPr>
            </w:pPr>
            <w:r>
              <w:rPr>
                <w:rFonts w:ascii="Arial" w:cs="Arial" w:eastAsia="Arial" w:hAnsi="Arial"/>
                <w:sz w:val="12"/>
                <w:szCs w:val="12"/>
                <w:color w:val="auto"/>
              </w:rPr>
              <w:t>The components of lease related costs for the three and nine months ended September 30, 2021 are as follows (in thousands):</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8700" w:type="dxa"/>
            <w:vAlign w:val="bottom"/>
          </w:tcPr>
          <w:p>
            <w:pPr>
              <w:spacing w:after="0"/>
              <w:rPr>
                <w:sz w:val="23"/>
                <w:szCs w:val="23"/>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Three Months Ended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Nine Months Ended</w:t>
            </w:r>
          </w:p>
        </w:tc>
      </w:tr>
      <w:tr>
        <w:trPr>
          <w:trHeight w:val="157"/>
        </w:trPr>
        <w:tc>
          <w:tcPr>
            <w:tcW w:w="8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September 30, 2021</w:t>
            </w:r>
          </w:p>
        </w:tc>
        <w:tc>
          <w:tcPr>
            <w:tcW w:w="6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September 30, 2021</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2,350</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79"/>
              </w:rPr>
              <w:t>7,118</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Variable lease cost</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565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1,715</w:t>
            </w:r>
          </w:p>
        </w:tc>
      </w:tr>
      <w:tr>
        <w:trPr>
          <w:trHeight w:val="142"/>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lease cost</w:t>
            </w:r>
          </w:p>
        </w:tc>
        <w:tc>
          <w:tcPr>
            <w:tcW w:w="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2,915</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79"/>
              </w:rPr>
              <w:t>8,833</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Short-term lease cost</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88</w:t>
            </w:r>
          </w:p>
        </w:tc>
      </w:tr>
      <w:tr>
        <w:trPr>
          <w:trHeight w:val="182"/>
        </w:trPr>
        <w:tc>
          <w:tcPr>
            <w:tcW w:w="8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lease cost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2,916</w:t>
            </w: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w w:val="79"/>
              </w:rPr>
              <w:t>8,921</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For the three and nine months ended September 30, 2021, the Company made cash payments of $2.4 million and $5.9 million, respectively, on its operating leases, all of which were included in cash flows from operating activities within the condensed consolidated statements of cash flows. During the nine months ended September 30, 2021, ROU assets obtained in exchange for operating lease liabilities were $43.3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4" w:name="page165"/>
    <w:bookmarkEnd w:id="164"/>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bl>
      <w:tblPr>
        <w:tblLayout w:type="fixed"/>
        <w:tblInd w:w="0" w:type="dxa"/>
        <w:tblCellMar>
          <w:top w:w="0" w:type="dxa"/>
          <w:left w:w="0" w:type="dxa"/>
          <w:bottom w:w="0" w:type="dxa"/>
          <w:right w:w="0" w:type="dxa"/>
        </w:tblCellMar>
      </w:tblPr>
      <w:tr>
        <w:trPr>
          <w:trHeight w:val="120"/>
        </w:trPr>
        <w:tc>
          <w:tcPr>
            <w:tcW w:w="660" w:type="dxa"/>
            <w:vAlign w:val="bottom"/>
            <w:tcBorders>
              <w:top w:val="single" w:sz="8" w:color="0000EE"/>
            </w:tcBorders>
          </w:tcPr>
          <w:p>
            <w:pPr>
              <w:spacing w:after="0"/>
              <w:rPr>
                <w:sz w:val="10"/>
                <w:szCs w:val="10"/>
                <w:color w:val="auto"/>
              </w:rPr>
            </w:pPr>
          </w:p>
        </w:tc>
        <w:tc>
          <w:tcPr>
            <w:tcW w:w="9400" w:type="dxa"/>
            <w:vAlign w:val="bottom"/>
          </w:tcPr>
          <w:p>
            <w:pPr>
              <w:jc w:val="center"/>
              <w:ind w:left="820"/>
              <w:spacing w:after="0" w:line="120" w:lineRule="exact"/>
              <w:rPr>
                <w:sz w:val="20"/>
                <w:szCs w:val="20"/>
                <w:color w:val="auto"/>
              </w:rPr>
            </w:pPr>
            <w:r>
              <w:rPr>
                <w:rFonts w:ascii="Arial" w:cs="Arial" w:eastAsia="Arial" w:hAnsi="Arial"/>
                <w:sz w:val="12"/>
                <w:szCs w:val="12"/>
                <w:b w:val="1"/>
                <w:bCs w:val="1"/>
                <w:color w:val="auto"/>
              </w:rPr>
              <w:t>WM TECHNOLOGY, INC. AND SUBSIDIARIES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660" w:type="dxa"/>
            <w:vAlign w:val="bottom"/>
          </w:tcPr>
          <w:p>
            <w:pPr>
              <w:spacing w:after="0"/>
              <w:rPr>
                <w:sz w:val="12"/>
                <w:szCs w:val="12"/>
                <w:color w:val="auto"/>
              </w:rPr>
            </w:pPr>
          </w:p>
        </w:tc>
        <w:tc>
          <w:tcPr>
            <w:tcW w:w="9400" w:type="dxa"/>
            <w:vAlign w:val="bottom"/>
          </w:tcPr>
          <w:p>
            <w:pPr>
              <w:jc w:val="center"/>
              <w:ind w:left="820"/>
              <w:spacing w:after="0"/>
              <w:rPr>
                <w:sz w:val="20"/>
                <w:szCs w:val="20"/>
                <w:color w:val="auto"/>
              </w:rPr>
            </w:pPr>
            <w:r>
              <w:rPr>
                <w:rFonts w:ascii="Arial" w:cs="Arial" w:eastAsia="Arial" w:hAnsi="Arial"/>
                <w:sz w:val="12"/>
                <w:szCs w:val="12"/>
                <w:b w:val="1"/>
                <w:bCs w:val="1"/>
                <w:color w:val="auto"/>
                <w:w w:val="99"/>
              </w:rPr>
              <w:t>NOTES TO CONDENSED CONSOLIDATED FINANCIAL STATEMENTS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60" w:type="dxa"/>
            <w:vAlign w:val="bottom"/>
          </w:tcPr>
          <w:p>
            <w:pPr>
              <w:spacing w:after="0"/>
              <w:rPr>
                <w:sz w:val="13"/>
                <w:szCs w:val="13"/>
                <w:color w:val="auto"/>
              </w:rPr>
            </w:pPr>
          </w:p>
        </w:tc>
        <w:tc>
          <w:tcPr>
            <w:tcW w:w="9400" w:type="dxa"/>
            <w:vAlign w:val="bottom"/>
          </w:tcPr>
          <w:p>
            <w:pPr>
              <w:jc w:val="center"/>
              <w:ind w:left="840"/>
              <w:spacing w:after="0"/>
              <w:rPr>
                <w:sz w:val="20"/>
                <w:szCs w:val="20"/>
                <w:color w:val="auto"/>
              </w:rPr>
            </w:pPr>
            <w:r>
              <w:rPr>
                <w:rFonts w:ascii="Arial" w:cs="Arial" w:eastAsia="Arial" w:hAnsi="Arial"/>
                <w:sz w:val="12"/>
                <w:szCs w:val="12"/>
                <w:b w:val="1"/>
                <w:bCs w:val="1"/>
                <w:color w:val="auto"/>
                <w:w w:val="92"/>
              </w:rPr>
              <w:t>(Unaudited)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5"/>
        </w:trPr>
        <w:tc>
          <w:tcPr>
            <w:tcW w:w="10060" w:type="dxa"/>
            <w:vAlign w:val="bottom"/>
            <w:gridSpan w:val="2"/>
          </w:tcPr>
          <w:p>
            <w:pPr>
              <w:ind w:left="320"/>
              <w:spacing w:after="0"/>
              <w:rPr>
                <w:sz w:val="20"/>
                <w:szCs w:val="20"/>
                <w:color w:val="auto"/>
              </w:rPr>
            </w:pPr>
            <w:r>
              <w:rPr>
                <w:rFonts w:ascii="Arial" w:cs="Arial" w:eastAsia="Arial" w:hAnsi="Arial"/>
                <w:sz w:val="12"/>
                <w:szCs w:val="12"/>
                <w:color w:val="auto"/>
              </w:rPr>
              <w:t>As of September 30, 2021, future minimum payments for the next five years and thereafter are as follows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Operating Leases</w:t>
            </w:r>
          </w:p>
        </w:tc>
      </w:tr>
      <w:tr>
        <w:trPr>
          <w:trHeight w:val="142"/>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Remaining period in 2021 (three months)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2,343</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Year ended December 31, 2022</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9,597</w:t>
            </w:r>
          </w:p>
        </w:tc>
        <w:tc>
          <w:tcPr>
            <w:tcW w:w="120" w:type="dxa"/>
            <w:vAlign w:val="bottom"/>
          </w:tcPr>
          <w:p>
            <w:pPr>
              <w:spacing w:after="0"/>
              <w:rPr>
                <w:sz w:val="12"/>
                <w:szCs w:val="12"/>
                <w:color w:val="auto"/>
              </w:rPr>
            </w:pPr>
          </w:p>
        </w:tc>
      </w:tr>
      <w:tr>
        <w:trPr>
          <w:trHeight w:val="144"/>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Year ended December 31, 2023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9,898</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Year ended December 31, 2024</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9,405</w:t>
            </w:r>
          </w:p>
        </w:tc>
        <w:tc>
          <w:tcPr>
            <w:tcW w:w="120" w:type="dxa"/>
            <w:vAlign w:val="bottom"/>
          </w:tcPr>
          <w:p>
            <w:pPr>
              <w:spacing w:after="0"/>
              <w:rPr>
                <w:sz w:val="12"/>
                <w:szCs w:val="12"/>
                <w:color w:val="auto"/>
              </w:rPr>
            </w:pPr>
          </w:p>
        </w:tc>
      </w:tr>
      <w:tr>
        <w:trPr>
          <w:trHeight w:val="144"/>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Year ended December 31, 2025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5,830</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Thereafter</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29,732</w:t>
            </w:r>
          </w:p>
        </w:tc>
        <w:tc>
          <w:tcPr>
            <w:tcW w:w="120" w:type="dxa"/>
            <w:vAlign w:val="bottom"/>
          </w:tcPr>
          <w:p>
            <w:pPr>
              <w:spacing w:after="0"/>
              <w:rPr>
                <w:sz w:val="12"/>
                <w:szCs w:val="12"/>
                <w:color w:val="auto"/>
              </w:rPr>
            </w:pPr>
          </w:p>
        </w:tc>
      </w:tr>
      <w:tr>
        <w:trPr>
          <w:trHeight w:val="142"/>
        </w:trPr>
        <w:tc>
          <w:tcPr>
            <w:tcW w:w="10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Future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66,805</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Less: present value discount</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(20,736)</w:t>
            </w:r>
          </w:p>
        </w:tc>
      </w:tr>
      <w:tr>
        <w:trPr>
          <w:trHeight w:val="182"/>
        </w:trPr>
        <w:tc>
          <w:tcPr>
            <w:tcW w:w="10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Operating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46,069</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As of September 30, 2021, the Company’s operating leases had a weighted average remaining lease term of 7.6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nine months ended September 30,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condensed consolidated statements of income.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September 2019, the Company received a grand jury subpoena prepared by the United States Attorney’s Office for the Eastern District of California (“DOJ”).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124" w:lineRule="exact"/>
        <w:rPr>
          <w:sz w:val="20"/>
          <w:szCs w:val="20"/>
          <w:color w:val="auto"/>
        </w:rPr>
      </w:pPr>
    </w:p>
    <w:p>
      <w:pPr>
        <w:jc w:val="both"/>
        <w:ind w:firstLine="216"/>
        <w:spacing w:after="0" w:line="310" w:lineRule="auto"/>
        <w:rPr>
          <w:sz w:val="20"/>
          <w:szCs w:val="20"/>
          <w:color w:val="auto"/>
        </w:rPr>
      </w:pPr>
      <w:r>
        <w:rPr>
          <w:rFonts w:ascii="Arial" w:cs="Arial" w:eastAsia="Arial" w:hAnsi="Arial"/>
          <w:sz w:val="10"/>
          <w:szCs w:val="10"/>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2021.The Company believes that these allegations are without merit. These matters are in the early stages and the Company is unable to reasonably determine the outcome or estimate the loss, if any, and as such, have not recorded a loss contingency.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65" w:name="page166"/>
    <w:bookmarkEnd w:id="16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Measurements</w:t>
      </w:r>
    </w:p>
    <w:p>
      <w:pPr>
        <w:spacing w:after="0" w:line="15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following table presents information about the Company’s liabilities that are measured at fair value on a recurring basis at September 30, 2021 and December 31, 2020, and indicates the fair value hierarchy of the valuation inputs the Company utilized to determine such fair value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1"/>
              </w:rPr>
              <w:t>Level</w:t>
            </w:r>
          </w:p>
        </w:tc>
        <w:tc>
          <w:tcPr>
            <w:tcW w:w="60" w:type="dxa"/>
            <w:vAlign w:val="bottom"/>
          </w:tcPr>
          <w:p>
            <w:pPr>
              <w:spacing w:after="0"/>
              <w:rPr>
                <w:sz w:val="13"/>
                <w:szCs w:val="13"/>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9"/>
              </w:rPr>
              <w:t>September 30, 2021</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December 31, 2020</w:t>
            </w:r>
          </w:p>
        </w:tc>
      </w:tr>
      <w:tr>
        <w:trPr>
          <w:trHeight w:val="142"/>
        </w:trPr>
        <w:tc>
          <w:tcPr>
            <w:tcW w:w="7340" w:type="dxa"/>
            <w:vAlign w:val="bottom"/>
            <w:gridSpan w:val="2"/>
          </w:tcPr>
          <w:p>
            <w:pPr>
              <w:spacing w:after="0"/>
              <w:rPr>
                <w:sz w:val="20"/>
                <w:szCs w:val="20"/>
                <w:color w:val="auto"/>
              </w:rPr>
            </w:pPr>
            <w:r>
              <w:rPr>
                <w:rFonts w:ascii="Arial" w:cs="Arial" w:eastAsia="Arial" w:hAnsi="Arial"/>
                <w:sz w:val="12"/>
                <w:szCs w:val="12"/>
                <w:color w:val="auto"/>
              </w:rPr>
              <w:t>Liabilities:</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Warrant liability – Public Warrants</w:t>
            </w: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ind w:right="4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Warrant liability – Private Placement Warrants</w:t>
            </w:r>
          </w:p>
        </w:tc>
        <w:tc>
          <w:tcPr>
            <w:tcW w:w="160" w:type="dxa"/>
            <w:vAlign w:val="bottom"/>
          </w:tcPr>
          <w:p>
            <w:pPr>
              <w:spacing w:after="0"/>
              <w:rPr>
                <w:sz w:val="12"/>
                <w:szCs w:val="12"/>
                <w:color w:val="auto"/>
              </w:rPr>
            </w:pPr>
          </w:p>
        </w:tc>
        <w:tc>
          <w:tcPr>
            <w:tcW w:w="1000" w:type="dxa"/>
            <w:vAlign w:val="bottom"/>
          </w:tcPr>
          <w:p>
            <w:pPr>
              <w:jc w:val="right"/>
              <w:ind w:right="44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56,350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73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Total warrant liability</w:t>
            </w:r>
          </w:p>
        </w:tc>
        <w:tc>
          <w:tcPr>
            <w:tcW w:w="160" w:type="dxa"/>
            <w:vAlign w:val="bottom"/>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110,350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r>
      <w:tr>
        <w:trPr>
          <w:trHeight w:val="264"/>
        </w:trPr>
        <w:tc>
          <w:tcPr>
            <w:tcW w:w="7340" w:type="dxa"/>
            <w:vAlign w:val="bottom"/>
            <w:tcBorders>
              <w:top w:val="single" w:sz="8" w:color="CCEEFF"/>
            </w:tcBorders>
            <w:gridSpan w:val="2"/>
          </w:tcPr>
          <w:p>
            <w:pPr>
              <w:ind w:left="320"/>
              <w:spacing w:after="0"/>
              <w:rPr>
                <w:sz w:val="20"/>
                <w:szCs w:val="20"/>
                <w:color w:val="auto"/>
              </w:rPr>
            </w:pPr>
            <w:r>
              <w:rPr>
                <w:rFonts w:ascii="Arial" w:cs="Arial" w:eastAsia="Arial" w:hAnsi="Arial"/>
                <w:sz w:val="12"/>
                <w:szCs w:val="12"/>
                <w:color w:val="auto"/>
              </w:rPr>
              <w:t>The following tables summarize the changes in the fair value of the warrant liabilities (in thousands):</w:t>
            </w:r>
          </w:p>
        </w:tc>
        <w:tc>
          <w:tcPr>
            <w:tcW w:w="16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r>
        <w:trPr>
          <w:trHeight w:val="288"/>
        </w:trPr>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10"/>
          </w:tcPr>
          <w:p>
            <w:pPr>
              <w:jc w:val="right"/>
              <w:ind w:right="1060"/>
              <w:spacing w:after="0"/>
              <w:rPr>
                <w:sz w:val="20"/>
                <w:szCs w:val="20"/>
                <w:color w:val="auto"/>
              </w:rPr>
            </w:pPr>
            <w:r>
              <w:rPr>
                <w:rFonts w:ascii="Arial" w:cs="Arial" w:eastAsia="Arial" w:hAnsi="Arial"/>
                <w:sz w:val="12"/>
                <w:szCs w:val="12"/>
                <w:b w:val="1"/>
                <w:bCs w:val="1"/>
                <w:color w:val="auto"/>
              </w:rPr>
              <w:t>Three months ended September 30, 2021</w:t>
            </w:r>
          </w:p>
        </w:tc>
      </w:tr>
      <w:tr>
        <w:trPr>
          <w:trHeight w:val="129"/>
        </w:trPr>
        <w:tc>
          <w:tcPr>
            <w:tcW w:w="7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2"/>
                <w:szCs w:val="12"/>
                <w:b w:val="1"/>
                <w:bCs w:val="1"/>
                <w:color w:val="auto"/>
                <w:w w:val="88"/>
              </w:rPr>
              <w:t>Public</w:t>
            </w:r>
          </w:p>
        </w:tc>
        <w:tc>
          <w:tcPr>
            <w:tcW w:w="1340" w:type="dxa"/>
            <w:vAlign w:val="bottom"/>
            <w:tcBorders>
              <w:top w:val="single" w:sz="8" w:color="auto"/>
            </w:tcBorders>
            <w:gridSpan w:val="4"/>
          </w:tcPr>
          <w:p>
            <w:pPr>
              <w:jc w:val="center"/>
              <w:ind w:right="320"/>
              <w:spacing w:after="0" w:line="129" w:lineRule="exact"/>
              <w:rPr>
                <w:sz w:val="20"/>
                <w:szCs w:val="20"/>
                <w:color w:val="auto"/>
              </w:rPr>
            </w:pPr>
            <w:r>
              <w:rPr>
                <w:rFonts w:ascii="Arial" w:cs="Arial" w:eastAsia="Arial" w:hAnsi="Arial"/>
                <w:sz w:val="12"/>
                <w:szCs w:val="12"/>
                <w:b w:val="1"/>
                <w:bCs w:val="1"/>
                <w:color w:val="auto"/>
                <w:w w:val="90"/>
              </w:rPr>
              <w:t>Private Placement</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20"/>
              <w:spacing w:after="0" w:line="129" w:lineRule="exact"/>
              <w:rPr>
                <w:sz w:val="20"/>
                <w:szCs w:val="20"/>
                <w:color w:val="auto"/>
              </w:rPr>
            </w:pPr>
            <w:r>
              <w:rPr>
                <w:rFonts w:ascii="Arial" w:cs="Arial" w:eastAsia="Arial" w:hAnsi="Arial"/>
                <w:sz w:val="12"/>
                <w:szCs w:val="12"/>
                <w:b w:val="1"/>
                <w:bCs w:val="1"/>
                <w:color w:val="auto"/>
              </w:rPr>
              <w:t>Warrant</w:t>
            </w:r>
          </w:p>
        </w:tc>
        <w:tc>
          <w:tcPr>
            <w:tcW w:w="120" w:type="dxa"/>
            <w:vAlign w:val="bottom"/>
          </w:tcPr>
          <w:p>
            <w:pPr>
              <w:spacing w:after="0"/>
              <w:rPr>
                <w:sz w:val="11"/>
                <w:szCs w:val="11"/>
                <w:color w:val="auto"/>
              </w:rPr>
            </w:pPr>
          </w:p>
        </w:tc>
      </w:tr>
      <w:tr>
        <w:trPr>
          <w:trHeight w:val="157"/>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92"/>
              </w:rPr>
              <w:t>Warrants</w:t>
            </w:r>
          </w:p>
        </w:tc>
        <w:tc>
          <w:tcPr>
            <w:tcW w:w="60" w:type="dxa"/>
            <w:vAlign w:val="bottom"/>
          </w:tcPr>
          <w:p>
            <w:pPr>
              <w:spacing w:after="0"/>
              <w:rPr>
                <w:sz w:val="13"/>
                <w:szCs w:val="13"/>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6"/>
              </w:rPr>
              <w:t>Warrants</w:t>
            </w:r>
          </w:p>
        </w:tc>
        <w:tc>
          <w:tcPr>
            <w:tcW w:w="8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Liabilities</w:t>
            </w:r>
          </w:p>
        </w:tc>
      </w:tr>
      <w:tr>
        <w:trPr>
          <w:trHeight w:val="142"/>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Fair value, beginning of period</w:t>
            </w: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79,375</w:t>
            </w: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76,812</w:t>
            </w: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156,187</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Change in valuation inputs or other assumptions</w:t>
            </w:r>
          </w:p>
        </w:tc>
        <w:tc>
          <w:tcPr>
            <w:tcW w:w="1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(25,375)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(20,462)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(45,837)</w:t>
            </w:r>
          </w:p>
        </w:tc>
      </w:tr>
      <w:tr>
        <w:trPr>
          <w:trHeight w:val="182"/>
        </w:trPr>
        <w:tc>
          <w:tcPr>
            <w:tcW w:w="7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Fair value, end of period</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56,350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110,350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0" w:type="dxa"/>
            <w:vAlign w:val="bottom"/>
            <w:gridSpan w:val="10"/>
          </w:tcPr>
          <w:p>
            <w:pPr>
              <w:jc w:val="right"/>
              <w:ind w:right="1020"/>
              <w:spacing w:after="0"/>
              <w:rPr>
                <w:sz w:val="20"/>
                <w:szCs w:val="20"/>
                <w:color w:val="auto"/>
              </w:rPr>
            </w:pPr>
            <w:r>
              <w:rPr>
                <w:rFonts w:ascii="Arial" w:cs="Arial" w:eastAsia="Arial" w:hAnsi="Arial"/>
                <w:sz w:val="12"/>
                <w:szCs w:val="12"/>
                <w:b w:val="1"/>
                <w:bCs w:val="1"/>
                <w:color w:val="auto"/>
              </w:rPr>
              <w:t>Nine months ended September 30, 2021</w:t>
            </w:r>
          </w:p>
        </w:tc>
      </w:tr>
      <w:tr>
        <w:trPr>
          <w:trHeight w:val="129"/>
        </w:trPr>
        <w:tc>
          <w:tcPr>
            <w:tcW w:w="7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2"/>
                <w:szCs w:val="12"/>
                <w:b w:val="1"/>
                <w:bCs w:val="1"/>
                <w:color w:val="auto"/>
                <w:w w:val="94"/>
              </w:rPr>
              <w:t>Private</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7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88"/>
              </w:rPr>
              <w:t>Public</w:t>
            </w:r>
          </w:p>
        </w:tc>
        <w:tc>
          <w:tcPr>
            <w:tcW w:w="60" w:type="dxa"/>
            <w:vAlign w:val="bottom"/>
          </w:tcPr>
          <w:p>
            <w:pPr>
              <w:spacing w:after="0"/>
              <w:rPr>
                <w:sz w:val="12"/>
                <w:szCs w:val="12"/>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9"/>
              </w:rPr>
              <w:t>Placement</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Warrant</w:t>
            </w:r>
          </w:p>
        </w:tc>
      </w:tr>
      <w:tr>
        <w:trPr>
          <w:trHeight w:val="157"/>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2"/>
              </w:rPr>
              <w:t>Warrants</w:t>
            </w:r>
          </w:p>
        </w:tc>
        <w:tc>
          <w:tcPr>
            <w:tcW w:w="60" w:type="dxa"/>
            <w:vAlign w:val="bottom"/>
          </w:tcPr>
          <w:p>
            <w:pPr>
              <w:spacing w:after="0"/>
              <w:rPr>
                <w:sz w:val="13"/>
                <w:szCs w:val="13"/>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6"/>
              </w:rPr>
              <w:t>Warrants</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Liabilities</w:t>
            </w:r>
          </w:p>
        </w:tc>
      </w:tr>
      <w:tr>
        <w:trPr>
          <w:trHeight w:val="142"/>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Fair value, beginning of period</w:t>
            </w: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gridSpan w:val="2"/>
          </w:tcPr>
          <w:p>
            <w:pPr>
              <w:spacing w:after="0"/>
              <w:rPr>
                <w:sz w:val="20"/>
                <w:szCs w:val="20"/>
                <w:color w:val="auto"/>
              </w:rPr>
            </w:pPr>
            <w:r>
              <w:rPr>
                <w:rFonts w:ascii="Arial" w:cs="Arial" w:eastAsia="Arial" w:hAnsi="Arial"/>
                <w:sz w:val="12"/>
                <w:szCs w:val="12"/>
                <w:color w:val="auto"/>
              </w:rPr>
              <w:t>Warrant liability acquired</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100,750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93,228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193,978</w:t>
            </w:r>
          </w:p>
        </w:tc>
      </w:tr>
      <w:tr>
        <w:trPr>
          <w:trHeight w:val="144"/>
        </w:trPr>
        <w:tc>
          <w:tcPr>
            <w:tcW w:w="7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valuation inputs or other assumptions</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(46,750)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(36,878)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(83,628)</w:t>
            </w:r>
          </w:p>
        </w:tc>
      </w:tr>
      <w:tr>
        <w:trPr>
          <w:trHeight w:val="20"/>
        </w:trPr>
        <w:tc>
          <w:tcPr>
            <w:tcW w:w="7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gridSpan w:val="2"/>
          </w:tcPr>
          <w:p>
            <w:pPr>
              <w:ind w:left="100"/>
              <w:spacing w:after="0"/>
              <w:rPr>
                <w:sz w:val="20"/>
                <w:szCs w:val="20"/>
                <w:color w:val="auto"/>
              </w:rPr>
            </w:pPr>
            <w:r>
              <w:rPr>
                <w:rFonts w:ascii="Arial" w:cs="Arial" w:eastAsia="Arial" w:hAnsi="Arial"/>
                <w:sz w:val="12"/>
                <w:szCs w:val="12"/>
                <w:color w:val="auto"/>
              </w:rPr>
              <w:t>Fair value, end of period</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54,000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56,350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110,350</w:t>
            </w: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Public Warrants</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$54.0 million and $100.8 million as of September 30, 2021 and June 16, 2021,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Private Placement Warrants</w:t>
      </w:r>
    </w:p>
    <w:p>
      <w:pPr>
        <w:spacing w:after="0" w:line="15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6" w:name="page167"/>
    <w:bookmarkEnd w:id="16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ind w:left="320"/>
              <w:spacing w:after="0"/>
              <w:rPr>
                <w:sz w:val="20"/>
                <w:szCs w:val="20"/>
                <w:color w:val="auto"/>
              </w:rPr>
            </w:pPr>
            <w:r>
              <w:rPr>
                <w:rFonts w:ascii="Arial" w:cs="Arial" w:eastAsia="Arial" w:hAnsi="Arial"/>
                <w:sz w:val="12"/>
                <w:szCs w:val="12"/>
                <w:color w:val="auto"/>
              </w:rPr>
              <w:t>The following table provides quantitative information regarding Level 3 fair value measurements inputs at their measurement dates:</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9"/>
              </w:rPr>
              <w:t>September 30, 2021</w:t>
            </w: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June 16, 2021</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11.50</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11.50</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Stock price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14.50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20.55</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60.0%</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Term (years)</w:t>
            </w:r>
          </w:p>
        </w:tc>
        <w:tc>
          <w:tcPr>
            <w:tcW w:w="6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4.71</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5.00</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0.92%</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0.89%</w:t>
            </w:r>
          </w:p>
        </w:tc>
      </w:tr>
    </w:tbl>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Significant changes in the volatility would result in a significant lower or higher fair value measurement, respectively.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of the Private Placement Warrants was $56.4 million and $93.2 million as of September 30, 2021 and June 16, 2020, respectively.</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 xml:space="preserve">The Warrants were accounted for as liabilities in accordance with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income.</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There were no transfers in or out of Level 3 from other levels in the fair value hierarchy.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Business Combination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further discussed in Note 1, on June 16, 2021, the Company consummated the Business Combination pursuant to the Merger Agreement.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connection with the Closing, the following occurred:</w:t>
      </w:r>
    </w:p>
    <w:p>
      <w:pPr>
        <w:spacing w:after="0" w:line="150" w:lineRule="exact"/>
        <w:rPr>
          <w:sz w:val="20"/>
          <w:szCs w:val="20"/>
          <w:color w:val="auto"/>
        </w:rPr>
      </w:pPr>
    </w:p>
    <w:p>
      <w:pPr>
        <w:ind w:left="540" w:hanging="224"/>
        <w:spacing w:after="0"/>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Silver Spike was domesticated and continues as a Delaware corporation, changing its name to “WM Technology, Inc.”</w:t>
      </w:r>
    </w:p>
    <w:p>
      <w:pPr>
        <w:spacing w:after="0" w:line="150" w:lineRule="exact"/>
        <w:rPr>
          <w:rFonts w:ascii="Arial" w:cs="Arial" w:eastAsia="Arial" w:hAnsi="Arial"/>
          <w:sz w:val="12"/>
          <w:szCs w:val="12"/>
          <w:color w:val="auto"/>
        </w:rPr>
      </w:pPr>
    </w:p>
    <w:p>
      <w:pPr>
        <w:ind w:left="540" w:hanging="224"/>
        <w:spacing w:after="0" w:line="276" w:lineRule="auto"/>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114" w:lineRule="exact"/>
        <w:rPr>
          <w:rFonts w:ascii="Arial" w:cs="Arial" w:eastAsia="Arial" w:hAnsi="Arial"/>
          <w:sz w:val="12"/>
          <w:szCs w:val="12"/>
          <w:color w:val="auto"/>
        </w:rPr>
      </w:pPr>
    </w:p>
    <w:p>
      <w:pPr>
        <w:ind w:left="540" w:hanging="224"/>
        <w:spacing w:after="0" w:line="276" w:lineRule="auto"/>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114" w:lineRule="exact"/>
        <w:rPr>
          <w:rFonts w:ascii="Arial" w:cs="Arial" w:eastAsia="Arial" w:hAnsi="Arial"/>
          <w:sz w:val="12"/>
          <w:szCs w:val="12"/>
          <w:color w:val="auto"/>
        </w:rPr>
      </w:pPr>
    </w:p>
    <w:p>
      <w:pPr>
        <w:jc w:val="both"/>
        <w:ind w:left="540" w:hanging="224"/>
        <w:spacing w:after="0" w:line="263" w:lineRule="auto"/>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122" w:lineRule="exact"/>
        <w:rPr>
          <w:rFonts w:ascii="Arial" w:cs="Arial" w:eastAsia="Arial" w:hAnsi="Arial"/>
          <w:sz w:val="12"/>
          <w:szCs w:val="12"/>
          <w:color w:val="auto"/>
        </w:rPr>
      </w:pPr>
    </w:p>
    <w:p>
      <w:pPr>
        <w:ind w:left="540" w:hanging="224"/>
        <w:spacing w:after="0"/>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Company transferred $455.2 million to the Legacy WMH equity holders as cash consideration.</w:t>
      </w:r>
    </w:p>
    <w:p>
      <w:pPr>
        <w:spacing w:after="0" w:line="150" w:lineRule="exact"/>
        <w:rPr>
          <w:rFonts w:ascii="Arial" w:cs="Arial" w:eastAsia="Arial" w:hAnsi="Arial"/>
          <w:sz w:val="12"/>
          <w:szCs w:val="12"/>
          <w:color w:val="auto"/>
        </w:rPr>
      </w:pPr>
    </w:p>
    <w:p>
      <w:pPr>
        <w:ind w:left="540" w:hanging="224"/>
        <w:spacing w:after="0"/>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Legacy WMH equity holders retained an aggregate of 65,502,347 Class A Units and 25,896,042 Class P Units.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7" w:name="page168"/>
    <w:bookmarkEnd w:id="16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ind w:left="540" w:hanging="224"/>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Company issued 65,502,347 shares of Class V Common Stock to Class A Unit holders, representing the same number of Class A Units retained by the Legacy WMH equity holders.</w:t>
      </w:r>
    </w:p>
    <w:p>
      <w:pPr>
        <w:spacing w:after="0" w:line="150" w:lineRule="exact"/>
        <w:rPr>
          <w:rFonts w:ascii="Arial" w:cs="Arial" w:eastAsia="Arial" w:hAnsi="Arial"/>
          <w:sz w:val="12"/>
          <w:szCs w:val="12"/>
          <w:color w:val="auto"/>
        </w:rPr>
      </w:pPr>
    </w:p>
    <w:p>
      <w:pPr>
        <w:jc w:val="both"/>
        <w:ind w:left="540" w:hanging="224"/>
        <w:spacing w:after="0" w:line="259" w:lineRule="auto"/>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The following table reconciles the elements of the Business Combination to the condensed consolidated statements of cash flows and the condensed consolidated statements of equity for the nine months ended September 30, 2021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2"/>
              </w:rPr>
              <w:t>Business</w:t>
            </w:r>
          </w:p>
        </w:tc>
      </w:tr>
      <w:tr>
        <w:trPr>
          <w:trHeight w:val="157"/>
        </w:trPr>
        <w:tc>
          <w:tcPr>
            <w:tcW w:w="49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2"/>
              </w:rPr>
              <w:t>Combination</w:t>
            </w:r>
          </w:p>
        </w:tc>
      </w:tr>
      <w:tr>
        <w:trPr>
          <w:trHeight w:val="14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Cash - Silver Spike trust and cash, net of redemptions</w:t>
            </w:r>
          </w:p>
        </w:tc>
        <w:tc>
          <w:tcPr>
            <w:tcW w:w="5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254,203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Cash - PIPE Financing</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325,000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Less: cash consideration paid to Legacy WMH equity holders</w:t>
            </w:r>
          </w:p>
        </w:tc>
        <w:tc>
          <w:tcPr>
            <w:tcW w:w="5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(455,182)</w:t>
            </w: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Less: transaction costs and advisory fees</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2"/>
                <w:szCs w:val="12"/>
                <w:color w:val="auto"/>
              </w:rPr>
              <w:t>(44,052)</w:t>
            </w:r>
          </w:p>
        </w:tc>
      </w:tr>
      <w:tr>
        <w:trPr>
          <w:trHeight w:val="142"/>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proceeds from the Business Combination</w:t>
            </w:r>
          </w:p>
        </w:tc>
        <w:tc>
          <w:tcPr>
            <w:tcW w:w="5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79,969</w:t>
            </w:r>
          </w:p>
        </w:tc>
        <w:tc>
          <w:tcPr>
            <w:tcW w:w="10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Less: initial fair value of warrant liability recognized in the Business Combination</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2"/>
                <w:szCs w:val="12"/>
                <w:color w:val="auto"/>
              </w:rPr>
              <w:t>(193,978)</w:t>
            </w:r>
          </w:p>
        </w:tc>
      </w:tr>
      <w:tr>
        <w:trPr>
          <w:trHeight w:val="14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Add: transaction costs allocated to Warrants</w:t>
            </w:r>
          </w:p>
        </w:tc>
        <w:tc>
          <w:tcPr>
            <w:tcW w:w="5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Add: non-cash assets assumed from Silver Spike</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1,053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Add: deferred tax asset</w:t>
            </w:r>
          </w:p>
        </w:tc>
        <w:tc>
          <w:tcPr>
            <w:tcW w:w="5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147,973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Less: tax receivable agreement liability</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2"/>
                <w:szCs w:val="12"/>
                <w:color w:val="auto"/>
              </w:rPr>
              <w:t>(126,150)</w:t>
            </w:r>
          </w:p>
        </w:tc>
      </w:tr>
      <w:tr>
        <w:trPr>
          <w:trHeight w:val="182"/>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 adjustment to total equity from the Business Combination</w:t>
            </w:r>
          </w:p>
        </w:tc>
        <w:tc>
          <w:tcPr>
            <w:tcW w:w="5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(85,586)</w:t>
            </w:r>
          </w:p>
        </w:tc>
        <w:tc>
          <w:tcPr>
            <w:tcW w:w="120" w:type="dxa"/>
            <w:vAlign w:val="bottom"/>
            <w:tcBorders>
              <w:bottom w:val="single" w:sz="8" w:color="CCEEFF"/>
            </w:tcBorders>
            <w:gridSpan w:val="2"/>
            <w:shd w:val="clear" w:color="auto" w:fill="CCEEFF"/>
          </w:tcPr>
          <w:p>
            <w:pPr>
              <w:spacing w:after="0"/>
              <w:rPr>
                <w:sz w:val="15"/>
                <w:szCs w:val="15"/>
                <w:color w:val="auto"/>
              </w:rPr>
            </w:pPr>
          </w:p>
        </w:tc>
      </w:tr>
      <w:tr>
        <w:trPr>
          <w:trHeight w:val="264"/>
        </w:trPr>
        <w:tc>
          <w:tcPr>
            <w:tcW w:w="4920" w:type="dxa"/>
            <w:vAlign w:val="bottom"/>
          </w:tcPr>
          <w:p>
            <w:pPr>
              <w:ind w:left="320"/>
              <w:spacing w:after="0"/>
              <w:rPr>
                <w:sz w:val="20"/>
                <w:szCs w:val="20"/>
                <w:color w:val="auto"/>
              </w:rPr>
            </w:pPr>
            <w:r>
              <w:rPr>
                <w:rFonts w:ascii="Arial" w:cs="Arial" w:eastAsia="Arial" w:hAnsi="Arial"/>
                <w:sz w:val="12"/>
                <w:szCs w:val="12"/>
                <w:color w:val="auto"/>
              </w:rPr>
              <w:t>The number of shares of common stock issued immediately following the Closing:</w:t>
            </w:r>
          </w:p>
        </w:tc>
        <w:tc>
          <w:tcPr>
            <w:tcW w:w="5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8"/>
        </w:trPr>
        <w:tc>
          <w:tcPr>
            <w:tcW w:w="4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0"/>
              </w:rPr>
              <w:t>Number of Shares</w:t>
            </w:r>
          </w:p>
        </w:tc>
      </w:tr>
      <w:tr>
        <w:trPr>
          <w:trHeight w:val="142"/>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Common stock, outstanding prior to the Business Combination</w:t>
            </w:r>
          </w:p>
        </w:tc>
        <w:tc>
          <w:tcPr>
            <w:tcW w:w="5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24,998,575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Less: redemption of shares of Silver Spike’s Class A common stock</w:t>
            </w:r>
          </w:p>
        </w:tc>
        <w:tc>
          <w:tcPr>
            <w:tcW w:w="5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10,012</w:t>
            </w:r>
          </w:p>
        </w:tc>
        <w:tc>
          <w:tcPr>
            <w:tcW w:w="100" w:type="dxa"/>
            <w:vAlign w:val="bottom"/>
          </w:tcPr>
          <w:p>
            <w:pPr>
              <w:spacing w:after="0"/>
              <w:rPr>
                <w:sz w:val="12"/>
                <w:szCs w:val="12"/>
                <w:color w:val="auto"/>
              </w:rPr>
            </w:pPr>
          </w:p>
        </w:tc>
      </w:tr>
      <w:tr>
        <w:trPr>
          <w:trHeight w:val="142"/>
        </w:trPr>
        <w:tc>
          <w:tcPr>
            <w:tcW w:w="49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Shares of Silver Spike’s Class A common stock</w:t>
            </w:r>
          </w:p>
        </w:tc>
        <w:tc>
          <w:tcPr>
            <w:tcW w:w="5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24,988,563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Shares of Class A Common Stock held by Silver Spike’s Sponsor</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6,250,000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Shares of Class A Common Stock issued in the PIPE Financing</w:t>
            </w:r>
          </w:p>
        </w:tc>
        <w:tc>
          <w:tcPr>
            <w:tcW w:w="5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32,500,000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4920" w:type="dxa"/>
            <w:vAlign w:val="bottom"/>
          </w:tcPr>
          <w:p>
            <w:pPr>
              <w:ind w:left="100"/>
              <w:spacing w:after="0"/>
              <w:rPr>
                <w:sz w:val="20"/>
                <w:szCs w:val="20"/>
                <w:color w:val="auto"/>
              </w:rPr>
            </w:pPr>
            <w:r>
              <w:rPr>
                <w:rFonts w:ascii="Arial" w:cs="Arial" w:eastAsia="Arial" w:hAnsi="Arial"/>
                <w:sz w:val="12"/>
                <w:szCs w:val="12"/>
                <w:color w:val="auto"/>
              </w:rPr>
              <w:t>Shares of Class A Common Stock issued in the Business Combination</w:t>
            </w: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63,738,563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Shares of Class V Common Stock issued to Legacy WMH equity holders</w:t>
            </w:r>
          </w:p>
        </w:tc>
        <w:tc>
          <w:tcPr>
            <w:tcW w:w="5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65,502,347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4920" w:type="dxa"/>
            <w:vAlign w:val="bottom"/>
          </w:tcPr>
          <w:p>
            <w:pPr>
              <w:ind w:left="100"/>
              <w:spacing w:after="0"/>
              <w:rPr>
                <w:sz w:val="20"/>
                <w:szCs w:val="20"/>
                <w:color w:val="auto"/>
              </w:rPr>
            </w:pPr>
            <w:r>
              <w:rPr>
                <w:rFonts w:ascii="Arial" w:cs="Arial" w:eastAsia="Arial" w:hAnsi="Arial"/>
                <w:sz w:val="12"/>
                <w:szCs w:val="12"/>
                <w:color w:val="auto"/>
              </w:rPr>
              <w:t>Total shares of common stock issued in the Business Combination</w:t>
            </w:r>
          </w:p>
        </w:tc>
        <w:tc>
          <w:tcPr>
            <w:tcW w:w="5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129,240,910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49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920" w:type="dxa"/>
            <w:vAlign w:val="bottom"/>
          </w:tcPr>
          <w:p>
            <w:pPr>
              <w:spacing w:after="0"/>
              <w:rPr>
                <w:sz w:val="18"/>
                <w:szCs w:val="18"/>
                <w:color w:val="auto"/>
              </w:rPr>
            </w:pPr>
          </w:p>
        </w:tc>
        <w:tc>
          <w:tcPr>
            <w:tcW w:w="5220" w:type="dxa"/>
            <w:vAlign w:val="bottom"/>
            <w:gridSpan w:val="2"/>
          </w:tcPr>
          <w:p>
            <w:pPr>
              <w:jc w:val="right"/>
              <w:ind w:right="4352"/>
              <w:spacing w:after="0"/>
              <w:rPr>
                <w:sz w:val="20"/>
                <w:szCs w:val="20"/>
                <w:color w:val="auto"/>
              </w:rPr>
            </w:pPr>
            <w:r>
              <w:rPr>
                <w:rFonts w:ascii="Arial" w:cs="Arial" w:eastAsia="Arial" w:hAnsi="Arial"/>
                <w:sz w:val="10"/>
                <w:szCs w:val="10"/>
                <w:color w:val="auto"/>
              </w:rPr>
              <w:t>F-33</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492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68" w:name="page169"/>
    <w:bookmarkEnd w:id="168"/>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Net income for the period from June 16, 2021 (Closing Date) to September 30, 2021 was $58.7 million, which includes change in fair value of warrant liability of $83.6 million, stock-based compensation expense of $23.6 million and transaction costs related to the warrant liability of $5.5 million. The transaction costs related to the warrant liability is included in other expense, net on the accompanying condensed consolidated statements of income.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Sprout</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w:t>
      </w:r>
    </w:p>
    <w:p>
      <w:pPr>
        <w:spacing w:after="0" w:line="1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60" w:type="dxa"/>
            <w:vAlign w:val="bottom"/>
          </w:tcPr>
          <w:p>
            <w:pPr>
              <w:ind w:left="320"/>
              <w:spacing w:after="0"/>
              <w:rPr>
                <w:sz w:val="20"/>
                <w:szCs w:val="20"/>
                <w:color w:val="auto"/>
              </w:rPr>
            </w:pPr>
            <w:r>
              <w:rPr>
                <w:rFonts w:ascii="Arial" w:cs="Arial" w:eastAsia="Arial" w:hAnsi="Arial"/>
                <w:sz w:val="12"/>
                <w:szCs w:val="12"/>
                <w:color w:val="auto"/>
              </w:rPr>
              <w:t>The following table summarizes the components of consideration and the preliminary estimated fair value of assets acquired (in thousands):</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10060" w:type="dxa"/>
            <w:vAlign w:val="bottom"/>
          </w:tcPr>
          <w:p>
            <w:pPr>
              <w:spacing w:after="0"/>
              <w:rPr>
                <w:sz w:val="20"/>
                <w:szCs w:val="20"/>
                <w:color w:val="auto"/>
              </w:rPr>
            </w:pPr>
            <w:r>
              <w:rPr>
                <w:rFonts w:ascii="Arial" w:cs="Arial" w:eastAsia="Arial" w:hAnsi="Arial"/>
                <w:sz w:val="12"/>
                <w:szCs w:val="12"/>
                <w:b w:val="1"/>
                <w:bCs w:val="1"/>
                <w:color w:val="auto"/>
              </w:rPr>
              <w:t>Consideration Transferred:</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Cash consideration</w:t>
            </w: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line="144" w:lineRule="exact"/>
              <w:rPr>
                <w:sz w:val="20"/>
                <w:szCs w:val="20"/>
                <w:color w:val="auto"/>
              </w:rPr>
            </w:pPr>
            <w:r>
              <w:rPr>
                <w:rFonts w:ascii="Arial" w:cs="Arial" w:eastAsia="Arial" w:hAnsi="Arial"/>
                <w:sz w:val="10"/>
                <w:szCs w:val="10"/>
                <w:color w:val="auto"/>
              </w:rPr>
              <w:t>Share consideration</w:t>
            </w:r>
            <w:r>
              <w:rPr>
                <w:rFonts w:ascii="Arial" w:cs="Arial" w:eastAsia="Arial" w:hAnsi="Arial"/>
                <w:sz w:val="16"/>
                <w:szCs w:val="16"/>
                <w:color w:val="auto"/>
                <w:vertAlign w:val="superscript"/>
              </w:rPr>
              <w:t>(1)</w:t>
            </w: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19,186</w:t>
            </w:r>
          </w:p>
        </w:tc>
        <w:tc>
          <w:tcPr>
            <w:tcW w:w="120" w:type="dxa"/>
            <w:vAlign w:val="bottom"/>
          </w:tcPr>
          <w:p>
            <w:pPr>
              <w:spacing w:after="0"/>
              <w:rPr>
                <w:sz w:val="12"/>
                <w:szCs w:val="12"/>
                <w:color w:val="auto"/>
              </w:rPr>
            </w:pPr>
          </w:p>
        </w:tc>
      </w:tr>
      <w:tr>
        <w:trPr>
          <w:trHeight w:val="182"/>
        </w:trPr>
        <w:tc>
          <w:tcPr>
            <w:tcW w:w="10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consideration</w:t>
            </w: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31,186</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10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Estimated Assets Acquired:</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Software technology</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1,976</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Trade name</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Customer relationships</w:t>
            </w:r>
          </w:p>
        </w:tc>
        <w:tc>
          <w:tcPr>
            <w:tcW w:w="4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1,762</w:t>
            </w:r>
          </w:p>
        </w:tc>
        <w:tc>
          <w:tcPr>
            <w:tcW w:w="120" w:type="dxa"/>
            <w:vAlign w:val="bottom"/>
          </w:tcPr>
          <w:p>
            <w:pPr>
              <w:spacing w:after="0"/>
              <w:rPr>
                <w:sz w:val="12"/>
                <w:szCs w:val="12"/>
                <w:color w:val="auto"/>
              </w:rPr>
            </w:pPr>
          </w:p>
        </w:tc>
      </w:tr>
      <w:tr>
        <w:trPr>
          <w:trHeight w:val="144"/>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Goodwill</w:t>
            </w: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27,049</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10060" w:type="dxa"/>
            <w:vAlign w:val="bottom"/>
          </w:tcPr>
          <w:p>
            <w:pPr>
              <w:spacing w:after="0"/>
              <w:rPr>
                <w:sz w:val="20"/>
                <w:szCs w:val="20"/>
                <w:color w:val="auto"/>
              </w:rPr>
            </w:pPr>
            <w:r>
              <w:rPr>
                <w:rFonts w:ascii="Arial" w:cs="Arial" w:eastAsia="Arial" w:hAnsi="Arial"/>
                <w:sz w:val="12"/>
                <w:szCs w:val="12"/>
                <w:color w:val="auto"/>
              </w:rPr>
              <w:t>Total asset acquired</w:t>
            </w: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31,186</w:t>
            </w:r>
          </w:p>
        </w:tc>
        <w:tc>
          <w:tcPr>
            <w:tcW w:w="120" w:type="dxa"/>
            <w:vAlign w:val="bottom"/>
          </w:tcPr>
          <w:p>
            <w:pPr>
              <w:spacing w:after="0"/>
              <w:rPr>
                <w:sz w:val="12"/>
                <w:szCs w:val="12"/>
                <w:color w:val="auto"/>
              </w:rPr>
            </w:pP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(1)  The fair value of share consideration issued in connection with the Spout acquisition was calculated based on 1,244,258 shares of Class A common stock issued multiplied by the share price on the closing date of $15.42.</w:t>
      </w:r>
    </w:p>
    <w:p>
      <w:pPr>
        <w:spacing w:after="0" w:line="1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11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1"/>
          <w:szCs w:val="11"/>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9" w:name="page170"/>
    <w:bookmarkEnd w:id="169"/>
    <w:p>
      <w:pPr>
        <w:ind w:left="8"/>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During the three and nine months ended September 30, 2021, the Company incurred transaction expenses associated with the Sprout acquisition of $0.8 million, which is included in general and administrative expenses in the condensed consolidated statements of income.</w:t>
      </w:r>
    </w:p>
    <w:p>
      <w:pPr>
        <w:spacing w:after="0" w:line="115" w:lineRule="exact"/>
        <w:rPr>
          <w:sz w:val="20"/>
          <w:szCs w:val="20"/>
          <w:color w:val="auto"/>
        </w:rPr>
      </w:pPr>
    </w:p>
    <w:p>
      <w:pPr>
        <w:jc w:val="both"/>
        <w:ind w:left="8" w:right="20" w:firstLine="324"/>
        <w:spacing w:after="0" w:line="276" w:lineRule="auto"/>
        <w:rPr>
          <w:sz w:val="20"/>
          <w:szCs w:val="20"/>
          <w:color w:val="auto"/>
        </w:rPr>
      </w:pPr>
      <w:r>
        <w:rPr>
          <w:rFonts w:ascii="Arial" w:cs="Arial" w:eastAsia="Arial" w:hAnsi="Arial"/>
          <w:sz w:val="12"/>
          <w:szCs w:val="12"/>
          <w:color w:val="auto"/>
        </w:rPr>
        <w:t>The revenue and operating loss from Sprout included the Company’s condensed consolidated statements of income for the period from September 3, 2021 (acquisition date) through September 30, 2021 were not material. Pro forma revenue and earnings amounts on a combined basis have not been presented as they are not material to the Company’s historical pre-acquisition financials.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Transport Logistics Holding</w:t>
      </w:r>
    </w:p>
    <w:p>
      <w:pPr>
        <w:spacing w:after="0" w:line="150" w:lineRule="exact"/>
        <w:rPr>
          <w:sz w:val="20"/>
          <w:szCs w:val="20"/>
          <w:color w:val="auto"/>
        </w:rPr>
      </w:pPr>
    </w:p>
    <w:p>
      <w:pPr>
        <w:jc w:val="both"/>
        <w:ind w:left="8" w:right="20" w:firstLine="324"/>
        <w:spacing w:after="0" w:line="276" w:lineRule="auto"/>
        <w:rPr>
          <w:sz w:val="20"/>
          <w:szCs w:val="20"/>
          <w:color w:val="auto"/>
        </w:rPr>
      </w:pPr>
      <w:r>
        <w:rPr>
          <w:rFonts w:ascii="Arial" w:cs="Arial" w:eastAsia="Arial" w:hAnsi="Arial"/>
          <w:sz w:val="12"/>
          <w:szCs w:val="12"/>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115"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0060" w:type="dxa"/>
            <w:vAlign w:val="bottom"/>
          </w:tcPr>
          <w:p>
            <w:pPr>
              <w:ind w:left="320"/>
              <w:spacing w:after="0"/>
              <w:rPr>
                <w:sz w:val="20"/>
                <w:szCs w:val="20"/>
                <w:color w:val="auto"/>
              </w:rPr>
            </w:pPr>
            <w:r>
              <w:rPr>
                <w:rFonts w:ascii="Arial" w:cs="Arial" w:eastAsia="Arial" w:hAnsi="Arial"/>
                <w:sz w:val="12"/>
                <w:szCs w:val="12"/>
                <w:color w:val="auto"/>
              </w:rPr>
              <w:t>The following table summarizes the components of consideration and the preliminary estimated fair value of assets acquired (in thousands):</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10060" w:type="dxa"/>
            <w:vAlign w:val="bottom"/>
          </w:tcPr>
          <w:p>
            <w:pPr>
              <w:spacing w:after="0"/>
              <w:rPr>
                <w:sz w:val="20"/>
                <w:szCs w:val="20"/>
                <w:color w:val="auto"/>
              </w:rPr>
            </w:pPr>
            <w:r>
              <w:rPr>
                <w:rFonts w:ascii="Arial" w:cs="Arial" w:eastAsia="Arial" w:hAnsi="Arial"/>
                <w:sz w:val="12"/>
                <w:szCs w:val="12"/>
                <w:b w:val="1"/>
                <w:bCs w:val="1"/>
                <w:color w:val="auto"/>
              </w:rPr>
              <w:t>Consideration Transferred:</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1006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Cash consideration</w:t>
            </w:r>
            <w:r>
              <w:rPr>
                <w:rFonts w:ascii="Arial" w:cs="Arial" w:eastAsia="Arial" w:hAnsi="Arial"/>
                <w:sz w:val="16"/>
                <w:szCs w:val="16"/>
                <w:color w:val="auto"/>
                <w:vertAlign w:val="superscript"/>
              </w:rPr>
              <w:t>(1)</w:t>
            </w: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line="144" w:lineRule="exact"/>
              <w:rPr>
                <w:sz w:val="20"/>
                <w:szCs w:val="20"/>
                <w:color w:val="auto"/>
              </w:rPr>
            </w:pPr>
            <w:r>
              <w:rPr>
                <w:rFonts w:ascii="Arial" w:cs="Arial" w:eastAsia="Arial" w:hAnsi="Arial"/>
                <w:sz w:val="10"/>
                <w:szCs w:val="10"/>
                <w:color w:val="auto"/>
              </w:rPr>
              <w:t>Share consideration</w:t>
            </w:r>
            <w:r>
              <w:rPr>
                <w:rFonts w:ascii="Arial" w:cs="Arial" w:eastAsia="Arial" w:hAnsi="Arial"/>
                <w:sz w:val="16"/>
                <w:szCs w:val="16"/>
                <w:color w:val="auto"/>
                <w:vertAlign w:val="superscript"/>
              </w:rPr>
              <w:t>(2)</w:t>
            </w: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10,126</w:t>
            </w:r>
          </w:p>
        </w:tc>
        <w:tc>
          <w:tcPr>
            <w:tcW w:w="120" w:type="dxa"/>
            <w:vAlign w:val="bottom"/>
          </w:tcPr>
          <w:p>
            <w:pPr>
              <w:spacing w:after="0"/>
              <w:rPr>
                <w:sz w:val="12"/>
                <w:szCs w:val="12"/>
                <w:color w:val="auto"/>
              </w:rPr>
            </w:pPr>
          </w:p>
        </w:tc>
      </w:tr>
      <w:tr>
        <w:trPr>
          <w:trHeight w:val="182"/>
        </w:trPr>
        <w:tc>
          <w:tcPr>
            <w:tcW w:w="10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consideration</w:t>
            </w: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15,126</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10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Estimated Assets Acquired:</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Software technology</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249</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Trade name</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Customer relationships</w:t>
            </w:r>
          </w:p>
        </w:tc>
        <w:tc>
          <w:tcPr>
            <w:tcW w:w="4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2"/>
                <w:szCs w:val="12"/>
                <w:color w:val="auto"/>
              </w:rPr>
            </w:pPr>
          </w:p>
        </w:tc>
      </w:tr>
      <w:tr>
        <w:trPr>
          <w:trHeight w:val="144"/>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Goodwill</w:t>
            </w: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14,648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10060" w:type="dxa"/>
            <w:vAlign w:val="bottom"/>
          </w:tcPr>
          <w:p>
            <w:pPr>
              <w:spacing w:after="0"/>
              <w:rPr>
                <w:sz w:val="20"/>
                <w:szCs w:val="20"/>
                <w:color w:val="auto"/>
              </w:rPr>
            </w:pPr>
            <w:r>
              <w:rPr>
                <w:rFonts w:ascii="Arial" w:cs="Arial" w:eastAsia="Arial" w:hAnsi="Arial"/>
                <w:sz w:val="12"/>
                <w:szCs w:val="12"/>
                <w:color w:val="auto"/>
              </w:rPr>
              <w:t>Total asset acquired</w:t>
            </w: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15,126</w:t>
            </w:r>
          </w:p>
        </w:tc>
        <w:tc>
          <w:tcPr>
            <w:tcW w:w="120" w:type="dxa"/>
            <w:vAlign w:val="bottom"/>
          </w:tcPr>
          <w:p>
            <w:pPr>
              <w:spacing w:after="0"/>
              <w:rPr>
                <w:sz w:val="12"/>
                <w:szCs w:val="12"/>
                <w:color w:val="auto"/>
              </w:rPr>
            </w:pP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hanging="208"/>
        <w:spacing w:after="0"/>
        <w:tabs>
          <w:tab w:leader="none" w:pos="208"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Includes holdback of $1.0 million recorded within other current liabilities on the Company’s condensed consolidated balance sheets.</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fair value of share consideration issued in connection with the TLH acquisition was calculated based on 694,540 shares of Class A common stock issued multiplied by the share price on the closing date of $14.58.</w:t>
      </w:r>
    </w:p>
    <w:p>
      <w:pPr>
        <w:spacing w:after="0" w:line="27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70" w:name="page171"/>
    <w:bookmarkEnd w:id="170"/>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115"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1"/>
          <w:szCs w:val="11"/>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three and nine months ended September 30, 2021, the Company incurred transaction expenses associated with the TLH acquisition of $0.6 million, which is included in general and administrative expenses in the condensed consolidated statements of income</w:t>
      </w:r>
    </w:p>
    <w:p>
      <w:pPr>
        <w:spacing w:after="0" w:line="11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revenue and operating loss from TLH included the Company’s condensed consolidated statements of income for the period from September 29, 2021 (acquisition date) through September 30, 2021 were not material. Pro forma revenue and earnings amounts on a combined basis have not been presented as they are not material to the Company’s historical pre-acquisition financials.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Goodwill and Intangible Assets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 summary of changes in goodwill for the nine months ended September 30, 2021 is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Goodwill</w:t>
            </w:r>
          </w:p>
        </w:tc>
      </w:tr>
      <w:tr>
        <w:trPr>
          <w:trHeight w:val="142"/>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65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3,961</w:t>
            </w:r>
          </w:p>
        </w:tc>
        <w:tc>
          <w:tcPr>
            <w:tcW w:w="120" w:type="dxa"/>
            <w:vAlign w:val="bottom"/>
            <w:shd w:val="clear" w:color="auto" w:fill="CCEEFF"/>
          </w:tcPr>
          <w:p>
            <w:pPr>
              <w:spacing w:after="0"/>
              <w:rPr>
                <w:sz w:val="12"/>
                <w:szCs w:val="12"/>
                <w:color w:val="auto"/>
              </w:rPr>
            </w:pPr>
          </w:p>
        </w:tc>
      </w:tr>
      <w:tr>
        <w:trPr>
          <w:trHeight w:val="144"/>
        </w:trPr>
        <w:tc>
          <w:tcPr>
            <w:tcW w:w="3520" w:type="dxa"/>
            <w:vAlign w:val="bottom"/>
          </w:tcPr>
          <w:p>
            <w:pPr>
              <w:spacing w:after="0"/>
              <w:rPr>
                <w:sz w:val="20"/>
                <w:szCs w:val="20"/>
                <w:color w:val="auto"/>
              </w:rPr>
            </w:pPr>
            <w:r>
              <w:rPr>
                <w:rFonts w:ascii="Arial" w:cs="Arial" w:eastAsia="Arial" w:hAnsi="Arial"/>
                <w:sz w:val="12"/>
                <w:szCs w:val="12"/>
                <w:color w:val="auto"/>
              </w:rPr>
              <w:t>Acquisition of Sprout</w:t>
            </w:r>
          </w:p>
        </w:tc>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27,049</w:t>
            </w:r>
          </w:p>
        </w:tc>
      </w:tr>
      <w:tr>
        <w:trPr>
          <w:trHeight w:val="144"/>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TLH</w:t>
            </w:r>
          </w:p>
        </w:tc>
        <w:tc>
          <w:tcPr>
            <w:tcW w:w="6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14,648</w:t>
            </w:r>
          </w:p>
        </w:tc>
      </w:tr>
      <w:tr>
        <w:trPr>
          <w:trHeight w:val="20"/>
        </w:trPr>
        <w:tc>
          <w:tcPr>
            <w:tcW w:w="3520" w:type="dxa"/>
            <w:vAlign w:val="bottom"/>
            <w:shd w:val="clear" w:color="auto" w:fill="CCEEFF"/>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520" w:type="dxa"/>
            <w:vAlign w:val="bottom"/>
          </w:tcPr>
          <w:p>
            <w:pPr>
              <w:spacing w:after="0"/>
              <w:rPr>
                <w:sz w:val="20"/>
                <w:szCs w:val="20"/>
                <w:color w:val="auto"/>
              </w:rPr>
            </w:pPr>
            <w:r>
              <w:rPr>
                <w:rFonts w:ascii="Arial" w:cs="Arial" w:eastAsia="Arial" w:hAnsi="Arial"/>
                <w:sz w:val="12"/>
                <w:szCs w:val="12"/>
                <w:color w:val="auto"/>
              </w:rPr>
              <w:t>Balance at September 30, 2021</w:t>
            </w:r>
          </w:p>
        </w:tc>
        <w:tc>
          <w:tcPr>
            <w:tcW w:w="654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45,658</w:t>
            </w:r>
          </w:p>
        </w:tc>
      </w:tr>
      <w:tr>
        <w:trPr>
          <w:trHeight w:val="20"/>
        </w:trPr>
        <w:tc>
          <w:tcPr>
            <w:tcW w:w="35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3520" w:type="dxa"/>
            <w:vAlign w:val="bottom"/>
          </w:tcPr>
          <w:p>
            <w:pPr>
              <w:spacing w:after="0"/>
              <w:rPr>
                <w:sz w:val="18"/>
                <w:szCs w:val="18"/>
                <w:color w:val="auto"/>
              </w:rPr>
            </w:pPr>
          </w:p>
        </w:tc>
        <w:tc>
          <w:tcPr>
            <w:tcW w:w="6740" w:type="dxa"/>
            <w:vAlign w:val="bottom"/>
            <w:gridSpan w:val="2"/>
          </w:tcPr>
          <w:p>
            <w:pPr>
              <w:jc w:val="right"/>
              <w:ind w:right="4472"/>
              <w:spacing w:after="0"/>
              <w:rPr>
                <w:sz w:val="20"/>
                <w:szCs w:val="20"/>
                <w:color w:val="auto"/>
              </w:rPr>
            </w:pPr>
            <w:r>
              <w:rPr>
                <w:rFonts w:ascii="Arial" w:cs="Arial" w:eastAsia="Arial" w:hAnsi="Arial"/>
                <w:sz w:val="10"/>
                <w:szCs w:val="10"/>
                <w:color w:val="auto"/>
              </w:rPr>
              <w:t>F-36</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
        </w:trPr>
        <w:tc>
          <w:tcPr>
            <w:tcW w:w="35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71" w:name="page172"/>
    <w:bookmarkEnd w:id="171"/>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80" w:type="dxa"/>
            <w:vAlign w:val="bottom"/>
          </w:tcPr>
          <w:p>
            <w:pPr>
              <w:ind w:left="320"/>
              <w:spacing w:after="0"/>
              <w:rPr>
                <w:sz w:val="20"/>
                <w:szCs w:val="20"/>
                <w:color w:val="auto"/>
              </w:rPr>
            </w:pPr>
            <w:r>
              <w:rPr>
                <w:rFonts w:ascii="Arial" w:cs="Arial" w:eastAsia="Arial" w:hAnsi="Arial"/>
                <w:sz w:val="12"/>
                <w:szCs w:val="12"/>
                <w:color w:val="auto"/>
                <w:w w:val="94"/>
              </w:rPr>
              <w:t>Intangible assets consisted of the following as of September 30, 2021 and December 31, 2020 (in thousands):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660"/>
              <w:spacing w:after="0"/>
              <w:rPr>
                <w:sz w:val="20"/>
                <w:szCs w:val="20"/>
                <w:color w:val="auto"/>
              </w:rPr>
            </w:pPr>
            <w:r>
              <w:rPr>
                <w:rFonts w:ascii="Arial" w:cs="Arial" w:eastAsia="Arial" w:hAnsi="Arial"/>
                <w:sz w:val="12"/>
                <w:szCs w:val="12"/>
                <w:b w:val="1"/>
                <w:bCs w:val="1"/>
                <w:color w:val="auto"/>
              </w:rPr>
              <w:t>September 30, 2021</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240"/>
              <w:spacing w:after="0" w:line="129" w:lineRule="exact"/>
              <w:rPr>
                <w:sz w:val="20"/>
                <w:szCs w:val="20"/>
                <w:color w:val="auto"/>
              </w:rPr>
            </w:pPr>
            <w:r>
              <w:rPr>
                <w:rFonts w:ascii="Arial" w:cs="Arial" w:eastAsia="Arial" w:hAnsi="Arial"/>
                <w:sz w:val="12"/>
                <w:szCs w:val="12"/>
                <w:b w:val="1"/>
                <w:bCs w:val="1"/>
                <w:color w:val="auto"/>
                <w:w w:val="89"/>
              </w:rPr>
              <w:t>Weighted Average</w:t>
            </w: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Amortization Period</w:t>
            </w:r>
          </w:p>
        </w:tc>
        <w:tc>
          <w:tcPr>
            <w:tcW w:w="60" w:type="dxa"/>
            <w:vAlign w:val="bottom"/>
          </w:tcPr>
          <w:p>
            <w:pPr>
              <w:spacing w:after="0"/>
              <w:rPr>
                <w:sz w:val="12"/>
                <w:szCs w:val="12"/>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8"/>
              </w:rPr>
              <w:t>Gross Intangible</w:t>
            </w:r>
          </w:p>
        </w:tc>
        <w:tc>
          <w:tcPr>
            <w:tcW w:w="120" w:type="dxa"/>
            <w:vAlign w:val="bottom"/>
          </w:tcPr>
          <w:p>
            <w:pPr>
              <w:spacing w:after="0"/>
              <w:rPr>
                <w:sz w:val="12"/>
                <w:szCs w:val="12"/>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Net Intangible</w:t>
            </w:r>
          </w:p>
        </w:tc>
      </w:t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8"/>
              </w:rPr>
              <w:t>(Years)</w:t>
            </w:r>
          </w:p>
        </w:tc>
        <w:tc>
          <w:tcPr>
            <w:tcW w:w="60" w:type="dxa"/>
            <w:vAlign w:val="bottom"/>
          </w:tcPr>
          <w:p>
            <w:pPr>
              <w:spacing w:after="0"/>
              <w:rPr>
                <w:sz w:val="13"/>
                <w:szCs w:val="13"/>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1"/>
              </w:rPr>
              <w:t>Assets</w:t>
            </w:r>
          </w:p>
        </w:tc>
        <w:tc>
          <w:tcPr>
            <w:tcW w:w="120" w:type="dxa"/>
            <w:vAlign w:val="bottom"/>
          </w:tcPr>
          <w:p>
            <w:pPr>
              <w:spacing w:after="0"/>
              <w:rPr>
                <w:sz w:val="13"/>
                <w:szCs w:val="13"/>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3"/>
                <w:szCs w:val="13"/>
                <w:color w:val="auto"/>
              </w:rPr>
            </w:pPr>
          </w:p>
        </w:tc>
        <w:tc>
          <w:tcPr>
            <w:tcW w:w="1140" w:type="dxa"/>
            <w:vAlign w:val="bottom"/>
            <w:gridSpan w:val="2"/>
          </w:tcPr>
          <w:p>
            <w:pPr>
              <w:ind w:left="300"/>
              <w:spacing w:after="0"/>
              <w:rPr>
                <w:sz w:val="20"/>
                <w:szCs w:val="20"/>
                <w:color w:val="auto"/>
              </w:rPr>
            </w:pPr>
            <w:r>
              <w:rPr>
                <w:rFonts w:ascii="Arial" w:cs="Arial" w:eastAsia="Arial" w:hAnsi="Arial"/>
                <w:sz w:val="12"/>
                <w:szCs w:val="12"/>
                <w:b w:val="1"/>
                <w:bCs w:val="1"/>
                <w:color w:val="auto"/>
              </w:rPr>
              <w:t>Assets</w:t>
            </w:r>
          </w:p>
        </w:tc>
      </w:tr>
      <w:tr>
        <w:trPr>
          <w:trHeight w:val="142"/>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Trade and domain names</w:t>
            </w:r>
          </w:p>
        </w:tc>
        <w:tc>
          <w:tcPr>
            <w:tcW w:w="12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w w:val="79"/>
              </w:rPr>
              <w:t>3,796</w:t>
            </w:r>
          </w:p>
        </w:tc>
        <w:tc>
          <w:tcPr>
            <w:tcW w:w="120" w:type="dxa"/>
            <w:vAlign w:val="bottom"/>
            <w:shd w:val="clear" w:color="auto" w:fill="CCEEFF"/>
          </w:tcPr>
          <w:p>
            <w:pPr>
              <w:spacing w:after="0"/>
              <w:rPr>
                <w:sz w:val="12"/>
                <w:szCs w:val="12"/>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Software technology</w:t>
            </w:r>
          </w:p>
        </w:tc>
        <w:tc>
          <w:tcPr>
            <w:tcW w:w="1380" w:type="dxa"/>
            <w:vAlign w:val="bottom"/>
            <w:gridSpan w:val="3"/>
          </w:tcPr>
          <w:p>
            <w:pPr>
              <w:jc w:val="right"/>
              <w:ind w:right="120"/>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(2,976)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760"/>
              <w:spacing w:after="0"/>
              <w:rPr>
                <w:sz w:val="20"/>
                <w:szCs w:val="20"/>
                <w:color w:val="auto"/>
              </w:rPr>
            </w:pPr>
            <w:r>
              <w:rPr>
                <w:rFonts w:ascii="Arial" w:cs="Arial" w:eastAsia="Arial" w:hAnsi="Arial"/>
                <w:sz w:val="12"/>
                <w:szCs w:val="12"/>
                <w:color w:val="auto"/>
              </w:rPr>
              <w:t>2,718</w:t>
            </w:r>
          </w:p>
        </w:tc>
      </w:tr>
      <w:tr>
        <w:trPr>
          <w:trHeight w:val="144"/>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Customer relationships</w:t>
            </w: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3.4</w:t>
            </w: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1,932</w:t>
            </w: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2"/>
                <w:szCs w:val="12"/>
                <w:color w:val="auto"/>
              </w:rPr>
              <w:t>1,932</w:t>
            </w:r>
          </w:p>
        </w:tc>
      </w:tr>
      <w:tr>
        <w:trPr>
          <w:trHeight w:val="142"/>
        </w:trPr>
        <w:tc>
          <w:tcPr>
            <w:tcW w:w="5880" w:type="dxa"/>
            <w:vAlign w:val="bottom"/>
          </w:tcPr>
          <w:p>
            <w:pPr>
              <w:spacing w:after="0"/>
              <w:rPr>
                <w:sz w:val="20"/>
                <w:szCs w:val="20"/>
                <w:color w:val="auto"/>
              </w:rPr>
            </w:pPr>
            <w:r>
              <w:rPr>
                <w:rFonts w:ascii="Arial" w:cs="Arial" w:eastAsia="Arial" w:hAnsi="Arial"/>
                <w:sz w:val="12"/>
                <w:szCs w:val="12"/>
                <w:color w:val="auto"/>
              </w:rPr>
              <w:t>Total intangible assets</w:t>
            </w:r>
          </w:p>
        </w:tc>
        <w:tc>
          <w:tcPr>
            <w:tcW w:w="1380" w:type="dxa"/>
            <w:vAlign w:val="bottom"/>
            <w:gridSpan w:val="3"/>
          </w:tcPr>
          <w:p>
            <w:pPr>
              <w:jc w:val="right"/>
              <w:ind w:right="120"/>
              <w:spacing w:after="0"/>
              <w:rPr>
                <w:sz w:val="20"/>
                <w:szCs w:val="20"/>
                <w:color w:val="auto"/>
              </w:rPr>
            </w:pPr>
            <w:r>
              <w:rPr>
                <w:rFonts w:ascii="Arial" w:cs="Arial" w:eastAsia="Arial" w:hAnsi="Arial"/>
                <w:sz w:val="12"/>
                <w:szCs w:val="12"/>
                <w:color w:val="auto"/>
              </w:rPr>
              <w:t>10.5</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15,339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(6,893)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gridSpan w:val="2"/>
          </w:tcPr>
          <w:p>
            <w:pPr>
              <w:ind w:left="760"/>
              <w:spacing w:after="0"/>
              <w:rPr>
                <w:sz w:val="20"/>
                <w:szCs w:val="20"/>
                <w:color w:val="auto"/>
              </w:rPr>
            </w:pPr>
            <w:r>
              <w:rPr>
                <w:rFonts w:ascii="Arial" w:cs="Arial" w:eastAsia="Arial" w:hAnsi="Arial"/>
                <w:sz w:val="12"/>
                <w:szCs w:val="12"/>
                <w:color w:val="auto"/>
              </w:rPr>
              <w:t>8,446</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64"/>
        </w:trPr>
        <w:tc>
          <w:tcPr>
            <w:tcW w:w="58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7"/>
          </w:tcPr>
          <w:p>
            <w:pPr>
              <w:ind w:left="60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29"/>
        </w:trPr>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right="360"/>
              <w:spacing w:after="0" w:line="129" w:lineRule="exact"/>
              <w:rPr>
                <w:sz w:val="20"/>
                <w:szCs w:val="20"/>
                <w:color w:val="auto"/>
              </w:rPr>
            </w:pPr>
            <w:r>
              <w:rPr>
                <w:rFonts w:ascii="Arial" w:cs="Arial" w:eastAsia="Arial" w:hAnsi="Arial"/>
                <w:sz w:val="12"/>
                <w:szCs w:val="12"/>
                <w:b w:val="1"/>
                <w:bCs w:val="1"/>
                <w:color w:val="auto"/>
                <w:w w:val="89"/>
              </w:rPr>
              <w:t>Weighted Average</w:t>
            </w: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880" w:type="dxa"/>
            <w:vAlign w:val="bottom"/>
          </w:tcPr>
          <w:p>
            <w:pPr>
              <w:spacing w:after="0"/>
              <w:rPr>
                <w:sz w:val="12"/>
                <w:szCs w:val="12"/>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2"/>
              </w:rPr>
              <w:t>Amortization Period</w:t>
            </w:r>
          </w:p>
        </w:tc>
        <w:tc>
          <w:tcPr>
            <w:tcW w:w="60" w:type="dxa"/>
            <w:vAlign w:val="bottom"/>
          </w:tcPr>
          <w:p>
            <w:pPr>
              <w:spacing w:after="0"/>
              <w:rPr>
                <w:sz w:val="12"/>
                <w:szCs w:val="12"/>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88"/>
              </w:rPr>
              <w:t>Gross Intangible</w:t>
            </w:r>
          </w:p>
        </w:tc>
        <w:tc>
          <w:tcPr>
            <w:tcW w:w="120" w:type="dxa"/>
            <w:vAlign w:val="bottom"/>
          </w:tcPr>
          <w:p>
            <w:pPr>
              <w:spacing w:after="0"/>
              <w:rPr>
                <w:sz w:val="12"/>
                <w:szCs w:val="12"/>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Net Intangible</w:t>
            </w:r>
          </w:p>
        </w:tc>
      </w:t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3"/>
              </w:rPr>
              <w:t>(Years)</w:t>
            </w:r>
          </w:p>
        </w:tc>
        <w:tc>
          <w:tcPr>
            <w:tcW w:w="60" w:type="dxa"/>
            <w:vAlign w:val="bottom"/>
          </w:tcPr>
          <w:p>
            <w:pPr>
              <w:spacing w:after="0"/>
              <w:rPr>
                <w:sz w:val="13"/>
                <w:szCs w:val="13"/>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81"/>
              </w:rPr>
              <w:t>Assets</w:t>
            </w:r>
          </w:p>
        </w:tc>
        <w:tc>
          <w:tcPr>
            <w:tcW w:w="12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3"/>
                <w:szCs w:val="13"/>
                <w:color w:val="auto"/>
              </w:rPr>
            </w:pPr>
          </w:p>
        </w:tc>
        <w:tc>
          <w:tcPr>
            <w:tcW w:w="1140" w:type="dxa"/>
            <w:vAlign w:val="bottom"/>
            <w:gridSpan w:val="2"/>
          </w:tcPr>
          <w:p>
            <w:pPr>
              <w:ind w:left="260"/>
              <w:spacing w:after="0"/>
              <w:rPr>
                <w:sz w:val="20"/>
                <w:szCs w:val="20"/>
                <w:color w:val="auto"/>
              </w:rPr>
            </w:pPr>
            <w:r>
              <w:rPr>
                <w:rFonts w:ascii="Arial" w:cs="Arial" w:eastAsia="Arial" w:hAnsi="Arial"/>
                <w:sz w:val="12"/>
                <w:szCs w:val="12"/>
                <w:b w:val="1"/>
                <w:bCs w:val="1"/>
                <w:color w:val="auto"/>
              </w:rPr>
              <w:t>Assets</w:t>
            </w:r>
          </w:p>
        </w:tc>
      </w:tr>
      <w:tr>
        <w:trPr>
          <w:trHeight w:val="142"/>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Trade and domain names</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7,255</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(3,556)</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w w:val="79"/>
              </w:rPr>
              <w:t>3,699</w:t>
            </w:r>
          </w:p>
        </w:tc>
        <w:tc>
          <w:tcPr>
            <w:tcW w:w="120" w:type="dxa"/>
            <w:vAlign w:val="bottom"/>
            <w:shd w:val="clear" w:color="auto" w:fill="CCEEFF"/>
          </w:tcPr>
          <w:p>
            <w:pPr>
              <w:spacing w:after="0"/>
              <w:rPr>
                <w:sz w:val="12"/>
                <w:szCs w:val="12"/>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Software technology</w:t>
            </w:r>
          </w:p>
        </w:tc>
        <w:tc>
          <w:tcPr>
            <w:tcW w:w="1380" w:type="dxa"/>
            <w:vAlign w:val="bottom"/>
            <w:gridSpan w:val="3"/>
          </w:tcPr>
          <w:p>
            <w:pPr>
              <w:jc w:val="right"/>
              <w:ind w:right="120"/>
              <w:spacing w:after="0"/>
              <w:rPr>
                <w:sz w:val="20"/>
                <w:szCs w:val="20"/>
                <w:color w:val="auto"/>
              </w:rPr>
            </w:pPr>
            <w:r>
              <w:rPr>
                <w:rFonts w:ascii="Arial" w:cs="Arial" w:eastAsia="Arial" w:hAnsi="Arial"/>
                <w:sz w:val="12"/>
                <w:szCs w:val="12"/>
                <w:color w:val="auto"/>
              </w:rPr>
              <w:t>9.4</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3,469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(2,663)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840"/>
              <w:spacing w:after="0"/>
              <w:rPr>
                <w:sz w:val="20"/>
                <w:szCs w:val="20"/>
                <w:color w:val="auto"/>
              </w:rPr>
            </w:pPr>
            <w:r>
              <w:rPr>
                <w:rFonts w:ascii="Arial" w:cs="Arial" w:eastAsia="Arial" w:hAnsi="Arial"/>
                <w:sz w:val="12"/>
                <w:szCs w:val="12"/>
                <w:color w:val="auto"/>
              </w:rPr>
              <w:t>806</w:t>
            </w:r>
          </w:p>
        </w:tc>
      </w:tr>
      <w:tr>
        <w:trPr>
          <w:trHeight w:val="18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intangible assets</w:t>
            </w: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13.2</w:t>
            </w:r>
          </w:p>
        </w:tc>
        <w:tc>
          <w:tcPr>
            <w:tcW w:w="1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10,724</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(6,219)</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2"/>
                <w:szCs w:val="12"/>
                <w:color w:val="auto"/>
              </w:rPr>
              <w:t>4,505</w:t>
            </w:r>
          </w:p>
        </w:tc>
      </w:tr>
    </w:tbl>
    <w:p>
      <w:pPr>
        <w:spacing w:after="0" w:line="13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Amortization expense for intangible assets was $0.2 million during each of the three months ended September 30, 2021 and 2020, and $0.7 millions during each of the nine months ended September 30, 2021 and 2020.</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estimated future amortization expense of intangible assets as of September 30, 2021 is as follows (in thousands):</w:t>
      </w:r>
    </w:p>
    <w:p>
      <w:pPr>
        <w:sectPr>
          <w:pgSz w:w="11900" w:h="16838" w:orient="portrait"/>
          <w:cols w:equalWidth="0" w:num="1">
            <w:col w:w="11300"/>
          </w:cols>
          <w:pgMar w:left="300" w:top="125" w:right="29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Remaining period in 2021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178040" cy="914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Year ended December 31, 2023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Year ended December 31, 2025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78040" cy="114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957" w:hanging="957"/>
        <w:spacing w:after="0"/>
        <w:tabs>
          <w:tab w:leader="none" w:pos="957" w:val="left"/>
        </w:tabs>
        <w:numPr>
          <w:ilvl w:val="0"/>
          <w:numId w:val="69"/>
        </w:numPr>
        <w:rPr>
          <w:rFonts w:ascii="Arial" w:cs="Arial" w:eastAsia="Arial" w:hAnsi="Arial"/>
          <w:sz w:val="8"/>
          <w:szCs w:val="8"/>
          <w:color w:val="auto"/>
        </w:rPr>
      </w:pPr>
      <w:r>
        <w:rPr>
          <w:rFonts w:ascii="Arial" w:cs="Arial" w:eastAsia="Arial" w:hAnsi="Arial"/>
          <w:sz w:val="8"/>
          <w:szCs w:val="8"/>
          <w:color w:val="auto"/>
        </w:rPr>
        <w:t>611</w:t>
      </w:r>
    </w:p>
    <w:p>
      <w:pPr>
        <w:spacing w:after="0" w:line="60" w:lineRule="exact"/>
        <w:rPr>
          <w:rFonts w:ascii="Arial" w:cs="Arial" w:eastAsia="Arial" w:hAnsi="Arial"/>
          <w:sz w:val="8"/>
          <w:szCs w:val="8"/>
          <w:color w:val="auto"/>
        </w:rPr>
      </w:pPr>
    </w:p>
    <w:p>
      <w:pPr>
        <w:ind w:left="857"/>
        <w:spacing w:after="0"/>
        <w:rPr>
          <w:rFonts w:ascii="Arial" w:cs="Arial" w:eastAsia="Arial" w:hAnsi="Arial"/>
          <w:sz w:val="8"/>
          <w:szCs w:val="8"/>
          <w:color w:val="auto"/>
        </w:rPr>
      </w:pPr>
      <w:r>
        <w:rPr>
          <w:rFonts w:ascii="Arial" w:cs="Arial" w:eastAsia="Arial" w:hAnsi="Arial"/>
          <w:sz w:val="10"/>
          <w:szCs w:val="10"/>
          <w:color w:val="auto"/>
        </w:rPr>
        <w:t>2,057</w:t>
      </w:r>
    </w:p>
    <w:p>
      <w:pPr>
        <w:spacing w:after="0" w:line="29" w:lineRule="exact"/>
        <w:rPr>
          <w:rFonts w:ascii="Arial" w:cs="Arial" w:eastAsia="Arial" w:hAnsi="Arial"/>
          <w:sz w:val="8"/>
          <w:szCs w:val="8"/>
          <w:color w:val="auto"/>
        </w:rPr>
      </w:pPr>
    </w:p>
    <w:p>
      <w:pPr>
        <w:ind w:left="857"/>
        <w:spacing w:after="0"/>
        <w:rPr>
          <w:rFonts w:ascii="Arial" w:cs="Arial" w:eastAsia="Arial" w:hAnsi="Arial"/>
          <w:sz w:val="8"/>
          <w:szCs w:val="8"/>
          <w:color w:val="auto"/>
        </w:rPr>
      </w:pPr>
      <w:r>
        <w:rPr>
          <w:rFonts w:ascii="Arial" w:cs="Arial" w:eastAsia="Arial" w:hAnsi="Arial"/>
          <w:sz w:val="10"/>
          <w:szCs w:val="10"/>
          <w:color w:val="auto"/>
        </w:rPr>
        <w:t>1,659</w:t>
      </w:r>
    </w:p>
    <w:p>
      <w:pPr>
        <w:spacing w:after="0" w:line="29" w:lineRule="exact"/>
        <w:rPr>
          <w:rFonts w:ascii="Arial" w:cs="Arial" w:eastAsia="Arial" w:hAnsi="Arial"/>
          <w:sz w:val="8"/>
          <w:szCs w:val="8"/>
          <w:color w:val="auto"/>
        </w:rPr>
      </w:pPr>
    </w:p>
    <w:p>
      <w:pPr>
        <w:ind w:left="857"/>
        <w:spacing w:after="0"/>
        <w:rPr>
          <w:rFonts w:ascii="Arial" w:cs="Arial" w:eastAsia="Arial" w:hAnsi="Arial"/>
          <w:sz w:val="8"/>
          <w:szCs w:val="8"/>
          <w:color w:val="auto"/>
        </w:rPr>
      </w:pPr>
      <w:r>
        <w:rPr>
          <w:rFonts w:ascii="Arial" w:cs="Arial" w:eastAsia="Arial" w:hAnsi="Arial"/>
          <w:sz w:val="10"/>
          <w:szCs w:val="10"/>
          <w:color w:val="auto"/>
        </w:rPr>
        <w:t>1,442</w:t>
      </w:r>
    </w:p>
    <w:p>
      <w:pPr>
        <w:spacing w:after="0" w:line="29" w:lineRule="exact"/>
        <w:rPr>
          <w:rFonts w:ascii="Arial" w:cs="Arial" w:eastAsia="Arial" w:hAnsi="Arial"/>
          <w:sz w:val="8"/>
          <w:szCs w:val="8"/>
          <w:color w:val="auto"/>
        </w:rPr>
      </w:pPr>
    </w:p>
    <w:p>
      <w:pPr>
        <w:ind w:left="857"/>
        <w:spacing w:after="0"/>
        <w:rPr>
          <w:rFonts w:ascii="Arial" w:cs="Arial" w:eastAsia="Arial" w:hAnsi="Arial"/>
          <w:sz w:val="8"/>
          <w:szCs w:val="8"/>
          <w:color w:val="auto"/>
        </w:rPr>
      </w:pPr>
      <w:r>
        <w:rPr>
          <w:rFonts w:ascii="Arial" w:cs="Arial" w:eastAsia="Arial" w:hAnsi="Arial"/>
          <w:sz w:val="10"/>
          <w:szCs w:val="10"/>
          <w:color w:val="auto"/>
        </w:rPr>
        <w:t>1,017</w:t>
      </w:r>
    </w:p>
    <w:p>
      <w:pPr>
        <w:spacing w:after="0" w:line="29" w:lineRule="exact"/>
        <w:rPr>
          <w:rFonts w:ascii="Arial" w:cs="Arial" w:eastAsia="Arial" w:hAnsi="Arial"/>
          <w:sz w:val="8"/>
          <w:szCs w:val="8"/>
          <w:color w:val="auto"/>
        </w:rPr>
      </w:pPr>
    </w:p>
    <w:p>
      <w:pPr>
        <w:ind w:left="857"/>
        <w:spacing w:after="0"/>
        <w:rPr>
          <w:rFonts w:ascii="Arial" w:cs="Arial" w:eastAsia="Arial" w:hAnsi="Arial"/>
          <w:sz w:val="8"/>
          <w:szCs w:val="8"/>
          <w:color w:val="auto"/>
        </w:rPr>
      </w:pPr>
      <w:r>
        <w:rPr>
          <w:rFonts w:ascii="Arial" w:cs="Arial" w:eastAsia="Arial" w:hAnsi="Arial"/>
          <w:sz w:val="10"/>
          <w:szCs w:val="10"/>
          <w:color w:val="auto"/>
        </w:rPr>
        <w:t>1,660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375"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375" cy="11430"/>
                    </a:xfrm>
                    <a:prstGeom prst="rect">
                      <a:avLst/>
                    </a:prstGeom>
                    <a:noFill/>
                  </pic:spPr>
                </pic:pic>
              </a:graphicData>
            </a:graphic>
          </wp:anchor>
        </w:drawing>
      </w:r>
    </w:p>
    <w:p>
      <w:pPr>
        <w:spacing w:after="0" w:line="18" w:lineRule="exact"/>
        <w:rPr>
          <w:sz w:val="20"/>
          <w:szCs w:val="20"/>
          <w:color w:val="auto"/>
        </w:rPr>
      </w:pPr>
    </w:p>
    <w:p>
      <w:pPr>
        <w:ind w:left="857" w:hanging="857"/>
        <w:spacing w:after="0"/>
        <w:tabs>
          <w:tab w:leader="none" w:pos="857" w:val="left"/>
        </w:tabs>
        <w:numPr>
          <w:ilvl w:val="0"/>
          <w:numId w:val="70"/>
        </w:numPr>
        <w:rPr>
          <w:rFonts w:ascii="Arial" w:cs="Arial" w:eastAsia="Arial" w:hAnsi="Arial"/>
          <w:sz w:val="10"/>
          <w:szCs w:val="10"/>
          <w:color w:val="auto"/>
        </w:rPr>
      </w:pPr>
      <w:r>
        <w:rPr>
          <w:rFonts w:ascii="Arial" w:cs="Arial" w:eastAsia="Arial" w:hAnsi="Arial"/>
          <w:sz w:val="10"/>
          <w:szCs w:val="10"/>
          <w:color w:val="auto"/>
        </w:rPr>
        <w:t>8,446</w:t>
      </w:r>
    </w:p>
    <w:p>
      <w:pPr>
        <w:spacing w:after="0" w:line="200" w:lineRule="exact"/>
        <w:rPr>
          <w:sz w:val="20"/>
          <w:szCs w:val="20"/>
          <w:color w:val="auto"/>
        </w:rPr>
      </w:pPr>
    </w:p>
    <w:p>
      <w:pPr>
        <w:sectPr>
          <w:pgSz w:w="11900" w:h="16838" w:orient="portrait"/>
          <w:cols w:equalWidth="0" w:num="2">
            <w:col w:w="9343" w:space="720"/>
            <w:col w:w="1237"/>
          </w:cols>
          <w:pgMar w:left="300" w:top="125" w:right="29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00" w:type="dxa"/>
            <w:vAlign w:val="bottom"/>
          </w:tcPr>
          <w:p>
            <w:pPr>
              <w:spacing w:after="0"/>
              <w:rPr>
                <w:sz w:val="20"/>
                <w:szCs w:val="20"/>
                <w:color w:val="auto"/>
              </w:rPr>
            </w:pPr>
            <w:r>
              <w:rPr>
                <w:rFonts w:ascii="Arial" w:cs="Arial" w:eastAsia="Arial" w:hAnsi="Arial"/>
                <w:sz w:val="12"/>
                <w:szCs w:val="12"/>
                <w:b w:val="1"/>
                <w:bCs w:val="1"/>
                <w:color w:val="auto"/>
              </w:rPr>
              <w:t>9. Accounts Payable and Accrued Expenses</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ind w:left="320"/>
              <w:spacing w:after="0"/>
              <w:rPr>
                <w:sz w:val="20"/>
                <w:szCs w:val="20"/>
                <w:color w:val="auto"/>
              </w:rPr>
            </w:pPr>
            <w:r>
              <w:rPr>
                <w:rFonts w:ascii="Arial" w:cs="Arial" w:eastAsia="Arial" w:hAnsi="Arial"/>
                <w:sz w:val="12"/>
                <w:szCs w:val="12"/>
                <w:color w:val="auto"/>
              </w:rPr>
              <w:t>Accounts payable and accrued liabilities as of September 30, 2021 and December 31, 2020 consisted of the following (in thousands):</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2"/>
                <w:szCs w:val="12"/>
                <w:b w:val="1"/>
                <w:bCs w:val="1"/>
                <w:color w:val="auto"/>
              </w:rPr>
              <w:t>September 30, 2021</w:t>
            </w:r>
          </w:p>
        </w:tc>
        <w:tc>
          <w:tcPr>
            <w:tcW w:w="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8"/>
              </w:rPr>
              <w:t>December 31, 2020</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6,362</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2,244</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Accrued employee expenses</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6,586</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accrued liabilities</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3,821</w:t>
            </w:r>
          </w:p>
        </w:tc>
      </w:tr>
      <w:tr>
        <w:trPr>
          <w:trHeight w:val="20"/>
        </w:trPr>
        <w:tc>
          <w:tcPr>
            <w:tcW w:w="87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23,881</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12,651</w:t>
            </w:r>
          </w:p>
        </w:tc>
      </w:tr>
      <w:tr>
        <w:trPr>
          <w:trHeight w:val="20"/>
        </w:trPr>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Warrant Liability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At September 30, 2021, there were 12,499,933 Public Warrants outstanding and 7,000,000 Private Placement Warrants outstanding.</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172" w:name="page173"/>
    <w:bookmarkEnd w:id="17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ind w:left="320"/>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11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10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may exercise its redemption right even if it is unable to register or qualify the underlying securities for sale under all applicable state securities laws.</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1"/>
          <w:szCs w:val="11"/>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 xml:space="preserve">The Company concluded the Public Warrants and Private Placement Warrants, or the Warrants, meet the definition of a derivative under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(as described in Note 2) and are recorded as liabilities. Upon the Closing, the fair value of the Warrants was recorded on the balance sheet. The fair value of the Warrants was remeasured as of September 30, 2021, resulting in a non-cash change in fair Warrant liabilities of $45.8 million and $83.6 million in the condensed consolidated statements of income for the three and nine months ended September 30, 2021, respectively.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73" w:name="page174"/>
    <w:bookmarkEnd w:id="17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Equity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A Common Stock</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Voting Rights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Dividend Rights</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Rights upon Liquidation, Dissolution and Winding-Up</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Preemptive or Other Rights</w:t>
      </w:r>
    </w:p>
    <w:p>
      <w:pPr>
        <w:spacing w:after="0" w:line="150"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V Common Stock</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Voting Rights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Dividend Rights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holders of the Class V Common Stock will not participate in any dividends declared by the Company’s board of directors.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74" w:name="page175"/>
    <w:bookmarkEnd w:id="17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Rights upon Liquidation, Dissolution and Winding-Up</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the event of any voluntary or involuntary liquidation, dissolution or winding up of our affairs, the holders of Class V Common Stock are not entitled to receive any of the Company’s assets.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Preemptive or Other Rights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holders of shares of Class V Common Stock do not have preemptive, subscription, redemption or conversion rights. There will be no redemption or sinking fund provisions applicable to the Class V Common Stock.</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Issuance and Retirement of Class V Common Stock</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Stock</w:t>
      </w:r>
    </w:p>
    <w:p>
      <w:pPr>
        <w:spacing w:after="0" w:line="150"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2021, there were no shares of preferred stock issued or outstanding.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Noncontrolling Interests</w:t>
      </w:r>
    </w:p>
    <w:p>
      <w:pPr>
        <w:spacing w:after="0" w:line="15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1"/>
          <w:szCs w:val="11"/>
          <w:color w:val="auto"/>
        </w:rPr>
        <w:t>The noncontrolling interest represents the Units held by holders other than the Company. As of September 30, 2021, the noncontrolling interests owned 56.6%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condensed consolidated statements of income for the nine months ended September 30, 2021.</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Stock-based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WM Holding Company, LLC Equity Incentive Plan</w:t>
      </w:r>
    </w:p>
    <w:p>
      <w:pPr>
        <w:spacing w:after="0" w:line="150"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 xml:space="preserve">The Company has accounted for the issuance of Class A-3 and Class B Units issued under WM Holding Company, LLC’s Equity Incentive Plan in accordance with ASC 718 - </w:t>
      </w:r>
      <w:r>
        <w:rPr>
          <w:rFonts w:ascii="Arial" w:cs="Arial" w:eastAsia="Arial" w:hAnsi="Arial"/>
          <w:sz w:val="11"/>
          <w:szCs w:val="11"/>
          <w:i w:val="1"/>
          <w:iCs w:val="1"/>
          <w:color w:val="auto"/>
        </w:rPr>
        <w:t>Stock Based Compensation</w:t>
      </w:r>
      <w:r>
        <w:rPr>
          <w:rFonts w:ascii="Arial" w:cs="Arial" w:eastAsia="Arial" w:hAnsi="Arial"/>
          <w:sz w:val="11"/>
          <w:szCs w:val="11"/>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75" w:name="page176"/>
    <w:bookmarkEnd w:id="175"/>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bl>
      <w:tblPr>
        <w:tblLayout w:type="fixed"/>
        <w:tblInd w:w="0" w:type="dxa"/>
        <w:tblCellMar>
          <w:top w:w="0" w:type="dxa"/>
          <w:left w:w="0" w:type="dxa"/>
          <w:bottom w:w="0" w:type="dxa"/>
          <w:right w:w="0" w:type="dxa"/>
        </w:tblCellMar>
      </w:tblPr>
      <w:tr>
        <w:trPr>
          <w:trHeight w:val="120"/>
        </w:trPr>
        <w:tc>
          <w:tcPr>
            <w:tcW w:w="660" w:type="dxa"/>
            <w:vAlign w:val="bottom"/>
            <w:tcBorders>
              <w:top w:val="single" w:sz="8" w:color="0000EE"/>
            </w:tcBorders>
          </w:tcPr>
          <w:p>
            <w:pPr>
              <w:spacing w:after="0"/>
              <w:rPr>
                <w:sz w:val="10"/>
                <w:szCs w:val="10"/>
                <w:color w:val="auto"/>
              </w:rPr>
            </w:pPr>
          </w:p>
        </w:tc>
        <w:tc>
          <w:tcPr>
            <w:tcW w:w="9400" w:type="dxa"/>
            <w:vAlign w:val="bottom"/>
          </w:tcPr>
          <w:p>
            <w:pPr>
              <w:jc w:val="center"/>
              <w:ind w:left="500"/>
              <w:spacing w:after="0" w:line="120" w:lineRule="exact"/>
              <w:rPr>
                <w:sz w:val="20"/>
                <w:szCs w:val="20"/>
                <w:color w:val="auto"/>
              </w:rPr>
            </w:pPr>
            <w:r>
              <w:rPr>
                <w:rFonts w:ascii="Arial" w:cs="Arial" w:eastAsia="Arial" w:hAnsi="Arial"/>
                <w:sz w:val="12"/>
                <w:szCs w:val="12"/>
                <w:b w:val="1"/>
                <w:bCs w:val="1"/>
                <w:color w:val="auto"/>
              </w:rPr>
              <w:t>WM TECHNOLOGY, INC. AND SUBSIDIARIES</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660" w:type="dxa"/>
            <w:vAlign w:val="bottom"/>
          </w:tcPr>
          <w:p>
            <w:pPr>
              <w:spacing w:after="0"/>
              <w:rPr>
                <w:sz w:val="12"/>
                <w:szCs w:val="12"/>
                <w:color w:val="auto"/>
              </w:rPr>
            </w:pPr>
          </w:p>
        </w:tc>
        <w:tc>
          <w:tcPr>
            <w:tcW w:w="9400" w:type="dxa"/>
            <w:vAlign w:val="bottom"/>
          </w:tcPr>
          <w:p>
            <w:pPr>
              <w:jc w:val="center"/>
              <w:ind w:left="500"/>
              <w:spacing w:after="0"/>
              <w:rPr>
                <w:sz w:val="20"/>
                <w:szCs w:val="20"/>
                <w:color w:val="auto"/>
              </w:rPr>
            </w:pPr>
            <w:r>
              <w:rPr>
                <w:rFonts w:ascii="Arial" w:cs="Arial" w:eastAsia="Arial" w:hAnsi="Arial"/>
                <w:sz w:val="12"/>
                <w:szCs w:val="12"/>
                <w:b w:val="1"/>
                <w:bCs w:val="1"/>
                <w:color w:val="auto"/>
                <w:w w:val="99"/>
              </w:rPr>
              <w:t>NOTES TO CONDENSED CONSOLIDATED FINANCIAL STATEMENTS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60" w:type="dxa"/>
            <w:vAlign w:val="bottom"/>
          </w:tcPr>
          <w:p>
            <w:pPr>
              <w:spacing w:after="0"/>
              <w:rPr>
                <w:sz w:val="13"/>
                <w:szCs w:val="13"/>
                <w:color w:val="auto"/>
              </w:rPr>
            </w:pPr>
          </w:p>
        </w:tc>
        <w:tc>
          <w:tcPr>
            <w:tcW w:w="9400" w:type="dxa"/>
            <w:vAlign w:val="bottom"/>
          </w:tcPr>
          <w:p>
            <w:pPr>
              <w:jc w:val="center"/>
              <w:ind w:left="520"/>
              <w:spacing w:after="0"/>
              <w:rPr>
                <w:sz w:val="20"/>
                <w:szCs w:val="20"/>
                <w:color w:val="auto"/>
              </w:rPr>
            </w:pPr>
            <w:r>
              <w:rPr>
                <w:rFonts w:ascii="Arial" w:cs="Arial" w:eastAsia="Arial" w:hAnsi="Arial"/>
                <w:sz w:val="12"/>
                <w:szCs w:val="12"/>
                <w:b w:val="1"/>
                <w:bCs w:val="1"/>
                <w:color w:val="auto"/>
                <w:w w:val="92"/>
              </w:rPr>
              <w:t>(Unaudited)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5"/>
        </w:trPr>
        <w:tc>
          <w:tcPr>
            <w:tcW w:w="10060" w:type="dxa"/>
            <w:vAlign w:val="bottom"/>
            <w:gridSpan w:val="2"/>
          </w:tcPr>
          <w:p>
            <w:pPr>
              <w:ind w:left="320"/>
              <w:spacing w:after="0"/>
              <w:rPr>
                <w:sz w:val="20"/>
                <w:szCs w:val="20"/>
                <w:color w:val="auto"/>
              </w:rPr>
            </w:pPr>
            <w:r>
              <w:rPr>
                <w:rFonts w:ascii="Arial" w:cs="Arial" w:eastAsia="Arial" w:hAnsi="Arial"/>
                <w:sz w:val="12"/>
                <w:szCs w:val="12"/>
                <w:color w:val="auto"/>
              </w:rPr>
              <w:t>A summary of the Class P Unit activity for the nine months ended September 30, 2021 is as follows: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6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Number of Units</w:t>
            </w:r>
          </w:p>
        </w:tc>
      </w:tr>
      <w:tr>
        <w:trPr>
          <w:trHeight w:val="142"/>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Class A-3 and Class B Units,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274,816</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Repurchases</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(8,279)</w:t>
            </w:r>
          </w:p>
        </w:tc>
      </w:tr>
      <w:tr>
        <w:trPr>
          <w:trHeight w:val="144"/>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Cancellations</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(4,288)</w:t>
            </w:r>
          </w:p>
        </w:tc>
      </w:tr>
      <w:tr>
        <w:trPr>
          <w:trHeight w:val="142"/>
        </w:trPr>
        <w:tc>
          <w:tcPr>
            <w:tcW w:w="1006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Outstanding Class A-3 and Class B Units, June 15, 2021 (Pre-Business Combination)</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262,249</w:t>
            </w:r>
          </w:p>
        </w:tc>
        <w:tc>
          <w:tcPr>
            <w:tcW w:w="120" w:type="dxa"/>
            <w:vAlign w:val="bottom"/>
            <w:tcBorders>
              <w:top w:val="single" w:sz="8" w:color="CCEEFF"/>
            </w:tcBorders>
          </w:tcPr>
          <w:p>
            <w:pPr>
              <w:spacing w:after="0"/>
              <w:rPr>
                <w:sz w:val="12"/>
                <w:szCs w:val="12"/>
                <w:color w:val="auto"/>
              </w:rPr>
            </w:pPr>
          </w:p>
        </w:tc>
      </w:tr>
      <w:tr>
        <w:trPr>
          <w:trHeight w:val="144"/>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Class A-3 Units outstanding exchanged for Class A Units in connection with the Business Combination</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(53,333)</w:t>
            </w: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Recapitalization in connection with the Business Combination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25,687,126</w:t>
            </w:r>
          </w:p>
        </w:tc>
        <w:tc>
          <w:tcPr>
            <w:tcW w:w="120" w:type="dxa"/>
            <w:vAlign w:val="bottom"/>
          </w:tcPr>
          <w:p>
            <w:pPr>
              <w:spacing w:after="0"/>
              <w:rPr>
                <w:sz w:val="12"/>
                <w:szCs w:val="12"/>
                <w:color w:val="auto"/>
              </w:rPr>
            </w:pPr>
          </w:p>
        </w:tc>
      </w:tr>
      <w:tr>
        <w:trPr>
          <w:trHeight w:val="142"/>
        </w:trPr>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Class P Units, June 16, 2021</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25,896,042</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gridSpan w:val="2"/>
          </w:tcPr>
          <w:p>
            <w:pPr>
              <w:spacing w:after="0"/>
              <w:rPr>
                <w:sz w:val="20"/>
                <w:szCs w:val="20"/>
                <w:color w:val="auto"/>
              </w:rPr>
            </w:pPr>
            <w:r>
              <w:rPr>
                <w:rFonts w:ascii="Arial" w:cs="Arial" w:eastAsia="Arial" w:hAnsi="Arial"/>
                <w:sz w:val="12"/>
                <w:szCs w:val="12"/>
                <w:color w:val="auto"/>
              </w:rPr>
              <w:t>Cancellations</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(216,920)</w:t>
            </w:r>
          </w:p>
        </w:tc>
      </w:tr>
      <w:tr>
        <w:trPr>
          <w:trHeight w:val="182"/>
        </w:trPr>
        <w:tc>
          <w:tcPr>
            <w:tcW w:w="10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Outstanding Class P Units,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25,679,122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10060" w:type="dxa"/>
            <w:vAlign w:val="bottom"/>
            <w:gridSpan w:val="2"/>
          </w:tcPr>
          <w:p>
            <w:pPr>
              <w:spacing w:after="0" w:line="120" w:lineRule="exact"/>
              <w:rPr>
                <w:sz w:val="20"/>
                <w:szCs w:val="20"/>
                <w:color w:val="auto"/>
              </w:rPr>
            </w:pPr>
            <w:r>
              <w:rPr>
                <w:rFonts w:ascii="Arial" w:cs="Arial" w:eastAsia="Arial" w:hAnsi="Arial"/>
                <w:sz w:val="12"/>
                <w:szCs w:val="12"/>
                <w:color w:val="auto"/>
              </w:rPr>
              <w:t>Vested, September 30, 2021</w:t>
            </w:r>
          </w:p>
        </w:tc>
        <w:tc>
          <w:tcPr>
            <w:tcW w:w="11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23,197,454</w:t>
            </w:r>
          </w:p>
        </w:tc>
        <w:tc>
          <w:tcPr>
            <w:tcW w:w="120" w:type="dxa"/>
            <w:vAlign w:val="bottom"/>
          </w:tcPr>
          <w:p>
            <w:pPr>
              <w:spacing w:after="0"/>
              <w:rPr>
                <w:sz w:val="10"/>
                <w:szCs w:val="10"/>
                <w:color w:val="auto"/>
              </w:rPr>
            </w:pPr>
          </w:p>
        </w:tc>
      </w:tr>
      <w:tr>
        <w:trPr>
          <w:trHeight w:val="20"/>
        </w:trPr>
        <w:tc>
          <w:tcPr>
            <w:tcW w:w="6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1"/>
          <w:szCs w:val="11"/>
          <w:color w:val="auto"/>
        </w:rPr>
        <w:t>As of September 30, 2021, unrecognized stock-based compensation expense for non-vested Class P Units was $5.0 million, which is expected to be recognized over a weighted-average period of 2.2 years. For the three and nine months ended September 30, 2021, the Company recorded stock-based compensation expense for the Class P Units of $0.7 million and $20.1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nine months ended September 30, 2021 also included a one-time incremental expense of $4.1 million recognized during the second quarter related to an award modification as a result of an advisory agreement entered into with a former executive.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WM Technology, Inc. Equity Incentive Plan</w:t>
      </w:r>
    </w:p>
    <w:p>
      <w:pPr>
        <w:spacing w:after="0" w:line="15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2021, 19,209,986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2021, 15,108,441 shares of Class A Common Stock are available for future issuance.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76" w:name="page177"/>
    <w:bookmarkEnd w:id="176"/>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ind w:left="320"/>
              <w:spacing w:after="0"/>
              <w:rPr>
                <w:sz w:val="20"/>
                <w:szCs w:val="20"/>
                <w:color w:val="auto"/>
              </w:rPr>
            </w:pPr>
            <w:r>
              <w:rPr>
                <w:rFonts w:ascii="Arial" w:cs="Arial" w:eastAsia="Arial" w:hAnsi="Arial"/>
                <w:sz w:val="12"/>
                <w:szCs w:val="12"/>
                <w:color w:val="auto"/>
              </w:rPr>
              <w:t>A summary of the restricted stock unit (“RSU”) activity for the nine months ended September 30, 2021 is as follows: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8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Weighted-average</w:t>
            </w:r>
          </w:p>
        </w:tc>
      </w:tr>
      <w:tr>
        <w:trPr>
          <w:trHeight w:val="144"/>
        </w:trPr>
        <w:tc>
          <w:tcPr>
            <w:tcW w:w="8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Grant Date</w:t>
            </w:r>
          </w:p>
        </w:tc>
      </w:tr>
      <w:tr>
        <w:trPr>
          <w:trHeight w:val="157"/>
        </w:trPr>
        <w:tc>
          <w:tcPr>
            <w:tcW w:w="8700" w:type="dxa"/>
            <w:vAlign w:val="bottom"/>
          </w:tcPr>
          <w:p>
            <w:pPr>
              <w:spacing w:after="0"/>
              <w:rPr>
                <w:sz w:val="13"/>
                <w:szCs w:val="13"/>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Number of RSUs</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Fair Value</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Non-vested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Granted</w:t>
            </w:r>
          </w:p>
        </w:tc>
        <w:tc>
          <w:tcPr>
            <w:tcW w:w="1140" w:type="dxa"/>
            <w:vAlign w:val="bottom"/>
          </w:tcPr>
          <w:p>
            <w:pPr>
              <w:jc w:val="right"/>
              <w:spacing w:after="0"/>
              <w:rPr>
                <w:sz w:val="20"/>
                <w:szCs w:val="20"/>
                <w:color w:val="auto"/>
              </w:rPr>
            </w:pPr>
            <w:r>
              <w:rPr>
                <w:rFonts w:ascii="Arial" w:cs="Arial" w:eastAsia="Arial" w:hAnsi="Arial"/>
                <w:sz w:val="12"/>
                <w:szCs w:val="12"/>
                <w:color w:val="auto"/>
              </w:rPr>
              <w:t>4,112,855</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13.66</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(242,600)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13.70</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Forfeited</w:t>
            </w:r>
          </w:p>
        </w:tc>
        <w:tc>
          <w:tcPr>
            <w:tcW w:w="1360" w:type="dxa"/>
            <w:vAlign w:val="bottom"/>
            <w:gridSpan w:val="2"/>
          </w:tcPr>
          <w:p>
            <w:pPr>
              <w:jc w:val="right"/>
              <w:ind w:right="180"/>
              <w:spacing w:after="0"/>
              <w:rPr>
                <w:sz w:val="20"/>
                <w:szCs w:val="20"/>
                <w:color w:val="auto"/>
              </w:rPr>
            </w:pPr>
            <w:r>
              <w:rPr>
                <w:rFonts w:ascii="Arial" w:cs="Arial" w:eastAsia="Arial" w:hAnsi="Arial"/>
                <w:sz w:val="12"/>
                <w:szCs w:val="12"/>
                <w:color w:val="auto"/>
              </w:rPr>
              <w:t>(11,310)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13.70</w:t>
            </w:r>
          </w:p>
        </w:tc>
      </w:tr>
      <w:tr>
        <w:trPr>
          <w:trHeight w:val="182"/>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Non-vested at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3,858,945</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13.66</w:t>
            </w:r>
          </w:p>
        </w:tc>
      </w:tr>
    </w:tbl>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of September 30, 2021, unrecognized stock-based compensation expense for non-vested RSUs was $51.9 million, which is expected to be recognized over a weighted-average period of 3.8 years. For the three and nine months ended September 30, 2021, the Company recorded stock-based compensation expense for the RSUs of $3.5 million.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 recorded stock-based compensation cost related to the Class P Units and RSUs in the following expense categories on the accompanying condensed consolidated statements of income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00" w:type="dxa"/>
            <w:vAlign w:val="bottom"/>
          </w:tcPr>
          <w:p>
            <w:pPr>
              <w:spacing w:after="0"/>
              <w:rPr>
                <w:sz w:val="12"/>
                <w:szCs w:val="12"/>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Three Months Ended</w:t>
            </w:r>
          </w:p>
        </w:tc>
        <w:tc>
          <w:tcPr>
            <w:tcW w:w="12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Nine Months Ended</w:t>
            </w:r>
          </w:p>
        </w:tc>
      </w:tr>
      <w:tr>
        <w:trPr>
          <w:trHeight w:val="157"/>
        </w:trPr>
        <w:tc>
          <w:tcPr>
            <w:tcW w:w="8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September 30, 2021</w:t>
            </w: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7"/>
              </w:rPr>
              <w:t>September 30, 2021</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4,515</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Product development</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1,865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3,859</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15,251</w:t>
            </w:r>
          </w:p>
        </w:tc>
      </w:tr>
      <w:tr>
        <w:trPr>
          <w:trHeight w:val="20"/>
        </w:trPr>
        <w:tc>
          <w:tcPr>
            <w:tcW w:w="87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Total stock-based compensation expense</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4,192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23,625</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Amount capitalized to software development</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695</w:t>
            </w:r>
          </w:p>
        </w:tc>
      </w:tr>
      <w:tr>
        <w:trPr>
          <w:trHeight w:val="20"/>
        </w:trPr>
        <w:tc>
          <w:tcPr>
            <w:tcW w:w="87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Total stock-based compensation cost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4,887</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24,320</w:t>
            </w:r>
          </w:p>
        </w:tc>
      </w:tr>
      <w:tr>
        <w:trPr>
          <w:trHeight w:val="20"/>
        </w:trPr>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Earnings Per Share</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Basic income (loss) per share of Class A Common Stock is computed by dividing net earnings (loss) attributable to the Company by the weighted-average number of shares of Class A Common Stock outstanding during the period. Diluted income (loss) per share of Class A Common Stock is computed by dividing net income (loss) attributable to the Company, adjusted for the assumed exchange of all potentially dilutive securities, by the weighted-average number of shares of Class A Common Stock outstanding adjusted to give effect to potentially dilutive shares.</w:t>
      </w:r>
    </w:p>
    <w:p>
      <w:pPr>
        <w:spacing w:after="0" w:line="12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 The basic and diluted income (loss) per share for the nine months ended September 30, 2021 represent the period from June 16, 2021 (Closing Date) to September 30, 2021.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77" w:name="page178"/>
    <w:bookmarkEnd w:id="177"/>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jc w:val="center"/>
        <w:spacing w:after="0"/>
        <w:rPr>
          <w:sz w:val="20"/>
          <w:szCs w:val="20"/>
          <w:color w:val="auto"/>
        </w:rPr>
      </w:pPr>
      <w:r>
        <w:rPr>
          <w:rFonts w:ascii="Arial" w:cs="Arial" w:eastAsia="Arial" w:hAnsi="Arial"/>
          <w:sz w:val="12"/>
          <w:szCs w:val="12"/>
          <w:b w:val="1"/>
          <w:bCs w:val="1"/>
          <w:color w:val="auto"/>
        </w:rPr>
        <w:t>WM TECHNOLOGY,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8"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computation of income (loss) per share attributable to WM Technology, Inc. and weighted-average shares of the Company’s Class A Common Stock outstanding are as follows for the three months ended September 30, 2021 and for period from June 16, 2021 (Closing Date) to September 30, 2021 (amounts in thousands, except for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00" w:type="dxa"/>
            <w:vAlign w:val="bottom"/>
          </w:tcPr>
          <w:p>
            <w:pPr>
              <w:spacing w:after="0"/>
              <w:rPr>
                <w:sz w:val="12"/>
                <w:szCs w:val="12"/>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Three Months Ended</w:t>
            </w:r>
          </w:p>
        </w:tc>
        <w:tc>
          <w:tcPr>
            <w:tcW w:w="12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Nine Months Ended</w:t>
            </w:r>
          </w:p>
        </w:tc>
      </w:tr>
      <w:tr>
        <w:trPr>
          <w:trHeight w:val="157"/>
        </w:trPr>
        <w:tc>
          <w:tcPr>
            <w:tcW w:w="8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September 30, 2021</w:t>
            </w:r>
          </w:p>
        </w:tc>
        <w:tc>
          <w:tcPr>
            <w:tcW w:w="6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7"/>
              </w:rPr>
              <w:t>September 30, 2021</w:t>
            </w:r>
          </w:p>
        </w:tc>
      </w:tr>
      <w:tr>
        <w:trPr>
          <w:trHeight w:val="142"/>
        </w:trPr>
        <w:tc>
          <w:tcPr>
            <w:tcW w:w="8700" w:type="dxa"/>
            <w:vAlign w:val="bottom"/>
          </w:tcPr>
          <w:p>
            <w:pPr>
              <w:spacing w:after="0"/>
              <w:rPr>
                <w:sz w:val="20"/>
                <w:szCs w:val="20"/>
                <w:color w:val="auto"/>
              </w:rPr>
            </w:pPr>
            <w:r>
              <w:rPr>
                <w:rFonts w:ascii="Arial" w:cs="Arial" w:eastAsia="Arial" w:hAnsi="Arial"/>
                <w:sz w:val="12"/>
                <w:szCs w:val="12"/>
                <w:b w:val="1"/>
                <w:bCs w:val="1"/>
                <w:color w:val="auto"/>
              </w:rPr>
              <w:t>Numerator:</w:t>
            </w:r>
          </w:p>
        </w:tc>
        <w:tc>
          <w:tcPr>
            <w:tcW w:w="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73,773</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Less: net income attributable to WMH LLC prior to the Business Combination</w:t>
            </w:r>
          </w:p>
        </w:tc>
        <w:tc>
          <w:tcPr>
            <w:tcW w:w="60" w:type="dxa"/>
            <w:vAlign w:val="bottom"/>
          </w:tcPr>
          <w:p>
            <w:pPr>
              <w:spacing w:after="0"/>
              <w:rPr>
                <w:sz w:val="12"/>
                <w:szCs w:val="12"/>
                <w:color w:val="auto"/>
              </w:rPr>
            </w:pPr>
          </w:p>
        </w:tc>
        <w:tc>
          <w:tcPr>
            <w:tcW w:w="130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15,078</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Less: net income attributable to noncontrolling interests after the Business Combination</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28,370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33,597</w:t>
            </w:r>
          </w:p>
        </w:tc>
      </w:tr>
      <w:tr>
        <w:trPr>
          <w:trHeight w:val="20"/>
        </w:trPr>
        <w:tc>
          <w:tcPr>
            <w:tcW w:w="87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Net income attributable to WM Technology, Inc. - Basic</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20,835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25,098</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Effect of dilutive securities:</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Less: fair value change of Public and Private Placement Warrants, net of amounts attributable to noncontrolling interests</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19,618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35,679</w:t>
            </w:r>
          </w:p>
        </w:tc>
      </w:tr>
      <w:tr>
        <w:trPr>
          <w:trHeight w:val="182"/>
        </w:trPr>
        <w:tc>
          <w:tcPr>
            <w:tcW w:w="8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 income (loss) attributable to WM Technology, Inc. - Diluted</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1,217</w:t>
            </w: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(10,581)</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8700" w:type="dxa"/>
            <w:vAlign w:val="bottom"/>
          </w:tcPr>
          <w:p>
            <w:pPr>
              <w:spacing w:after="0" w:line="120" w:lineRule="exact"/>
              <w:rPr>
                <w:sz w:val="20"/>
                <w:szCs w:val="20"/>
                <w:color w:val="auto"/>
              </w:rPr>
            </w:pPr>
            <w:r>
              <w:rPr>
                <w:rFonts w:ascii="Arial" w:cs="Arial" w:eastAsia="Arial" w:hAnsi="Arial"/>
                <w:sz w:val="12"/>
                <w:szCs w:val="12"/>
                <w:b w:val="1"/>
                <w:bCs w:val="1"/>
                <w:color w:val="auto"/>
              </w:rPr>
              <w:t>Denominator:</w:t>
            </w: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Class A Common Stock outstanding - Basic</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64,216,732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64,149,699</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Weighted average effect of dilutive securities:</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Public Warrants</w:t>
            </w:r>
            <w:r>
              <w:rPr>
                <w:rFonts w:ascii="Arial" w:cs="Arial" w:eastAsia="Arial" w:hAnsi="Arial"/>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2,558,783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3,718,232</w:t>
            </w:r>
          </w:p>
        </w:tc>
      </w:tr>
      <w:tr>
        <w:trPr>
          <w:trHeight w:val="144"/>
        </w:trPr>
        <w:tc>
          <w:tcPr>
            <w:tcW w:w="8700" w:type="dxa"/>
            <w:vAlign w:val="bottom"/>
          </w:tcPr>
          <w:p>
            <w:pPr>
              <w:spacing w:after="0" w:line="144" w:lineRule="exact"/>
              <w:rPr>
                <w:sz w:val="20"/>
                <w:szCs w:val="20"/>
                <w:color w:val="auto"/>
              </w:rPr>
            </w:pPr>
            <w:r>
              <w:rPr>
                <w:rFonts w:ascii="Arial" w:cs="Arial" w:eastAsia="Arial" w:hAnsi="Arial"/>
                <w:sz w:val="10"/>
                <w:szCs w:val="10"/>
                <w:color w:val="auto"/>
              </w:rPr>
              <w:t>Private Placement Warrants</w:t>
            </w:r>
            <w:r>
              <w:rPr>
                <w:rFonts w:ascii="Arial" w:cs="Arial" w:eastAsia="Arial" w:hAnsi="Arial"/>
                <w:sz w:val="16"/>
                <w:szCs w:val="16"/>
                <w:color w:val="auto"/>
                <w:vertAlign w:val="superscript"/>
              </w:rPr>
              <w:t>1</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1,432,918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2,082,210</w:t>
            </w:r>
          </w:p>
        </w:tc>
      </w:tr>
      <w:tr>
        <w:trPr>
          <w:trHeight w:val="144"/>
        </w:trPr>
        <w:tc>
          <w:tcPr>
            <w:tcW w:w="870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Restricted stock units</w:t>
            </w:r>
            <w:r>
              <w:rPr>
                <w:rFonts w:ascii="Arial" w:cs="Arial" w:eastAsia="Arial" w:hAnsi="Arial"/>
                <w:sz w:val="16"/>
                <w:szCs w:val="16"/>
                <w:color w:val="auto"/>
                <w:vertAlign w:val="superscript"/>
              </w:rPr>
              <w:t>1</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95,939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ind w:left="100"/>
              <w:spacing w:after="0"/>
              <w:rPr>
                <w:sz w:val="20"/>
                <w:szCs w:val="20"/>
                <w:color w:val="auto"/>
              </w:rPr>
            </w:pPr>
            <w:r>
              <w:rPr>
                <w:rFonts w:ascii="Arial" w:cs="Arial" w:eastAsia="Arial" w:hAnsi="Arial"/>
                <w:sz w:val="12"/>
                <w:szCs w:val="12"/>
                <w:color w:val="auto"/>
              </w:rPr>
              <w:t>Weighted average Class A Common Stock outstanding - Diluted</w:t>
            </w: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68,304,372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69,950,141</w:t>
            </w:r>
          </w:p>
        </w:tc>
      </w:tr>
      <w:tr>
        <w:trPr>
          <w:trHeight w:val="20"/>
        </w:trPr>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8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b w:val="1"/>
                <w:bCs w:val="1"/>
                <w:color w:val="auto"/>
              </w:rPr>
              <w:t>Net income (loss) per share of Class A Common Stock:</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Net income per share of Class A Common Stock - Basic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8700" w:type="dxa"/>
            <w:vAlign w:val="bottom"/>
          </w:tcPr>
          <w:p>
            <w:pPr>
              <w:spacing w:after="0" w:line="120" w:lineRule="exact"/>
              <w:rPr>
                <w:sz w:val="20"/>
                <w:szCs w:val="20"/>
                <w:color w:val="auto"/>
              </w:rPr>
            </w:pPr>
            <w:r>
              <w:rPr>
                <w:rFonts w:ascii="Arial" w:cs="Arial" w:eastAsia="Arial" w:hAnsi="Arial"/>
                <w:sz w:val="12"/>
                <w:szCs w:val="12"/>
                <w:color w:val="auto"/>
              </w:rPr>
              <w:t>Net income (loss) per share of Class A Common Stock - 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20" w:lineRule="exact"/>
              <w:rPr>
                <w:sz w:val="20"/>
                <w:szCs w:val="20"/>
                <w:color w:val="auto"/>
              </w:rPr>
            </w:pPr>
            <w:r>
              <w:rPr>
                <w:rFonts w:ascii="Arial" w:cs="Arial" w:eastAsia="Arial" w:hAnsi="Arial"/>
                <w:sz w:val="12"/>
                <w:szCs w:val="12"/>
                <w:color w:val="auto"/>
              </w:rPr>
              <w:t>0.02</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(0.15)</w:t>
            </w:r>
          </w:p>
        </w:tc>
      </w:tr>
      <w:tr>
        <w:trPr>
          <w:trHeight w:val="20"/>
        </w:trPr>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color w:val="auto"/>
        </w:rPr>
        <w:t>1</w:t>
        <w:tab/>
        <w:t>Calculated using the treasury stock method.</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excluded the following securities from its computation of diluted shares outstanding, as their effect would have been anti-dilutive: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2"/>
              </w:rPr>
              <w:t>Three Months Ended</w:t>
            </w:r>
          </w:p>
        </w:tc>
        <w:tc>
          <w:tcPr>
            <w:tcW w:w="12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4"/>
              </w:rPr>
              <w:t>Nine Months Ended</w:t>
            </w:r>
          </w:p>
        </w:tc>
      </w:tr>
      <w:tr>
        <w:trPr>
          <w:trHeight w:val="157"/>
        </w:trPr>
        <w:tc>
          <w:tcPr>
            <w:tcW w:w="32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September 30, 2021</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2"/>
              </w:rPr>
              <w:t>September 30, 2021</w:t>
            </w:r>
          </w:p>
        </w:tc>
      </w:tr>
      <w:tr>
        <w:trPr>
          <w:trHeight w:val="142"/>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Class A Units</w:t>
            </w:r>
          </w:p>
        </w:tc>
        <w:tc>
          <w:tcPr>
            <w:tcW w:w="542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65,502,347</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65,502,347</w:t>
            </w: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Class P Units</w:t>
            </w:r>
          </w:p>
        </w:tc>
        <w:tc>
          <w:tcPr>
            <w:tcW w:w="6780" w:type="dxa"/>
            <w:vAlign w:val="bottom"/>
            <w:gridSpan w:val="3"/>
          </w:tcPr>
          <w:p>
            <w:pPr>
              <w:jc w:val="right"/>
              <w:ind w:right="220"/>
              <w:spacing w:after="0"/>
              <w:rPr>
                <w:sz w:val="20"/>
                <w:szCs w:val="20"/>
                <w:color w:val="auto"/>
              </w:rPr>
            </w:pPr>
            <w:r>
              <w:rPr>
                <w:rFonts w:ascii="Arial" w:cs="Arial" w:eastAsia="Arial" w:hAnsi="Arial"/>
                <w:sz w:val="12"/>
                <w:szCs w:val="12"/>
                <w:color w:val="auto"/>
              </w:rPr>
              <w:t>25,679,122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25,679,122</w:t>
            </w: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units</w:t>
            </w:r>
          </w:p>
        </w:tc>
        <w:tc>
          <w:tcPr>
            <w:tcW w:w="54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3,858,945</w:t>
            </w:r>
          </w:p>
        </w:tc>
      </w:tr>
      <w:tr>
        <w:trPr>
          <w:trHeight w:val="523"/>
        </w:trPr>
        <w:tc>
          <w:tcPr>
            <w:tcW w:w="3280" w:type="dxa"/>
            <w:vAlign w:val="bottom"/>
          </w:tcPr>
          <w:p>
            <w:pPr>
              <w:spacing w:after="0"/>
              <w:rPr>
                <w:sz w:val="24"/>
                <w:szCs w:val="24"/>
                <w:color w:val="auto"/>
              </w:rPr>
            </w:pPr>
          </w:p>
        </w:tc>
        <w:tc>
          <w:tcPr>
            <w:tcW w:w="6780" w:type="dxa"/>
            <w:vAlign w:val="bottom"/>
            <w:gridSpan w:val="3"/>
          </w:tcPr>
          <w:p>
            <w:pPr>
              <w:jc w:val="right"/>
              <w:ind w:right="4320"/>
              <w:spacing w:after="0"/>
              <w:rPr>
                <w:sz w:val="20"/>
                <w:szCs w:val="20"/>
                <w:color w:val="auto"/>
              </w:rPr>
            </w:pPr>
            <w:r>
              <w:rPr>
                <w:rFonts w:ascii="Arial" w:cs="Arial" w:eastAsia="Arial" w:hAnsi="Arial"/>
                <w:sz w:val="10"/>
                <w:szCs w:val="10"/>
                <w:color w:val="auto"/>
              </w:rPr>
              <w:t>F-43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32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560" w:type="dxa"/>
            <w:vAlign w:val="bottom"/>
            <w:gridSpan w:val="2"/>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1740" w:type="dxa"/>
            <w:vAlign w:val="bottom"/>
          </w:tcPr>
          <w:p>
            <w:pPr>
              <w:spacing w:after="0"/>
              <w:rPr>
                <w:sz w:val="10"/>
                <w:szCs w:val="10"/>
                <w:color w:val="auto"/>
              </w:rPr>
            </w:pPr>
          </w:p>
        </w:tc>
      </w:tr>
      <w:tr>
        <w:trPr>
          <w:trHeight w:val="250"/>
        </w:trPr>
        <w:tc>
          <w:tcPr>
            <w:tcW w:w="660" w:type="dxa"/>
            <w:vAlign w:val="bottom"/>
            <w:tcBorders>
              <w:top w:val="single" w:sz="8" w:color="0000EE"/>
            </w:tcBorders>
          </w:tcPr>
          <w:p>
            <w:pPr>
              <w:spacing w:after="0"/>
              <w:rPr>
                <w:sz w:val="21"/>
                <w:szCs w:val="21"/>
                <w:color w:val="auto"/>
              </w:rPr>
            </w:pPr>
          </w:p>
        </w:tc>
        <w:tc>
          <w:tcPr>
            <w:tcW w:w="8900" w:type="dxa"/>
            <w:vAlign w:val="bottom"/>
          </w:tcPr>
          <w:p>
            <w:pPr>
              <w:jc w:val="center"/>
              <w:ind w:left="1000"/>
              <w:spacing w:after="0"/>
              <w:rPr>
                <w:sz w:val="20"/>
                <w:szCs w:val="20"/>
                <w:color w:val="auto"/>
              </w:rPr>
            </w:pPr>
            <w:r>
              <w:rPr>
                <w:rFonts w:ascii="Arial" w:cs="Arial" w:eastAsia="Arial" w:hAnsi="Arial"/>
                <w:sz w:val="12"/>
                <w:szCs w:val="12"/>
                <w:b w:val="1"/>
                <w:bCs w:val="1"/>
                <w:color w:val="auto"/>
              </w:rPr>
              <w:t>PART II</w:t>
            </w:r>
          </w:p>
        </w:tc>
        <w:tc>
          <w:tcPr>
            <w:tcW w:w="1740" w:type="dxa"/>
            <w:vAlign w:val="bottom"/>
          </w:tcPr>
          <w:p>
            <w:pPr>
              <w:spacing w:after="0"/>
              <w:rPr>
                <w:sz w:val="21"/>
                <w:szCs w:val="21"/>
                <w:color w:val="auto"/>
              </w:rPr>
            </w:pPr>
          </w:p>
        </w:tc>
      </w:tr>
      <w:tr>
        <w:trPr>
          <w:trHeight w:val="288"/>
        </w:trPr>
        <w:tc>
          <w:tcPr>
            <w:tcW w:w="660" w:type="dxa"/>
            <w:vAlign w:val="bottom"/>
          </w:tcPr>
          <w:p>
            <w:pPr>
              <w:spacing w:after="0"/>
              <w:rPr>
                <w:sz w:val="24"/>
                <w:szCs w:val="24"/>
                <w:color w:val="auto"/>
              </w:rPr>
            </w:pPr>
          </w:p>
        </w:tc>
        <w:tc>
          <w:tcPr>
            <w:tcW w:w="8900" w:type="dxa"/>
            <w:vAlign w:val="bottom"/>
          </w:tcPr>
          <w:p>
            <w:pPr>
              <w:jc w:val="center"/>
              <w:ind w:left="1000"/>
              <w:spacing w:after="0"/>
              <w:rPr>
                <w:sz w:val="20"/>
                <w:szCs w:val="20"/>
                <w:color w:val="auto"/>
              </w:rPr>
            </w:pPr>
            <w:r>
              <w:rPr>
                <w:rFonts w:ascii="Arial" w:cs="Arial" w:eastAsia="Arial" w:hAnsi="Arial"/>
                <w:sz w:val="12"/>
                <w:szCs w:val="12"/>
                <w:b w:val="1"/>
                <w:bCs w:val="1"/>
                <w:color w:val="auto"/>
              </w:rPr>
              <w:t>INFORMATION NOT REQUIRED IN PROSPECTUS</w:t>
            </w:r>
          </w:p>
        </w:tc>
        <w:tc>
          <w:tcPr>
            <w:tcW w:w="1740" w:type="dxa"/>
            <w:vAlign w:val="bottom"/>
          </w:tcPr>
          <w:p>
            <w:pPr>
              <w:spacing w:after="0"/>
              <w:rPr>
                <w:sz w:val="24"/>
                <w:szCs w:val="24"/>
                <w:color w:val="auto"/>
              </w:rPr>
            </w:pPr>
          </w:p>
        </w:tc>
      </w:tr>
      <w:tr>
        <w:trPr>
          <w:trHeight w:val="288"/>
        </w:trPr>
        <w:tc>
          <w:tcPr>
            <w:tcW w:w="9560" w:type="dxa"/>
            <w:vAlign w:val="bottom"/>
            <w:gridSpan w:val="2"/>
          </w:tcPr>
          <w:p>
            <w:pPr>
              <w:spacing w:after="0"/>
              <w:rPr>
                <w:sz w:val="20"/>
                <w:szCs w:val="20"/>
                <w:color w:val="auto"/>
              </w:rPr>
            </w:pPr>
            <w:r>
              <w:rPr>
                <w:rFonts w:ascii="Arial" w:cs="Arial" w:eastAsia="Arial" w:hAnsi="Arial"/>
                <w:sz w:val="12"/>
                <w:szCs w:val="12"/>
                <w:b w:val="1"/>
                <w:bCs w:val="1"/>
                <w:color w:val="auto"/>
              </w:rPr>
              <w:t>Item 13.  Other expenses of issuance and distribution.</w:t>
            </w:r>
          </w:p>
        </w:tc>
        <w:tc>
          <w:tcPr>
            <w:tcW w:w="1740" w:type="dxa"/>
            <w:vAlign w:val="bottom"/>
          </w:tcPr>
          <w:p>
            <w:pPr>
              <w:spacing w:after="0"/>
              <w:rPr>
                <w:sz w:val="24"/>
                <w:szCs w:val="24"/>
                <w:color w:val="auto"/>
              </w:rPr>
            </w:pPr>
          </w:p>
        </w:tc>
      </w:tr>
      <w:tr>
        <w:trPr>
          <w:trHeight w:val="288"/>
        </w:trPr>
        <w:tc>
          <w:tcPr>
            <w:tcW w:w="9560" w:type="dxa"/>
            <w:vAlign w:val="bottom"/>
            <w:gridSpan w:val="2"/>
          </w:tcPr>
          <w:p>
            <w:pPr>
              <w:ind w:left="200"/>
              <w:spacing w:after="0"/>
              <w:rPr>
                <w:sz w:val="20"/>
                <w:szCs w:val="20"/>
                <w:color w:val="auto"/>
              </w:rPr>
            </w:pPr>
            <w:r>
              <w:rPr>
                <w:rFonts w:ascii="Arial" w:cs="Arial" w:eastAsia="Arial" w:hAnsi="Arial"/>
                <w:sz w:val="12"/>
                <w:szCs w:val="12"/>
                <w:color w:val="auto"/>
              </w:rPr>
              <w:t>The following is an estimate of the expenses (all of which are to be paid by the registrant) that we may incur in connection with the securities being registered hereby.</w:t>
            </w:r>
          </w:p>
        </w:tc>
        <w:tc>
          <w:tcPr>
            <w:tcW w:w="1740" w:type="dxa"/>
            <w:vAlign w:val="bottom"/>
          </w:tcPr>
          <w:p>
            <w:pPr>
              <w:spacing w:after="0"/>
              <w:rPr>
                <w:sz w:val="24"/>
                <w:szCs w:val="24"/>
                <w:color w:val="auto"/>
              </w:rPr>
            </w:pPr>
          </w:p>
        </w:tc>
      </w:tr>
      <w:tr>
        <w:trPr>
          <w:trHeight w:val="288"/>
        </w:trPr>
        <w:tc>
          <w:tcPr>
            <w:tcW w:w="660" w:type="dxa"/>
            <w:vAlign w:val="bottom"/>
            <w:tcBorders>
              <w:bottom w:val="single" w:sz="8" w:color="CCEEFF"/>
            </w:tcBorders>
          </w:tcPr>
          <w:p>
            <w:pPr>
              <w:spacing w:after="0"/>
              <w:rPr>
                <w:sz w:val="24"/>
                <w:szCs w:val="24"/>
                <w:color w:val="auto"/>
              </w:rPr>
            </w:pPr>
          </w:p>
        </w:tc>
        <w:tc>
          <w:tcPr>
            <w:tcW w:w="890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Amount</w:t>
            </w:r>
          </w:p>
        </w:tc>
      </w:tr>
      <w:tr>
        <w:trPr>
          <w:trHeight w:val="142"/>
        </w:trPr>
        <w:tc>
          <w:tcPr>
            <w:tcW w:w="9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 registration fee</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$1,268</w:t>
            </w:r>
          </w:p>
        </w:tc>
      </w:tr>
      <w:tr>
        <w:trPr>
          <w:trHeight w:val="144"/>
        </w:trPr>
        <w:tc>
          <w:tcPr>
            <w:tcW w:w="9560" w:type="dxa"/>
            <w:vAlign w:val="bottom"/>
            <w:gridSpan w:val="2"/>
          </w:tcPr>
          <w:p>
            <w:pPr>
              <w:spacing w:after="0"/>
              <w:rPr>
                <w:sz w:val="20"/>
                <w:szCs w:val="20"/>
                <w:color w:val="auto"/>
              </w:rPr>
            </w:pPr>
            <w:r>
              <w:rPr>
                <w:rFonts w:ascii="Arial" w:cs="Arial" w:eastAsia="Arial" w:hAnsi="Arial"/>
                <w:sz w:val="12"/>
                <w:szCs w:val="12"/>
                <w:color w:val="auto"/>
              </w:rPr>
              <w:t>Legal fees and expenses</w:t>
            </w:r>
          </w:p>
        </w:tc>
        <w:tc>
          <w:tcPr>
            <w:tcW w:w="1740" w:type="dxa"/>
            <w:vAlign w:val="bottom"/>
          </w:tcPr>
          <w:p>
            <w:pPr>
              <w:jc w:val="center"/>
              <w:spacing w:after="0"/>
              <w:rPr>
                <w:sz w:val="20"/>
                <w:szCs w:val="20"/>
                <w:color w:val="auto"/>
              </w:rPr>
            </w:pPr>
            <w:r>
              <w:rPr>
                <w:rFonts w:ascii="Arial" w:cs="Arial" w:eastAsia="Arial" w:hAnsi="Arial"/>
                <w:sz w:val="12"/>
                <w:szCs w:val="12"/>
                <w:color w:val="auto"/>
                <w:w w:val="87"/>
              </w:rPr>
              <w:t>250,000</w:t>
            </w:r>
          </w:p>
        </w:tc>
      </w:tr>
      <w:tr>
        <w:trPr>
          <w:trHeight w:val="144"/>
        </w:trPr>
        <w:tc>
          <w:tcPr>
            <w:tcW w:w="9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Accounting fees and expenses</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15,000</w:t>
            </w:r>
          </w:p>
        </w:tc>
      </w:tr>
      <w:tr>
        <w:trPr>
          <w:trHeight w:val="144"/>
        </w:trPr>
        <w:tc>
          <w:tcPr>
            <w:tcW w:w="9560" w:type="dxa"/>
            <w:vAlign w:val="bottom"/>
            <w:gridSpan w:val="2"/>
          </w:tcPr>
          <w:p>
            <w:pPr>
              <w:spacing w:after="0"/>
              <w:rPr>
                <w:sz w:val="20"/>
                <w:szCs w:val="20"/>
                <w:color w:val="auto"/>
              </w:rPr>
            </w:pPr>
            <w:r>
              <w:rPr>
                <w:rFonts w:ascii="Arial" w:cs="Arial" w:eastAsia="Arial" w:hAnsi="Arial"/>
                <w:sz w:val="12"/>
                <w:szCs w:val="12"/>
                <w:color w:val="auto"/>
              </w:rPr>
              <w:t>Miscellaneous</w:t>
            </w:r>
          </w:p>
        </w:tc>
        <w:tc>
          <w:tcPr>
            <w:tcW w:w="1740" w:type="dxa"/>
            <w:vAlign w:val="bottom"/>
          </w:tcPr>
          <w:p>
            <w:pPr>
              <w:jc w:val="center"/>
              <w:spacing w:after="0"/>
              <w:rPr>
                <w:sz w:val="20"/>
                <w:szCs w:val="20"/>
                <w:color w:val="auto"/>
              </w:rPr>
            </w:pPr>
            <w:r>
              <w:rPr>
                <w:rFonts w:ascii="Arial" w:cs="Arial" w:eastAsia="Arial" w:hAnsi="Arial"/>
                <w:sz w:val="12"/>
                <w:szCs w:val="12"/>
                <w:color w:val="auto"/>
                <w:w w:val="92"/>
              </w:rPr>
              <w:t>65,000</w:t>
            </w:r>
          </w:p>
        </w:tc>
      </w:tr>
      <w:tr>
        <w:trPr>
          <w:trHeight w:val="144"/>
        </w:trPr>
        <w:tc>
          <w:tcPr>
            <w:tcW w:w="9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$331,268</w:t>
            </w:r>
          </w:p>
        </w:tc>
      </w:tr>
    </w:tbl>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Indemnification of Directors and Officers.</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2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1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15" w:lineRule="exact"/>
        <w:rPr>
          <w:sz w:val="20"/>
          <w:szCs w:val="20"/>
          <w:color w:val="auto"/>
        </w:rPr>
      </w:pPr>
    </w:p>
    <w:p>
      <w:pPr>
        <w:ind w:left="420" w:hanging="212"/>
        <w:spacing w:after="0"/>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for any transaction from which the director derives an improper personal benefit;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for any act or omission not in good faith or that involves intentional misconduct or a knowing violation of law;</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79" w:name="page180"/>
    <w:bookmarkEnd w:id="179"/>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420" w:hanging="212"/>
        <w:spacing w:after="0"/>
        <w:tabs>
          <w:tab w:leader="none" w:pos="4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for any unlawful payment of dividends or redemption of shares; or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for any breach of a director’s duty of loyalty to the corporation or its stockholders.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maintain a directors’ and officers’ insurance policy pursuant to which our directors and officers are insured against liability for actions taken in their capacities as directors and officers.</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Since January 1, 2018, we have made sales of the following unregistered securities:</w:t>
      </w:r>
    </w:p>
    <w:p>
      <w:pPr>
        <w:spacing w:after="0" w:line="15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 June 2019, Silver Spike issued an aggregate of 7,187,500 Class B Ordinary Shares to Silver Spike Sponsor for an aggregate purchase price of $25,000. On September 23, 2019, in connection with the expiration of the underwriter’s over-allotment option, Silver Spike Sponsor surrendered 937,500 Class B Ordinary Shares. Upon the consummation of the Domestication, each of Silver Spike’s then issued and outstanding Class A Ordinary Shares and Class B Ordinary Shares automatically converted by operation of law, on a one-for-one basis, into shares of Class A Common Stock of Silver Spike. The issuance of Class A Common Stock upon automatic conversion of Class A Ordinary Shares and Class B Ordinary Shares at the Closing has not been registered under the Securities Act in reliance on the exemption from registration provided by Section 3(a)(9) of the Securities Act.</w:t>
      </w:r>
    </w:p>
    <w:p>
      <w:pPr>
        <w:spacing w:after="0" w:line="111"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Silver Spike Sponsor purchased 7,000,000 Private Placement Warrants at a price of $1.00 per warrant in a private placement that occurred concurrently with the closing of Silver Spike’s initial public offering and generated gross proceeds of $7,000,000. Each Private Placement Warrant is exercisable for one share of Class A Common Stock at a price of $11.50 per share. The Private Placement Warrants are non-redeemable and exercisable on a cashless basis so long as they are held by Silver Spike Sponsor or its permitted transferees. The sale of the Private Placement Warrants was made in reliance on the exemption from registration in Section 4(a)(2) under the Securities Act.</w:t>
      </w:r>
    </w:p>
    <w:p>
      <w:pPr>
        <w:spacing w:after="0" w:line="10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9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15"/>
        </w:trPr>
        <w:tc>
          <w:tcPr>
            <w:tcW w:w="1240" w:type="dxa"/>
            <w:vAlign w:val="bottom"/>
            <w:gridSpan w:val="5"/>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10060" w:type="dxa"/>
            <w:vAlign w:val="bottom"/>
          </w:tcPr>
          <w:p>
            <w:pPr>
              <w:spacing w:after="0"/>
              <w:rPr>
                <w:sz w:val="10"/>
                <w:szCs w:val="10"/>
                <w:color w:val="auto"/>
              </w:rPr>
            </w:pPr>
          </w:p>
        </w:tc>
      </w:tr>
      <w:tr>
        <w:trPr>
          <w:trHeight w:val="20"/>
        </w:trPr>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r>
      <w:tr>
        <w:trPr>
          <w:trHeight w:val="250"/>
        </w:trPr>
        <w:tc>
          <w:tcPr>
            <w:tcW w:w="1240" w:type="dxa"/>
            <w:vAlign w:val="bottom"/>
            <w:gridSpan w:val="5"/>
          </w:tcPr>
          <w:p>
            <w:pPr>
              <w:spacing w:after="0"/>
              <w:rPr>
                <w:sz w:val="20"/>
                <w:szCs w:val="20"/>
                <w:color w:val="auto"/>
              </w:rPr>
            </w:pPr>
            <w:r>
              <w:rPr>
                <w:rFonts w:ascii="Arial" w:cs="Arial" w:eastAsia="Arial" w:hAnsi="Arial"/>
                <w:sz w:val="12"/>
                <w:szCs w:val="12"/>
                <w:b w:val="1"/>
                <w:bCs w:val="1"/>
                <w:color w:val="auto"/>
              </w:rPr>
              <w:t>Item 16.  Exhibits.</w:t>
            </w:r>
          </w:p>
        </w:tc>
        <w:tc>
          <w:tcPr>
            <w:tcW w:w="10060" w:type="dxa"/>
            <w:vAlign w:val="bottom"/>
          </w:tcPr>
          <w:p>
            <w:pPr>
              <w:spacing w:after="0"/>
              <w:rPr>
                <w:sz w:val="21"/>
                <w:szCs w:val="21"/>
                <w:color w:val="auto"/>
              </w:rPr>
            </w:pPr>
          </w:p>
        </w:tc>
      </w:tr>
      <w:tr>
        <w:trPr>
          <w:trHeight w:val="297"/>
        </w:trPr>
        <w:tc>
          <w:tcPr>
            <w:tcW w:w="1240" w:type="dxa"/>
            <w:vAlign w:val="bottom"/>
            <w:gridSpan w:val="5"/>
          </w:tcPr>
          <w:p>
            <w:pPr>
              <w:ind w:left="260"/>
              <w:spacing w:after="0"/>
              <w:rPr>
                <w:sz w:val="20"/>
                <w:szCs w:val="20"/>
                <w:color w:val="auto"/>
              </w:rPr>
            </w:pPr>
            <w:r>
              <w:rPr>
                <w:rFonts w:ascii="Arial" w:cs="Arial" w:eastAsia="Arial" w:hAnsi="Arial"/>
                <w:sz w:val="12"/>
                <w:szCs w:val="12"/>
                <w:b w:val="1"/>
                <w:bCs w:val="1"/>
                <w:color w:val="auto"/>
              </w:rPr>
              <w:t>Exhibit No.</w:t>
            </w:r>
          </w:p>
        </w:tc>
        <w:tc>
          <w:tcPr>
            <w:tcW w:w="1006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660" w:type="dxa"/>
            <w:vAlign w:val="bottom"/>
            <w:tcBorders>
              <w:top w:val="single" w:sz="8" w:color="auto"/>
              <w:right w:val="single" w:sz="8" w:color="CCEEFF"/>
            </w:tcBorders>
            <w:gridSpan w:val="2"/>
            <w:shd w:val="clear" w:color="auto" w:fill="CCEEFF"/>
          </w:tcPr>
          <w:p>
            <w:pPr>
              <w:jc w:val="center"/>
              <w:ind w:left="401"/>
              <w:spacing w:after="0" w:line="115" w:lineRule="exact"/>
              <w:rPr>
                <w:rFonts w:ascii="Arial" w:cs="Arial" w:eastAsia="Arial" w:hAnsi="Arial"/>
                <w:sz w:val="12"/>
                <w:szCs w:val="12"/>
                <w:color w:val="0000EE"/>
                <w:w w:val="84"/>
              </w:rPr>
            </w:pPr>
            <w:hyperlink r:id="rId203">
              <w:r>
                <w:rPr>
                  <w:rFonts w:ascii="Arial" w:cs="Arial" w:eastAsia="Arial" w:hAnsi="Arial"/>
                  <w:sz w:val="12"/>
                  <w:szCs w:val="12"/>
                  <w:color w:val="0000EE"/>
                  <w:w w:val="84"/>
                </w:rPr>
                <w:t>2.</w:t>
              </w:r>
              <w:r>
                <w:rPr>
                  <w:rFonts w:ascii="Arial" w:cs="Arial" w:eastAsia="Arial" w:hAnsi="Arial"/>
                  <w:sz w:val="12"/>
                  <w:szCs w:val="12"/>
                  <w:u w:val="single" w:color="auto"/>
                  <w:color w:val="0000EE"/>
                  <w:w w:val="84"/>
                </w:rPr>
                <w:t>1+</w:t>
              </w:r>
            </w:hyperlink>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w w:val="90"/>
              </w:rPr>
              <w:t>Agreement and Plan of Merger, dated December 10, 2020, by and among Silver Spike, Merger Sub, Legacy WMH, and the Holder Representative named therein (incorporated by reference to Exhibit 2.1 to the</w:t>
            </w:r>
          </w:p>
        </w:tc>
      </w:tr>
      <w:tr>
        <w:trPr>
          <w:trHeight w:val="151"/>
        </w:trPr>
        <w:tc>
          <w:tcPr>
            <w:tcW w:w="48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0000EE"/>
              <w:right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Current Report on Form 8-K filed on December 10, 2020).</w:t>
            </w:r>
          </w:p>
        </w:tc>
      </w:tr>
      <w:tr>
        <w:trPr>
          <w:trHeight w:val="124"/>
        </w:trPr>
        <w:tc>
          <w:tcPr>
            <w:tcW w:w="480" w:type="dxa"/>
            <w:vAlign w:val="bottom"/>
          </w:tcPr>
          <w:p>
            <w:pPr>
              <w:spacing w:after="0"/>
              <w:rPr>
                <w:sz w:val="10"/>
                <w:szCs w:val="10"/>
                <w:color w:val="auto"/>
              </w:rPr>
            </w:pPr>
          </w:p>
        </w:tc>
        <w:tc>
          <w:tcPr>
            <w:tcW w:w="180" w:type="dxa"/>
            <w:vAlign w:val="bottom"/>
            <w:tcBorders>
              <w:bottom w:val="single" w:sz="8" w:color="0000EE"/>
            </w:tcBorders>
          </w:tcPr>
          <w:p>
            <w:pPr>
              <w:jc w:val="center"/>
              <w:spacing w:after="0" w:line="117" w:lineRule="exact"/>
              <w:rPr>
                <w:rFonts w:ascii="Arial" w:cs="Arial" w:eastAsia="Arial" w:hAnsi="Arial"/>
                <w:sz w:val="12"/>
                <w:szCs w:val="12"/>
                <w:color w:val="0000EE"/>
                <w:w w:val="95"/>
              </w:rPr>
            </w:pPr>
            <w:hyperlink r:id="rId204">
              <w:r>
                <w:rPr>
                  <w:rFonts w:ascii="Arial" w:cs="Arial" w:eastAsia="Arial" w:hAnsi="Arial"/>
                  <w:sz w:val="12"/>
                  <w:szCs w:val="12"/>
                  <w:color w:val="0000EE"/>
                  <w:w w:val="95"/>
                </w:rPr>
                <w:t>3.</w:t>
              </w:r>
              <w:r>
                <w:rPr>
                  <w:rFonts w:ascii="Arial" w:cs="Arial" w:eastAsia="Arial" w:hAnsi="Arial"/>
                  <w:sz w:val="12"/>
                  <w:szCs w:val="12"/>
                  <w:u w:val="single" w:color="auto"/>
                  <w:color w:val="0000EE"/>
                  <w:w w:val="95"/>
                </w:rPr>
                <w:t>1</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rPr>
              <w:t>Certificate of Incorporation of the Company, dated June 15, 2021 (incorporated by reference to Exhibit 3.1 to the Current Report on Form 8-K filed on June 21, 2021).</w:t>
            </w:r>
          </w:p>
        </w:tc>
      </w:tr>
      <w:tr>
        <w:trPr>
          <w:trHeight w:val="124"/>
        </w:trPr>
        <w:tc>
          <w:tcPr>
            <w:tcW w:w="48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EE"/>
              <w:right w:val="single" w:sz="8" w:color="CCEEFF"/>
            </w:tcBorders>
            <w:shd w:val="clear" w:color="auto" w:fill="CCEEFF"/>
          </w:tcPr>
          <w:p>
            <w:pPr>
              <w:jc w:val="center"/>
              <w:spacing w:after="0" w:line="117" w:lineRule="exact"/>
              <w:rPr>
                <w:rFonts w:ascii="Arial" w:cs="Arial" w:eastAsia="Arial" w:hAnsi="Arial"/>
                <w:sz w:val="12"/>
                <w:szCs w:val="12"/>
                <w:color w:val="0000EE"/>
                <w:w w:val="95"/>
              </w:rPr>
            </w:pPr>
            <w:hyperlink r:id="rId205">
              <w:r>
                <w:rPr>
                  <w:rFonts w:ascii="Arial" w:cs="Arial" w:eastAsia="Arial" w:hAnsi="Arial"/>
                  <w:sz w:val="12"/>
                  <w:szCs w:val="12"/>
                  <w:color w:val="0000EE"/>
                  <w:w w:val="95"/>
                </w:rPr>
                <w:t>3.</w:t>
              </w:r>
              <w:r>
                <w:rPr>
                  <w:rFonts w:ascii="Arial" w:cs="Arial" w:eastAsia="Arial" w:hAnsi="Arial"/>
                  <w:sz w:val="12"/>
                  <w:szCs w:val="12"/>
                  <w:u w:val="single" w:color="auto"/>
                  <w:color w:val="0000EE"/>
                  <w:w w:val="95"/>
                </w:rPr>
                <w:t>2</w:t>
              </w:r>
            </w:hyperlink>
          </w:p>
        </w:tc>
        <w:tc>
          <w:tcPr>
            <w:tcW w:w="100" w:type="dxa"/>
            <w:vAlign w:val="bottom"/>
            <w:tcBorders>
              <w:left w:val="single" w:sz="8" w:color="CCEEFF"/>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6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Amended and Restated Bylaws of the Company, dated June 16, 2021 (incorporated by reference to Exhibit 3.2 to the Current Report on Form 8-K filed on June 21, 2021).</w:t>
            </w:r>
          </w:p>
        </w:tc>
      </w:tr>
      <w:tr>
        <w:trPr>
          <w:trHeight w:val="124"/>
        </w:trPr>
        <w:tc>
          <w:tcPr>
            <w:tcW w:w="480" w:type="dxa"/>
            <w:vAlign w:val="bottom"/>
          </w:tcPr>
          <w:p>
            <w:pPr>
              <w:spacing w:after="0"/>
              <w:rPr>
                <w:sz w:val="10"/>
                <w:szCs w:val="10"/>
                <w:color w:val="auto"/>
              </w:rPr>
            </w:pPr>
          </w:p>
        </w:tc>
        <w:tc>
          <w:tcPr>
            <w:tcW w:w="180" w:type="dxa"/>
            <w:vAlign w:val="bottom"/>
            <w:tcBorders>
              <w:bottom w:val="single" w:sz="8" w:color="0000EE"/>
            </w:tcBorders>
          </w:tcPr>
          <w:p>
            <w:pPr>
              <w:jc w:val="center"/>
              <w:spacing w:after="0" w:line="117" w:lineRule="exact"/>
              <w:rPr>
                <w:rFonts w:ascii="Arial" w:cs="Arial" w:eastAsia="Arial" w:hAnsi="Arial"/>
                <w:sz w:val="12"/>
                <w:szCs w:val="12"/>
                <w:color w:val="0000EE"/>
                <w:w w:val="95"/>
              </w:rPr>
            </w:pPr>
            <w:hyperlink r:id="rId206">
              <w:r>
                <w:rPr>
                  <w:rFonts w:ascii="Arial" w:cs="Arial" w:eastAsia="Arial" w:hAnsi="Arial"/>
                  <w:sz w:val="12"/>
                  <w:szCs w:val="12"/>
                  <w:color w:val="0000EE"/>
                  <w:w w:val="95"/>
                </w:rPr>
                <w:t>4.</w:t>
              </w:r>
              <w:r>
                <w:rPr>
                  <w:rFonts w:ascii="Arial" w:cs="Arial" w:eastAsia="Arial" w:hAnsi="Arial"/>
                  <w:sz w:val="12"/>
                  <w:szCs w:val="12"/>
                  <w:u w:val="single" w:color="auto"/>
                  <w:color w:val="0000EE"/>
                  <w:w w:val="95"/>
                </w:rPr>
                <w:t>1</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rPr>
              <w:t>Form of Common Stock Certificate of the Company (incorporated by reference to Exhibit 4.1 to the Current Report on Form 8-K filed on June 21, 2021).</w:t>
            </w:r>
          </w:p>
        </w:tc>
      </w:tr>
      <w:tr>
        <w:trPr>
          <w:trHeight w:val="124"/>
        </w:trPr>
        <w:tc>
          <w:tcPr>
            <w:tcW w:w="48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EE"/>
              <w:right w:val="single" w:sz="8" w:color="CCEEFF"/>
            </w:tcBorders>
            <w:shd w:val="clear" w:color="auto" w:fill="CCEEFF"/>
          </w:tcPr>
          <w:p>
            <w:pPr>
              <w:jc w:val="center"/>
              <w:spacing w:after="0" w:line="117" w:lineRule="exact"/>
              <w:rPr>
                <w:rFonts w:ascii="Arial" w:cs="Arial" w:eastAsia="Arial" w:hAnsi="Arial"/>
                <w:sz w:val="12"/>
                <w:szCs w:val="12"/>
                <w:color w:val="0000EE"/>
                <w:w w:val="95"/>
              </w:rPr>
            </w:pPr>
            <w:hyperlink r:id="rId207">
              <w:r>
                <w:rPr>
                  <w:rFonts w:ascii="Arial" w:cs="Arial" w:eastAsia="Arial" w:hAnsi="Arial"/>
                  <w:sz w:val="12"/>
                  <w:szCs w:val="12"/>
                  <w:color w:val="0000EE"/>
                  <w:w w:val="95"/>
                </w:rPr>
                <w:t>4.</w:t>
              </w:r>
              <w:r>
                <w:rPr>
                  <w:rFonts w:ascii="Arial" w:cs="Arial" w:eastAsia="Arial" w:hAnsi="Arial"/>
                  <w:sz w:val="12"/>
                  <w:szCs w:val="12"/>
                  <w:u w:val="single" w:color="auto"/>
                  <w:color w:val="0000EE"/>
                  <w:w w:val="95"/>
                </w:rPr>
                <w:t>2</w:t>
              </w:r>
            </w:hyperlink>
          </w:p>
        </w:tc>
        <w:tc>
          <w:tcPr>
            <w:tcW w:w="100" w:type="dxa"/>
            <w:vAlign w:val="bottom"/>
            <w:tcBorders>
              <w:left w:val="single" w:sz="8" w:color="CCEEFF"/>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6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Form of Warrant Certificate of the Company (incorporated by reference to Exhibit 4.2 to the Current Report on Form 8-K filed on June 21, 2021).</w:t>
            </w:r>
          </w:p>
        </w:tc>
      </w:tr>
      <w:tr>
        <w:trPr>
          <w:trHeight w:val="117"/>
        </w:trPr>
        <w:tc>
          <w:tcPr>
            <w:tcW w:w="660" w:type="dxa"/>
            <w:vAlign w:val="bottom"/>
            <w:gridSpan w:val="2"/>
          </w:tcPr>
          <w:p>
            <w:pPr>
              <w:jc w:val="center"/>
              <w:ind w:left="401"/>
              <w:spacing w:after="0" w:line="117" w:lineRule="exact"/>
              <w:rPr>
                <w:rFonts w:ascii="Arial" w:cs="Arial" w:eastAsia="Arial" w:hAnsi="Arial"/>
                <w:sz w:val="12"/>
                <w:szCs w:val="12"/>
                <w:color w:val="0000EE"/>
                <w:w w:val="95"/>
              </w:rPr>
            </w:pPr>
            <w:hyperlink r:id="rId208">
              <w:r>
                <w:rPr>
                  <w:rFonts w:ascii="Arial" w:cs="Arial" w:eastAsia="Arial" w:hAnsi="Arial"/>
                  <w:sz w:val="12"/>
                  <w:szCs w:val="12"/>
                  <w:color w:val="0000EE"/>
                  <w:w w:val="95"/>
                </w:rPr>
                <w:t>4.</w:t>
              </w:r>
              <w:r>
                <w:rPr>
                  <w:rFonts w:ascii="Arial" w:cs="Arial" w:eastAsia="Arial" w:hAnsi="Arial"/>
                  <w:sz w:val="12"/>
                  <w:szCs w:val="12"/>
                  <w:u w:val="single" w:color="auto"/>
                  <w:color w:val="0000EE"/>
                  <w:w w:val="95"/>
                </w:rPr>
                <w:t>3</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w w:val="92"/>
              </w:rPr>
              <w:t>Warrant Agreement, dated August 7, 2019, between the Company and Continental Stock Transfer &amp; Trust Company, as warrant agent (incorporated by reference to Exhibit 4.1 filed on Silver Spike’s Current</w:t>
            </w:r>
          </w:p>
        </w:tc>
      </w:tr>
      <w:tr>
        <w:trPr>
          <w:trHeight w:val="151"/>
        </w:trPr>
        <w:tc>
          <w:tcPr>
            <w:tcW w:w="4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Pr>
          <w:p>
            <w:pPr>
              <w:spacing w:after="0"/>
              <w:rPr>
                <w:sz w:val="20"/>
                <w:szCs w:val="20"/>
                <w:color w:val="auto"/>
              </w:rPr>
            </w:pPr>
            <w:r>
              <w:rPr>
                <w:rFonts w:ascii="Arial" w:cs="Arial" w:eastAsia="Arial" w:hAnsi="Arial"/>
                <w:sz w:val="12"/>
                <w:szCs w:val="12"/>
                <w:color w:val="auto"/>
              </w:rPr>
              <w:t>Report on Form 8-K, filed by the Company on August 12, 2019).</w:t>
            </w:r>
          </w:p>
        </w:tc>
      </w:tr>
      <w:tr>
        <w:trPr>
          <w:trHeight w:val="124"/>
        </w:trPr>
        <w:tc>
          <w:tcPr>
            <w:tcW w:w="48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EE"/>
              <w:right w:val="single" w:sz="8" w:color="CCEEFF"/>
            </w:tcBorders>
            <w:shd w:val="clear" w:color="auto" w:fill="CCEEFF"/>
          </w:tcPr>
          <w:p>
            <w:pPr>
              <w:jc w:val="center"/>
              <w:spacing w:after="0" w:line="117" w:lineRule="exact"/>
              <w:rPr>
                <w:rFonts w:ascii="Arial" w:cs="Arial" w:eastAsia="Arial" w:hAnsi="Arial"/>
                <w:sz w:val="12"/>
                <w:szCs w:val="12"/>
                <w:color w:val="0000EE"/>
                <w:w w:val="95"/>
              </w:rPr>
            </w:pPr>
            <w:hyperlink w:anchor="page187">
              <w:r>
                <w:rPr>
                  <w:rFonts w:ascii="Arial" w:cs="Arial" w:eastAsia="Arial" w:hAnsi="Arial"/>
                  <w:sz w:val="12"/>
                  <w:szCs w:val="12"/>
                  <w:color w:val="0000EE"/>
                  <w:w w:val="95"/>
                </w:rPr>
                <w:t>5.</w:t>
              </w:r>
              <w:r>
                <w:rPr>
                  <w:rFonts w:ascii="Arial" w:cs="Arial" w:eastAsia="Arial" w:hAnsi="Arial"/>
                  <w:sz w:val="12"/>
                  <w:szCs w:val="12"/>
                  <w:u w:val="single" w:color="auto"/>
                  <w:color w:val="0000EE"/>
                  <w:w w:val="95"/>
                </w:rPr>
                <w:t>1</w:t>
              </w:r>
            </w:hyperlink>
          </w:p>
        </w:tc>
        <w:tc>
          <w:tcPr>
            <w:tcW w:w="100" w:type="dxa"/>
            <w:vAlign w:val="bottom"/>
            <w:tcBorders>
              <w:left w:val="single" w:sz="8" w:color="CCEEFF"/>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6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Opinion of Cooley LLP</w:t>
            </w:r>
          </w:p>
        </w:tc>
      </w:tr>
      <w:tr>
        <w:trPr>
          <w:trHeight w:val="117"/>
        </w:trPr>
        <w:tc>
          <w:tcPr>
            <w:tcW w:w="660" w:type="dxa"/>
            <w:vAlign w:val="bottom"/>
            <w:gridSpan w:val="2"/>
          </w:tcPr>
          <w:p>
            <w:pPr>
              <w:jc w:val="center"/>
              <w:ind w:left="401"/>
              <w:spacing w:after="0" w:line="117" w:lineRule="exact"/>
              <w:rPr>
                <w:rFonts w:ascii="Arial" w:cs="Arial" w:eastAsia="Arial" w:hAnsi="Arial"/>
                <w:sz w:val="12"/>
                <w:szCs w:val="12"/>
                <w:color w:val="0000EE"/>
                <w:w w:val="85"/>
              </w:rPr>
            </w:pPr>
            <w:hyperlink r:id="rId209">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1</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w w:val="91"/>
              </w:rPr>
              <w:t>Exchange Agreement, dated as of June 16, 2021, by and among the Company, Silver Spike Sponsor and the other parties thereto (incorporated by reference to Exhibit 10.1 to the Current Report on Form 8-K</w:t>
            </w:r>
          </w:p>
        </w:tc>
      </w:tr>
      <w:tr>
        <w:trPr>
          <w:trHeight w:val="151"/>
        </w:trPr>
        <w:tc>
          <w:tcPr>
            <w:tcW w:w="4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Pr>
          <w:p>
            <w:pPr>
              <w:spacing w:after="0"/>
              <w:rPr>
                <w:sz w:val="20"/>
                <w:szCs w:val="20"/>
                <w:color w:val="auto"/>
              </w:rPr>
            </w:pPr>
            <w:r>
              <w:rPr>
                <w:rFonts w:ascii="Arial" w:cs="Arial" w:eastAsia="Arial" w:hAnsi="Arial"/>
                <w:sz w:val="12"/>
                <w:szCs w:val="12"/>
                <w:color w:val="auto"/>
              </w:rPr>
              <w:t>filed on June 21, 2021).</w:t>
            </w:r>
          </w:p>
        </w:tc>
      </w:tr>
      <w:tr>
        <w:trPr>
          <w:trHeight w:val="117"/>
        </w:trPr>
        <w:tc>
          <w:tcPr>
            <w:tcW w:w="660" w:type="dxa"/>
            <w:vAlign w:val="bottom"/>
            <w:tcBorders>
              <w:right w:val="single" w:sz="8" w:color="CCEEFF"/>
            </w:tcBorders>
            <w:gridSpan w:val="2"/>
            <w:shd w:val="clear" w:color="auto" w:fill="CCEEFF"/>
          </w:tcPr>
          <w:p>
            <w:pPr>
              <w:jc w:val="center"/>
              <w:ind w:left="401"/>
              <w:spacing w:after="0" w:line="117" w:lineRule="exact"/>
              <w:rPr>
                <w:rFonts w:ascii="Arial" w:cs="Arial" w:eastAsia="Arial" w:hAnsi="Arial"/>
                <w:sz w:val="12"/>
                <w:szCs w:val="12"/>
                <w:color w:val="0000EE"/>
                <w:w w:val="85"/>
              </w:rPr>
            </w:pPr>
            <w:hyperlink r:id="rId210">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2</w:t>
              </w:r>
            </w:hyperlink>
          </w:p>
        </w:tc>
        <w:tc>
          <w:tcPr>
            <w:tcW w:w="100" w:type="dxa"/>
            <w:vAlign w:val="bottom"/>
            <w:tcBorders>
              <w:lef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1"/>
              </w:rPr>
              <w:t>Tax Receivable Agreement, dated as of June 16, 2021, by and among the Company and the other parties thereto (incorporated by reference to Exhibit 10.2 to the Current Report on Form 8-K filed on June 21,</w:t>
            </w:r>
          </w:p>
        </w:tc>
      </w:tr>
      <w:tr>
        <w:trPr>
          <w:trHeight w:val="151"/>
        </w:trPr>
        <w:tc>
          <w:tcPr>
            <w:tcW w:w="48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0000EE"/>
              <w:right w:val="single" w:sz="8" w:color="CCEEFF"/>
            </w:tcBorders>
            <w:shd w:val="clear" w:color="auto" w:fill="CCEEFF"/>
          </w:tcPr>
          <w:p>
            <w:pPr>
              <w:spacing w:after="0"/>
              <w:rPr>
                <w:sz w:val="13"/>
                <w:szCs w:val="13"/>
                <w:color w:val="auto"/>
              </w:rPr>
            </w:pPr>
          </w:p>
        </w:tc>
        <w:tc>
          <w:tcPr>
            <w:tcW w:w="100" w:type="dxa"/>
            <w:vAlign w:val="bottom"/>
            <w:tcBorders>
              <w:top w:val="single" w:sz="8" w:color="CCEEFF"/>
              <w:lef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2021).</w:t>
            </w:r>
          </w:p>
        </w:tc>
      </w:tr>
      <w:tr>
        <w:trPr>
          <w:trHeight w:val="117"/>
        </w:trPr>
        <w:tc>
          <w:tcPr>
            <w:tcW w:w="660" w:type="dxa"/>
            <w:vAlign w:val="bottom"/>
            <w:gridSpan w:val="2"/>
          </w:tcPr>
          <w:p>
            <w:pPr>
              <w:jc w:val="center"/>
              <w:ind w:left="401"/>
              <w:spacing w:after="0" w:line="117" w:lineRule="exact"/>
              <w:rPr>
                <w:rFonts w:ascii="Arial" w:cs="Arial" w:eastAsia="Arial" w:hAnsi="Arial"/>
                <w:sz w:val="12"/>
                <w:szCs w:val="12"/>
                <w:color w:val="0000EE"/>
                <w:w w:val="85"/>
              </w:rPr>
            </w:pPr>
            <w:hyperlink r:id="rId211">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3</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rPr>
              <w:t>Fourth Amended and Restated Operating Agreement of WMH LLC (incorporated by reference to Exhibit 10.3 to the Current Report on Form 8-K filed on June 21, 2021).</w:t>
            </w:r>
          </w:p>
        </w:tc>
      </w:tr>
      <w:tr>
        <w:trPr>
          <w:trHeight w:val="27"/>
        </w:trPr>
        <w:tc>
          <w:tcPr>
            <w:tcW w:w="480" w:type="dxa"/>
            <w:vAlign w:val="bottom"/>
            <w:tcBorders>
              <w:right w:val="single" w:sz="8" w:color="0000EE"/>
            </w:tcBorders>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117"/>
        </w:trPr>
        <w:tc>
          <w:tcPr>
            <w:tcW w:w="660" w:type="dxa"/>
            <w:vAlign w:val="bottom"/>
            <w:tcBorders>
              <w:right w:val="single" w:sz="8" w:color="CCEEFF"/>
            </w:tcBorders>
            <w:gridSpan w:val="2"/>
            <w:shd w:val="clear" w:color="auto" w:fill="CCEEFF"/>
          </w:tcPr>
          <w:p>
            <w:pPr>
              <w:jc w:val="center"/>
              <w:ind w:left="401"/>
              <w:spacing w:after="0" w:line="117" w:lineRule="exact"/>
              <w:rPr>
                <w:rFonts w:ascii="Arial" w:cs="Arial" w:eastAsia="Arial" w:hAnsi="Arial"/>
                <w:sz w:val="12"/>
                <w:szCs w:val="12"/>
                <w:color w:val="0000EE"/>
                <w:w w:val="85"/>
              </w:rPr>
            </w:pPr>
            <w:hyperlink r:id="rId212">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4</w:t>
              </w:r>
            </w:hyperlink>
          </w:p>
        </w:tc>
        <w:tc>
          <w:tcPr>
            <w:tcW w:w="100" w:type="dxa"/>
            <w:vAlign w:val="bottom"/>
            <w:tcBorders>
              <w:lef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Form of Subscription Agreement (incorporated by reference to Exhibit 10.1 to the Current Report on Form 8-K filed on December 10, 2020).</w:t>
            </w:r>
          </w:p>
        </w:tc>
      </w:tr>
      <w:tr>
        <w:trPr>
          <w:trHeight w:val="27"/>
        </w:trPr>
        <w:tc>
          <w:tcPr>
            <w:tcW w:w="480" w:type="dxa"/>
            <w:vAlign w:val="bottom"/>
            <w:tcBorders>
              <w:right w:val="single" w:sz="8" w:color="0000EE"/>
            </w:tcBorders>
            <w:shd w:val="clear" w:color="auto" w:fill="CCEEFF"/>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60" w:type="dxa"/>
            <w:vAlign w:val="bottom"/>
            <w:shd w:val="clear" w:color="auto" w:fill="CCEEFF"/>
          </w:tcPr>
          <w:p>
            <w:pPr>
              <w:spacing w:after="0"/>
              <w:rPr>
                <w:sz w:val="2"/>
                <w:szCs w:val="2"/>
                <w:color w:val="auto"/>
              </w:rPr>
            </w:pPr>
          </w:p>
        </w:tc>
      </w:tr>
      <w:tr>
        <w:trPr>
          <w:trHeight w:val="117"/>
        </w:trPr>
        <w:tc>
          <w:tcPr>
            <w:tcW w:w="660" w:type="dxa"/>
            <w:vAlign w:val="bottom"/>
            <w:gridSpan w:val="2"/>
          </w:tcPr>
          <w:p>
            <w:pPr>
              <w:jc w:val="center"/>
              <w:ind w:left="401"/>
              <w:spacing w:after="0" w:line="117" w:lineRule="exact"/>
              <w:rPr>
                <w:rFonts w:ascii="Arial" w:cs="Arial" w:eastAsia="Arial" w:hAnsi="Arial"/>
                <w:sz w:val="12"/>
                <w:szCs w:val="12"/>
                <w:color w:val="0000EE"/>
                <w:w w:val="85"/>
              </w:rPr>
            </w:pPr>
            <w:hyperlink r:id="rId213">
              <w:r>
                <w:rPr>
                  <w:rFonts w:ascii="Arial" w:cs="Arial" w:eastAsia="Arial" w:hAnsi="Arial"/>
                  <w:sz w:val="12"/>
                  <w:szCs w:val="12"/>
                  <w:color w:val="0000EE"/>
                  <w:w w:val="85"/>
                </w:rPr>
                <w:t>10.</w:t>
              </w:r>
              <w:r>
                <w:rPr>
                  <w:rFonts w:ascii="Arial" w:cs="Arial" w:eastAsia="Arial" w:hAnsi="Arial"/>
                  <w:sz w:val="12"/>
                  <w:szCs w:val="12"/>
                  <w:u w:val="single" w:color="auto"/>
                  <w:color w:val="0000EE"/>
                  <w:w w:val="85"/>
                </w:rPr>
                <w:t>5</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w w:val="90"/>
              </w:rPr>
              <w:t>Amended and Restated Registration Rights Agreement, dated as of June 16, 2021, by and among the Company, Silver Spike Sponsor and the other parties thereto (incorporated by reference to Exhibit 10.5 to</w:t>
            </w:r>
          </w:p>
        </w:tc>
      </w:tr>
      <w:tr>
        <w:trPr>
          <w:trHeight w:val="151"/>
        </w:trPr>
        <w:tc>
          <w:tcPr>
            <w:tcW w:w="4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tcPr>
          <w:p>
            <w:pPr>
              <w:spacing w:after="0"/>
              <w:rPr>
                <w:sz w:val="20"/>
                <w:szCs w:val="20"/>
                <w:color w:val="auto"/>
              </w:rPr>
            </w:pPr>
            <w:r>
              <w:rPr>
                <w:rFonts w:ascii="Arial" w:cs="Arial" w:eastAsia="Arial" w:hAnsi="Arial"/>
                <w:sz w:val="12"/>
                <w:szCs w:val="12"/>
                <w:color w:val="auto"/>
              </w:rPr>
              <w:t>the Current Report on Form 8-K filed on June 21, 2021).</w:t>
            </w:r>
          </w:p>
        </w:tc>
      </w:tr>
      <w:tr>
        <w:trPr>
          <w:trHeight w:val="124"/>
        </w:trPr>
        <w:tc>
          <w:tcPr>
            <w:tcW w:w="48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bottom w:val="single" w:sz="8" w:color="0000EE"/>
              <w:right w:val="single" w:sz="8" w:color="CCEEFF"/>
            </w:tcBorders>
            <w:shd w:val="clear" w:color="auto" w:fill="CCEEFF"/>
          </w:tcPr>
          <w:p>
            <w:pPr>
              <w:jc w:val="center"/>
              <w:spacing w:after="0" w:line="117" w:lineRule="exact"/>
              <w:rPr>
                <w:rFonts w:ascii="Arial" w:cs="Arial" w:eastAsia="Arial" w:hAnsi="Arial"/>
                <w:sz w:val="12"/>
                <w:szCs w:val="12"/>
                <w:color w:val="0000EE"/>
                <w:w w:val="73"/>
              </w:rPr>
            </w:pPr>
            <w:hyperlink r:id="rId214">
              <w:r>
                <w:rPr>
                  <w:rFonts w:ascii="Arial" w:cs="Arial" w:eastAsia="Arial" w:hAnsi="Arial"/>
                  <w:sz w:val="12"/>
                  <w:szCs w:val="12"/>
                  <w:color w:val="0000EE"/>
                  <w:w w:val="73"/>
                </w:rPr>
                <w:t>10.</w:t>
              </w:r>
              <w:r>
                <w:rPr>
                  <w:rFonts w:ascii="Arial" w:cs="Arial" w:eastAsia="Arial" w:hAnsi="Arial"/>
                  <w:sz w:val="12"/>
                  <w:szCs w:val="12"/>
                  <w:u w:val="single" w:color="auto"/>
                  <w:color w:val="0000EE"/>
                  <w:w w:val="73"/>
                </w:rPr>
                <w:t>6#</w:t>
              </w:r>
            </w:hyperlink>
          </w:p>
        </w:tc>
        <w:tc>
          <w:tcPr>
            <w:tcW w:w="100" w:type="dxa"/>
            <w:vAlign w:val="bottom"/>
            <w:tcBorders>
              <w:left w:val="single" w:sz="8" w:color="CCEEFF"/>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6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w w:val="96"/>
              </w:rPr>
              <w:t>Form of Indemnification Agreement by and between the Company and its directors and officers (incorporated by reference to Exhibit 10.6 to the Current Report on Form 8-K filed on June 21, 2021).</w:t>
            </w:r>
          </w:p>
        </w:tc>
      </w:tr>
      <w:tr>
        <w:trPr>
          <w:trHeight w:val="124"/>
        </w:trPr>
        <w:tc>
          <w:tcPr>
            <w:tcW w:w="480" w:type="dxa"/>
            <w:vAlign w:val="bottom"/>
          </w:tcPr>
          <w:p>
            <w:pPr>
              <w:spacing w:after="0"/>
              <w:rPr>
                <w:sz w:val="10"/>
                <w:szCs w:val="10"/>
                <w:color w:val="auto"/>
              </w:rPr>
            </w:pPr>
          </w:p>
        </w:tc>
        <w:tc>
          <w:tcPr>
            <w:tcW w:w="180" w:type="dxa"/>
            <w:vAlign w:val="bottom"/>
            <w:tcBorders>
              <w:bottom w:val="single" w:sz="8" w:color="0000EE"/>
            </w:tcBorders>
          </w:tcPr>
          <w:p>
            <w:pPr>
              <w:jc w:val="center"/>
              <w:spacing w:after="0" w:line="117" w:lineRule="exact"/>
              <w:rPr>
                <w:rFonts w:ascii="Arial" w:cs="Arial" w:eastAsia="Arial" w:hAnsi="Arial"/>
                <w:sz w:val="12"/>
                <w:szCs w:val="12"/>
                <w:color w:val="0000EE"/>
                <w:w w:val="73"/>
              </w:rPr>
            </w:pPr>
            <w:hyperlink r:id="rId215">
              <w:r>
                <w:rPr>
                  <w:rFonts w:ascii="Arial" w:cs="Arial" w:eastAsia="Arial" w:hAnsi="Arial"/>
                  <w:sz w:val="12"/>
                  <w:szCs w:val="12"/>
                  <w:color w:val="0000EE"/>
                  <w:w w:val="73"/>
                </w:rPr>
                <w:t>10.</w:t>
              </w:r>
              <w:r>
                <w:rPr>
                  <w:rFonts w:ascii="Arial" w:cs="Arial" w:eastAsia="Arial" w:hAnsi="Arial"/>
                  <w:sz w:val="12"/>
                  <w:szCs w:val="12"/>
                  <w:u w:val="single" w:color="auto"/>
                  <w:color w:val="0000EE"/>
                  <w:w w:val="73"/>
                </w:rPr>
                <w:t>7#</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rPr>
              <w:t>WM Technology, Inc. 2021 Equity Incentive Plan (incorporated by reference to Exhibit 10.7 to the Current Report on Form 8-K filed on June 21, 2021).</w:t>
            </w:r>
          </w:p>
        </w:tc>
      </w:tr>
      <w:tr>
        <w:trPr>
          <w:trHeight w:val="117"/>
        </w:trPr>
        <w:tc>
          <w:tcPr>
            <w:tcW w:w="48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4"/>
            <w:shd w:val="clear" w:color="auto" w:fill="CCEEFF"/>
          </w:tcPr>
          <w:p>
            <w:pPr>
              <w:jc w:val="center"/>
              <w:ind w:right="480"/>
              <w:spacing w:after="0"/>
              <w:rPr>
                <w:rFonts w:ascii="Arial" w:cs="Arial" w:eastAsia="Arial" w:hAnsi="Arial"/>
                <w:sz w:val="10"/>
                <w:szCs w:val="10"/>
                <w:color w:val="0000EE"/>
                <w:w w:val="75"/>
              </w:rPr>
            </w:pPr>
            <w:hyperlink r:id="rId216">
              <w:r>
                <w:rPr>
                  <w:rFonts w:ascii="Arial" w:cs="Arial" w:eastAsia="Arial" w:hAnsi="Arial"/>
                  <w:sz w:val="10"/>
                  <w:szCs w:val="10"/>
                  <w:color w:val="0000EE"/>
                  <w:w w:val="75"/>
                </w:rPr>
                <w:t>10.</w:t>
              </w:r>
              <w:r>
                <w:rPr>
                  <w:rFonts w:ascii="Arial" w:cs="Arial" w:eastAsia="Arial" w:hAnsi="Arial"/>
                  <w:sz w:val="10"/>
                  <w:szCs w:val="10"/>
                  <w:u w:val="single" w:color="auto"/>
                  <w:color w:val="0000EE"/>
                  <w:w w:val="75"/>
                </w:rPr>
                <w:t>7(a)#</w:t>
              </w:r>
            </w:hyperlink>
          </w:p>
        </w:tc>
        <w:tc>
          <w:tcPr>
            <w:tcW w:w="100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Form of Stock Option Grant Notice (incorporated by reference to Exhibit 10.7(a) to the Current Report on Form 8-K filed on June 21, 2021).</w:t>
            </w:r>
          </w:p>
        </w:tc>
      </w:tr>
      <w:tr>
        <w:trPr>
          <w:trHeight w:val="27"/>
        </w:trPr>
        <w:tc>
          <w:tcPr>
            <w:tcW w:w="480" w:type="dxa"/>
            <w:vAlign w:val="bottom"/>
            <w:tcBorders>
              <w:right w:val="single" w:sz="8" w:color="0000EE"/>
            </w:tcBorders>
            <w:shd w:val="clear" w:color="auto" w:fill="CCEEFF"/>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60" w:type="dxa"/>
            <w:vAlign w:val="bottom"/>
            <w:shd w:val="clear" w:color="auto" w:fill="CCEEFF"/>
          </w:tcPr>
          <w:p>
            <w:pPr>
              <w:spacing w:after="0"/>
              <w:rPr>
                <w:sz w:val="2"/>
                <w:szCs w:val="2"/>
                <w:color w:val="auto"/>
              </w:rPr>
            </w:pPr>
          </w:p>
        </w:tc>
      </w:tr>
      <w:tr>
        <w:trPr>
          <w:trHeight w:val="124"/>
        </w:trPr>
        <w:tc>
          <w:tcPr>
            <w:tcW w:w="480" w:type="dxa"/>
            <w:vAlign w:val="bottom"/>
          </w:tcPr>
          <w:p>
            <w:pPr>
              <w:spacing w:after="0"/>
              <w:rPr>
                <w:sz w:val="10"/>
                <w:szCs w:val="10"/>
                <w:color w:val="auto"/>
              </w:rPr>
            </w:pPr>
          </w:p>
        </w:tc>
        <w:tc>
          <w:tcPr>
            <w:tcW w:w="760" w:type="dxa"/>
            <w:vAlign w:val="bottom"/>
            <w:gridSpan w:val="4"/>
          </w:tcPr>
          <w:p>
            <w:pPr>
              <w:jc w:val="center"/>
              <w:ind w:right="480"/>
              <w:spacing w:after="0"/>
              <w:rPr>
                <w:rFonts w:ascii="Arial" w:cs="Arial" w:eastAsia="Arial" w:hAnsi="Arial"/>
                <w:sz w:val="10"/>
                <w:szCs w:val="10"/>
                <w:color w:val="0000EE"/>
                <w:w w:val="75"/>
              </w:rPr>
            </w:pPr>
            <w:hyperlink r:id="rId217">
              <w:r>
                <w:rPr>
                  <w:rFonts w:ascii="Arial" w:cs="Arial" w:eastAsia="Arial" w:hAnsi="Arial"/>
                  <w:sz w:val="10"/>
                  <w:szCs w:val="10"/>
                  <w:color w:val="0000EE"/>
                  <w:w w:val="75"/>
                </w:rPr>
                <w:t>10.</w:t>
              </w:r>
              <w:r>
                <w:rPr>
                  <w:rFonts w:ascii="Arial" w:cs="Arial" w:eastAsia="Arial" w:hAnsi="Arial"/>
                  <w:sz w:val="10"/>
                  <w:szCs w:val="10"/>
                  <w:u w:val="single" w:color="auto"/>
                  <w:color w:val="0000EE"/>
                  <w:w w:val="75"/>
                </w:rPr>
                <w:t>7(b)#</w:t>
              </w:r>
            </w:hyperlink>
          </w:p>
        </w:tc>
        <w:tc>
          <w:tcPr>
            <w:tcW w:w="10060" w:type="dxa"/>
            <w:vAlign w:val="bottom"/>
          </w:tcPr>
          <w:p>
            <w:pPr>
              <w:spacing w:after="0" w:line="117" w:lineRule="exact"/>
              <w:rPr>
                <w:sz w:val="20"/>
                <w:szCs w:val="20"/>
                <w:color w:val="auto"/>
              </w:rPr>
            </w:pPr>
            <w:r>
              <w:rPr>
                <w:rFonts w:ascii="Arial" w:cs="Arial" w:eastAsia="Arial" w:hAnsi="Arial"/>
                <w:sz w:val="12"/>
                <w:szCs w:val="12"/>
                <w:color w:val="auto"/>
              </w:rPr>
              <w:t>Form of RSU Award Grant Notice (incorporated by reference to Exhibit 10.7(b) to the Current Report on Form 8-K filed on June 21, 2021).</w:t>
            </w:r>
          </w:p>
        </w:tc>
      </w:tr>
      <w:tr>
        <w:trPr>
          <w:trHeight w:val="124"/>
        </w:trPr>
        <w:tc>
          <w:tcPr>
            <w:tcW w:w="480" w:type="dxa"/>
            <w:vAlign w:val="bottom"/>
            <w:tcBorders>
              <w:bottom w:val="single" w:sz="8" w:color="CCEEFF"/>
              <w:right w:val="single" w:sz="8" w:color="CCEEFF"/>
            </w:tcBorders>
            <w:shd w:val="clear" w:color="auto" w:fill="CCEEFF"/>
          </w:tcPr>
          <w:p>
            <w:pPr>
              <w:spacing w:after="0"/>
              <w:rPr>
                <w:sz w:val="10"/>
                <w:szCs w:val="10"/>
                <w:color w:val="auto"/>
              </w:rPr>
            </w:pPr>
          </w:p>
        </w:tc>
        <w:tc>
          <w:tcPr>
            <w:tcW w:w="180" w:type="dxa"/>
            <w:vAlign w:val="bottom"/>
            <w:tcBorders>
              <w:top w:val="single" w:sz="8" w:color="0000EE"/>
              <w:bottom w:val="single" w:sz="8" w:color="0000EE"/>
              <w:right w:val="single" w:sz="8" w:color="CCEEFF"/>
            </w:tcBorders>
            <w:shd w:val="clear" w:color="auto" w:fill="CCEEFF"/>
          </w:tcPr>
          <w:p>
            <w:pPr>
              <w:jc w:val="center"/>
              <w:spacing w:after="0" w:line="117" w:lineRule="exact"/>
              <w:rPr>
                <w:rFonts w:ascii="Arial" w:cs="Arial" w:eastAsia="Arial" w:hAnsi="Arial"/>
                <w:sz w:val="12"/>
                <w:szCs w:val="12"/>
                <w:color w:val="0000EE"/>
                <w:w w:val="73"/>
              </w:rPr>
            </w:pPr>
            <w:hyperlink r:id="rId218">
              <w:r>
                <w:rPr>
                  <w:rFonts w:ascii="Arial" w:cs="Arial" w:eastAsia="Arial" w:hAnsi="Arial"/>
                  <w:sz w:val="12"/>
                  <w:szCs w:val="12"/>
                  <w:color w:val="0000EE"/>
                  <w:w w:val="73"/>
                </w:rPr>
                <w:t>10.</w:t>
              </w:r>
              <w:r>
                <w:rPr>
                  <w:rFonts w:ascii="Arial" w:cs="Arial" w:eastAsia="Arial" w:hAnsi="Arial"/>
                  <w:sz w:val="12"/>
                  <w:szCs w:val="12"/>
                  <w:u w:val="single" w:color="auto"/>
                  <w:color w:val="0000EE"/>
                  <w:w w:val="73"/>
                </w:rPr>
                <w:t>8#</w:t>
              </w:r>
            </w:hyperlink>
          </w:p>
        </w:tc>
        <w:tc>
          <w:tcPr>
            <w:tcW w:w="100" w:type="dxa"/>
            <w:vAlign w:val="bottom"/>
            <w:tcBorders>
              <w:top w:val="single" w:sz="8" w:color="0000EE"/>
              <w:left w:val="single" w:sz="8" w:color="CCEEFF"/>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6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WM Technology, Inc. 2021 Employee Stock Purchase Plan (incorporated by reference to Exhibit 10.8 to the Current Report on Form 8-K filed on June 21, 2021).</w:t>
            </w:r>
          </w:p>
        </w:tc>
      </w:tr>
      <w:tr>
        <w:trPr>
          <w:trHeight w:val="124"/>
        </w:trPr>
        <w:tc>
          <w:tcPr>
            <w:tcW w:w="480" w:type="dxa"/>
            <w:vAlign w:val="bottom"/>
          </w:tcPr>
          <w:p>
            <w:pPr>
              <w:spacing w:after="0"/>
              <w:rPr>
                <w:sz w:val="10"/>
                <w:szCs w:val="10"/>
                <w:color w:val="auto"/>
              </w:rPr>
            </w:pPr>
          </w:p>
        </w:tc>
        <w:tc>
          <w:tcPr>
            <w:tcW w:w="180" w:type="dxa"/>
            <w:vAlign w:val="bottom"/>
            <w:tcBorders>
              <w:bottom w:val="single" w:sz="8" w:color="0000EE"/>
            </w:tcBorders>
          </w:tcPr>
          <w:p>
            <w:pPr>
              <w:jc w:val="center"/>
              <w:spacing w:after="0" w:line="117" w:lineRule="exact"/>
              <w:rPr>
                <w:rFonts w:ascii="Arial" w:cs="Arial" w:eastAsia="Arial" w:hAnsi="Arial"/>
                <w:sz w:val="12"/>
                <w:szCs w:val="12"/>
                <w:color w:val="0000EE"/>
                <w:w w:val="73"/>
              </w:rPr>
            </w:pPr>
            <w:hyperlink r:id="rId219">
              <w:r>
                <w:rPr>
                  <w:rFonts w:ascii="Arial" w:cs="Arial" w:eastAsia="Arial" w:hAnsi="Arial"/>
                  <w:sz w:val="12"/>
                  <w:szCs w:val="12"/>
                  <w:color w:val="0000EE"/>
                  <w:w w:val="73"/>
                </w:rPr>
                <w:t>10.</w:t>
              </w:r>
              <w:r>
                <w:rPr>
                  <w:rFonts w:ascii="Arial" w:cs="Arial" w:eastAsia="Arial" w:hAnsi="Arial"/>
                  <w:sz w:val="12"/>
                  <w:szCs w:val="12"/>
                  <w:u w:val="single" w:color="auto"/>
                  <w:color w:val="0000EE"/>
                  <w:w w:val="73"/>
                </w:rPr>
                <w:t>9#</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w w:val="92"/>
              </w:rPr>
              <w:t>Offer letter by and between Ghost Management Group, LLC and Christopher Beals, dated July 31, 2015 (incorporated by reference to Exhibit 10.9 to the Current Report on Form 8-K filed on June 21, 2021).</w:t>
            </w:r>
          </w:p>
        </w:tc>
      </w:tr>
      <w:tr>
        <w:trPr>
          <w:trHeight w:val="117"/>
        </w:trPr>
        <w:tc>
          <w:tcPr>
            <w:tcW w:w="760" w:type="dxa"/>
            <w:vAlign w:val="bottom"/>
            <w:gridSpan w:val="3"/>
            <w:shd w:val="clear" w:color="auto" w:fill="CCEEFF"/>
          </w:tcPr>
          <w:p>
            <w:pPr>
              <w:jc w:val="center"/>
              <w:ind w:left="301"/>
              <w:spacing w:after="0" w:line="117" w:lineRule="exact"/>
              <w:rPr>
                <w:rFonts w:ascii="Arial" w:cs="Arial" w:eastAsia="Arial" w:hAnsi="Arial"/>
                <w:sz w:val="12"/>
                <w:szCs w:val="12"/>
                <w:color w:val="0000EE"/>
                <w:w w:val="87"/>
              </w:rPr>
            </w:pPr>
            <w:hyperlink r:id="rId220">
              <w:r>
                <w:rPr>
                  <w:rFonts w:ascii="Arial" w:cs="Arial" w:eastAsia="Arial" w:hAnsi="Arial"/>
                  <w:sz w:val="12"/>
                  <w:szCs w:val="12"/>
                  <w:color w:val="0000EE"/>
                  <w:w w:val="87"/>
                </w:rPr>
                <w:t>10.</w:t>
              </w:r>
              <w:r>
                <w:rPr>
                  <w:rFonts w:ascii="Arial" w:cs="Arial" w:eastAsia="Arial" w:hAnsi="Arial"/>
                  <w:sz w:val="12"/>
                  <w:szCs w:val="12"/>
                  <w:u w:val="single" w:color="auto"/>
                  <w:color w:val="0000EE"/>
                  <w:w w:val="87"/>
                </w:rPr>
                <w:t>10#</w:t>
              </w:r>
            </w:hyperlink>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2"/>
              </w:rPr>
              <w:t>Offer letter by and between Ghost Management Group, LLC and Justin Dean, dated October 3, 2018 (incorporated by reference to Exhibit 10.10 to the Current Report on Form 8-K filed on June 21, 2021).</w:t>
            </w:r>
          </w:p>
        </w:tc>
      </w:tr>
      <w:tr>
        <w:trPr>
          <w:trHeight w:val="27"/>
        </w:trPr>
        <w:tc>
          <w:tcPr>
            <w:tcW w:w="480" w:type="dxa"/>
            <w:vAlign w:val="bottom"/>
            <w:tcBorders>
              <w:right w:val="single" w:sz="8" w:color="0000EE"/>
            </w:tcBorders>
            <w:shd w:val="clear" w:color="auto" w:fill="CCEEFF"/>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60" w:type="dxa"/>
            <w:vAlign w:val="bottom"/>
            <w:shd w:val="clear" w:color="auto" w:fill="CCEEFF"/>
          </w:tcPr>
          <w:p>
            <w:pPr>
              <w:spacing w:after="0"/>
              <w:rPr>
                <w:sz w:val="2"/>
                <w:szCs w:val="2"/>
                <w:color w:val="auto"/>
              </w:rPr>
            </w:pPr>
          </w:p>
        </w:tc>
      </w:tr>
      <w:tr>
        <w:trPr>
          <w:trHeight w:val="117"/>
        </w:trPr>
        <w:tc>
          <w:tcPr>
            <w:tcW w:w="660" w:type="dxa"/>
            <w:vAlign w:val="bottom"/>
            <w:gridSpan w:val="2"/>
          </w:tcPr>
          <w:p>
            <w:pPr>
              <w:jc w:val="center"/>
              <w:ind w:left="281"/>
              <w:spacing w:after="0" w:line="117" w:lineRule="exact"/>
              <w:rPr>
                <w:rFonts w:ascii="Arial" w:cs="Arial" w:eastAsia="Arial" w:hAnsi="Arial"/>
                <w:sz w:val="12"/>
                <w:szCs w:val="12"/>
                <w:color w:val="0000EE"/>
                <w:w w:val="87"/>
              </w:rPr>
            </w:pPr>
            <w:hyperlink r:id="rId221">
              <w:r>
                <w:rPr>
                  <w:rFonts w:ascii="Arial" w:cs="Arial" w:eastAsia="Arial" w:hAnsi="Arial"/>
                  <w:sz w:val="12"/>
                  <w:szCs w:val="12"/>
                  <w:color w:val="0000EE"/>
                  <w:w w:val="87"/>
                </w:rPr>
                <w:t>10.</w:t>
              </w:r>
              <w:r>
                <w:rPr>
                  <w:rFonts w:ascii="Arial" w:cs="Arial" w:eastAsia="Arial" w:hAnsi="Arial"/>
                  <w:sz w:val="12"/>
                  <w:szCs w:val="12"/>
                  <w:u w:val="single" w:color="auto"/>
                  <w:color w:val="0000EE"/>
                  <w:w w:val="87"/>
                </w:rPr>
                <w:t>11#</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tcPr>
          <w:p>
            <w:pPr>
              <w:spacing w:after="0" w:line="117" w:lineRule="exact"/>
              <w:rPr>
                <w:sz w:val="20"/>
                <w:szCs w:val="20"/>
                <w:color w:val="auto"/>
              </w:rPr>
            </w:pPr>
            <w:r>
              <w:rPr>
                <w:rFonts w:ascii="Arial" w:cs="Arial" w:eastAsia="Arial" w:hAnsi="Arial"/>
                <w:sz w:val="12"/>
                <w:szCs w:val="12"/>
                <w:color w:val="auto"/>
                <w:w w:val="93"/>
              </w:rPr>
              <w:t>Offer letter by and between Ghost Management Group, LLC and Steven Jung, dated May 17, 2017 (incorporated by reference to Exhibit 10.11 to the Current Report on Form 8-K filed on June 21, 2021).</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181" w:name="page182"/>
    <w:bookmarkEnd w:id="181"/>
    <w:tbl>
      <w:tblPr>
        <w:tblLayout w:type="fixed"/>
        <w:tblInd w:w="8" w:type="dxa"/>
        <w:tblCellMar>
          <w:top w:w="0" w:type="dxa"/>
          <w:left w:w="0" w:type="dxa"/>
          <w:bottom w:w="0" w:type="dxa"/>
          <w:right w:w="0" w:type="dxa"/>
        </w:tblCellMar>
      </w:tblPr>
      <w:tr>
        <w:trPr>
          <w:trHeight w:val="115"/>
        </w:trPr>
        <w:tc>
          <w:tcPr>
            <w:tcW w:w="1240" w:type="dxa"/>
            <w:vAlign w:val="bottom"/>
            <w:gridSpan w:val="5"/>
          </w:tcPr>
          <w:p>
            <w:pPr>
              <w:spacing w:after="0"/>
              <w:rPr>
                <w:rFonts w:ascii="Arial" w:cs="Arial" w:eastAsia="Arial" w:hAnsi="Arial"/>
                <w:sz w:val="10"/>
                <w:szCs w:val="10"/>
                <w:i w:val="1"/>
                <w:iCs w:val="1"/>
                <w:color w:val="0000EE"/>
              </w:rPr>
            </w:pPr>
            <w:hyperlink w:anchor="page3">
              <w:r>
                <w:rPr>
                  <w:rFonts w:ascii="Arial" w:cs="Arial" w:eastAsia="Arial" w:hAnsi="Arial"/>
                  <w:sz w:val="10"/>
                  <w:szCs w:val="10"/>
                  <w:i w:val="1"/>
                  <w:iCs w:val="1"/>
                  <w:color w:val="0000EE"/>
                </w:rPr>
                <w:t>Table of Contents</w:t>
              </w:r>
            </w:hyperlink>
          </w:p>
        </w:tc>
        <w:tc>
          <w:tcPr>
            <w:tcW w:w="1580" w:type="dxa"/>
            <w:vAlign w:val="bottom"/>
          </w:tcPr>
          <w:p>
            <w:pPr>
              <w:spacing w:after="0"/>
              <w:rPr>
                <w:sz w:val="10"/>
                <w:szCs w:val="10"/>
                <w:color w:val="auto"/>
              </w:rPr>
            </w:pPr>
          </w:p>
        </w:tc>
        <w:tc>
          <w:tcPr>
            <w:tcW w:w="8480" w:type="dxa"/>
            <w:vAlign w:val="bottom"/>
          </w:tcPr>
          <w:p>
            <w:pPr>
              <w:spacing w:after="0"/>
              <w:rPr>
                <w:sz w:val="10"/>
                <w:szCs w:val="10"/>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60" w:type="dxa"/>
            <w:vAlign w:val="bottom"/>
            <w:gridSpan w:val="2"/>
          </w:tcPr>
          <w:p>
            <w:pPr>
              <w:spacing w:after="0" w:line="20" w:lineRule="exact"/>
              <w:rPr>
                <w:sz w:val="1"/>
                <w:szCs w:val="1"/>
                <w:color w:val="auto"/>
              </w:rPr>
            </w:pPr>
          </w:p>
        </w:tc>
      </w:tr>
      <w:tr>
        <w:trPr>
          <w:trHeight w:val="257"/>
        </w:trPr>
        <w:tc>
          <w:tcPr>
            <w:tcW w:w="12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5"/>
              </w:rPr>
              <w:t>Exhibit No.</w:t>
            </w:r>
          </w:p>
        </w:tc>
        <w:tc>
          <w:tcPr>
            <w:tcW w:w="100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117"/>
        </w:trPr>
        <w:tc>
          <w:tcPr>
            <w:tcW w:w="660" w:type="dxa"/>
            <w:vAlign w:val="bottom"/>
            <w:tcBorders>
              <w:top w:val="single" w:sz="8" w:color="auto"/>
            </w:tcBorders>
            <w:gridSpan w:val="3"/>
            <w:shd w:val="clear" w:color="auto" w:fill="CCEEFF"/>
          </w:tcPr>
          <w:p>
            <w:pPr>
              <w:jc w:val="center"/>
              <w:ind w:left="321"/>
              <w:spacing w:after="0" w:line="117" w:lineRule="exact"/>
              <w:rPr>
                <w:rFonts w:ascii="Arial" w:cs="Arial" w:eastAsia="Arial" w:hAnsi="Arial"/>
                <w:sz w:val="12"/>
                <w:szCs w:val="12"/>
                <w:color w:val="0000EE"/>
                <w:w w:val="93"/>
              </w:rPr>
            </w:pPr>
            <w:hyperlink r:id="rId223">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12</w:t>
              </w:r>
            </w:hyperlink>
          </w:p>
        </w:tc>
        <w:tc>
          <w:tcPr>
            <w:tcW w:w="460" w:type="dxa"/>
            <w:vAlign w:val="bottom"/>
            <w:tcBorders>
              <w:top w:val="single" w:sz="8" w:color="auto"/>
              <w:left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60" w:type="dxa"/>
            <w:vAlign w:val="bottom"/>
            <w:tcBorders>
              <w:top w:val="single" w:sz="8" w:color="auto"/>
            </w:tcBorders>
            <w:gridSpan w:val="2"/>
            <w:shd w:val="clear" w:color="auto" w:fill="CCEEFF"/>
          </w:tcPr>
          <w:p>
            <w:pPr>
              <w:spacing w:after="0" w:line="117" w:lineRule="exact"/>
              <w:rPr>
                <w:sz w:val="20"/>
                <w:szCs w:val="20"/>
                <w:color w:val="auto"/>
              </w:rPr>
            </w:pPr>
            <w:r>
              <w:rPr>
                <w:rFonts w:ascii="Arial" w:cs="Arial" w:eastAsia="Arial" w:hAnsi="Arial"/>
                <w:sz w:val="12"/>
                <w:szCs w:val="12"/>
                <w:color w:val="auto"/>
                <w:w w:val="92"/>
              </w:rPr>
              <w:t>Lease by and between the Irvine Company LLC and Ghost Media Group, LLC, dated November 11, 2013, as amended (incorporated by reference to Exhibit 10.12 to the Current Report on Form 8-K filed on</w:t>
            </w:r>
          </w:p>
        </w:tc>
      </w:tr>
      <w:tr>
        <w:trPr>
          <w:trHeight w:val="151"/>
        </w:trPr>
        <w:tc>
          <w:tcPr>
            <w:tcW w:w="4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June 21, 2021).</w:t>
            </w:r>
          </w:p>
        </w:tc>
      </w:tr>
      <w:tr>
        <w:trPr>
          <w:trHeight w:val="117"/>
        </w:trPr>
        <w:tc>
          <w:tcPr>
            <w:tcW w:w="660" w:type="dxa"/>
            <w:vAlign w:val="bottom"/>
            <w:gridSpan w:val="3"/>
          </w:tcPr>
          <w:p>
            <w:pPr>
              <w:jc w:val="center"/>
              <w:ind w:left="321"/>
              <w:spacing w:after="0" w:line="117" w:lineRule="exact"/>
              <w:rPr>
                <w:rFonts w:ascii="Arial" w:cs="Arial" w:eastAsia="Arial" w:hAnsi="Arial"/>
                <w:sz w:val="12"/>
                <w:szCs w:val="12"/>
                <w:color w:val="0000EE"/>
                <w:w w:val="93"/>
              </w:rPr>
            </w:pPr>
            <w:hyperlink r:id="rId224">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13</w:t>
              </w:r>
            </w:hyperlink>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2"/>
          </w:tcPr>
          <w:p>
            <w:pPr>
              <w:spacing w:after="0" w:line="117" w:lineRule="exact"/>
              <w:rPr>
                <w:sz w:val="20"/>
                <w:szCs w:val="20"/>
                <w:color w:val="auto"/>
              </w:rPr>
            </w:pPr>
            <w:r>
              <w:rPr>
                <w:rFonts w:ascii="Arial" w:cs="Arial" w:eastAsia="Arial" w:hAnsi="Arial"/>
                <w:sz w:val="12"/>
                <w:szCs w:val="12"/>
                <w:color w:val="auto"/>
                <w:w w:val="95"/>
              </w:rPr>
              <w:t>First Amendment to Lease and Consent to Assignment by and between Discovery Business Center LLC, as successor-in-interest to the Irvine Company LLC, and Ghost Management Group, LLC, as</w:t>
            </w:r>
          </w:p>
        </w:tc>
      </w:tr>
      <w:tr>
        <w:trPr>
          <w:trHeight w:val="151"/>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successor-in-interest to Ghost Media Group, LLC, dated January 27, 2016 (incorporated by reference to Exhibit 10.13 to the Current Report on Form 8-K filed on June 21, 2021).</w:t>
            </w:r>
          </w:p>
        </w:tc>
      </w:tr>
      <w:tr>
        <w:trPr>
          <w:trHeight w:val="117"/>
        </w:trPr>
        <w:tc>
          <w:tcPr>
            <w:tcW w:w="660" w:type="dxa"/>
            <w:vAlign w:val="bottom"/>
            <w:gridSpan w:val="3"/>
            <w:shd w:val="clear" w:color="auto" w:fill="CCEEFF"/>
          </w:tcPr>
          <w:p>
            <w:pPr>
              <w:jc w:val="center"/>
              <w:ind w:left="321"/>
              <w:spacing w:after="0" w:line="117" w:lineRule="exact"/>
              <w:rPr>
                <w:rFonts w:ascii="Arial" w:cs="Arial" w:eastAsia="Arial" w:hAnsi="Arial"/>
                <w:sz w:val="12"/>
                <w:szCs w:val="12"/>
                <w:color w:val="0000EE"/>
                <w:w w:val="93"/>
              </w:rPr>
            </w:pPr>
            <w:hyperlink r:id="rId225">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14</w:t>
              </w:r>
            </w:hyperlink>
          </w:p>
        </w:tc>
        <w:tc>
          <w:tcPr>
            <w:tcW w:w="4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w w:val="92"/>
              </w:rPr>
              <w:t>Second Amendment to Lease, by and between Discovery Business Center LLC and Ghost Management Group, LLC, dated April 7, 2017 (incorporated by reference to Exhibit 10.14 to the Current Report on</w:t>
            </w:r>
          </w:p>
        </w:tc>
      </w:tr>
      <w:tr>
        <w:trPr>
          <w:trHeight w:val="151"/>
        </w:trPr>
        <w:tc>
          <w:tcPr>
            <w:tcW w:w="4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Form 8-K filed on June 21, 2021).</w:t>
            </w:r>
          </w:p>
        </w:tc>
      </w:tr>
      <w:tr>
        <w:trPr>
          <w:trHeight w:val="117"/>
        </w:trPr>
        <w:tc>
          <w:tcPr>
            <w:tcW w:w="660" w:type="dxa"/>
            <w:vAlign w:val="bottom"/>
            <w:gridSpan w:val="3"/>
          </w:tcPr>
          <w:p>
            <w:pPr>
              <w:jc w:val="center"/>
              <w:ind w:left="321"/>
              <w:spacing w:after="0" w:line="117" w:lineRule="exact"/>
              <w:rPr>
                <w:rFonts w:ascii="Arial" w:cs="Arial" w:eastAsia="Arial" w:hAnsi="Arial"/>
                <w:sz w:val="12"/>
                <w:szCs w:val="12"/>
                <w:color w:val="0000EE"/>
                <w:w w:val="93"/>
              </w:rPr>
            </w:pPr>
            <w:hyperlink r:id="rId226">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15</w:t>
              </w:r>
            </w:hyperlink>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2"/>
          </w:tcPr>
          <w:p>
            <w:pPr>
              <w:spacing w:after="0" w:line="117" w:lineRule="exact"/>
              <w:rPr>
                <w:sz w:val="20"/>
                <w:szCs w:val="20"/>
                <w:color w:val="auto"/>
              </w:rPr>
            </w:pPr>
            <w:r>
              <w:rPr>
                <w:rFonts w:ascii="Arial" w:cs="Arial" w:eastAsia="Arial" w:hAnsi="Arial"/>
                <w:sz w:val="12"/>
                <w:szCs w:val="12"/>
                <w:color w:val="auto"/>
                <w:w w:val="91"/>
              </w:rPr>
              <w:t>Third Amendment to Lease, by and between Discovery Business Center LLC and Ghost Management Group, LLC, dated December 29, 2017 (incorporated by reference to Exhibit 10.15 to the Current Report</w:t>
            </w:r>
          </w:p>
        </w:tc>
      </w:tr>
      <w:tr>
        <w:trPr>
          <w:trHeight w:val="151"/>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2"/>
          </w:tcPr>
          <w:p>
            <w:pPr>
              <w:spacing w:after="0"/>
              <w:rPr>
                <w:sz w:val="20"/>
                <w:szCs w:val="20"/>
                <w:color w:val="auto"/>
              </w:rPr>
            </w:pPr>
            <w:r>
              <w:rPr>
                <w:rFonts w:ascii="Arial" w:cs="Arial" w:eastAsia="Arial" w:hAnsi="Arial"/>
                <w:sz w:val="12"/>
                <w:szCs w:val="12"/>
                <w:color w:val="auto"/>
              </w:rPr>
              <w:t>on Form 8-K filed on June 21, 2021).</w:t>
            </w:r>
          </w:p>
        </w:tc>
      </w:tr>
      <w:tr>
        <w:trPr>
          <w:trHeight w:val="117"/>
        </w:trPr>
        <w:tc>
          <w:tcPr>
            <w:tcW w:w="660" w:type="dxa"/>
            <w:vAlign w:val="bottom"/>
            <w:gridSpan w:val="3"/>
            <w:shd w:val="clear" w:color="auto" w:fill="CCEEFF"/>
          </w:tcPr>
          <w:p>
            <w:pPr>
              <w:jc w:val="center"/>
              <w:ind w:left="321"/>
              <w:spacing w:after="0" w:line="117" w:lineRule="exact"/>
              <w:rPr>
                <w:rFonts w:ascii="Arial" w:cs="Arial" w:eastAsia="Arial" w:hAnsi="Arial"/>
                <w:sz w:val="12"/>
                <w:szCs w:val="12"/>
                <w:color w:val="0000EE"/>
                <w:w w:val="93"/>
              </w:rPr>
            </w:pPr>
            <w:hyperlink r:id="rId227">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16</w:t>
              </w:r>
            </w:hyperlink>
          </w:p>
        </w:tc>
        <w:tc>
          <w:tcPr>
            <w:tcW w:w="4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w w:val="92"/>
              </w:rPr>
              <w:t>Fourth Amendment to Lease, by and between Discovery Business Center LLC and Ghost Management Group, LLC, dated May 3, 2018 (incorporated by reference to Exhibit 10.16 to the Current Report on</w:t>
            </w:r>
          </w:p>
        </w:tc>
      </w:tr>
      <w:tr>
        <w:trPr>
          <w:trHeight w:val="151"/>
        </w:trPr>
        <w:tc>
          <w:tcPr>
            <w:tcW w:w="4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Form 8-K filed on June 21, 2021).</w:t>
            </w:r>
          </w:p>
        </w:tc>
      </w:tr>
      <w:tr>
        <w:trPr>
          <w:trHeight w:val="124"/>
        </w:trPr>
        <w:tc>
          <w:tcPr>
            <w:tcW w:w="460" w:type="dxa"/>
            <w:vAlign w:val="bottom"/>
            <w:gridSpan w:val="2"/>
          </w:tcPr>
          <w:p>
            <w:pPr>
              <w:spacing w:after="0"/>
              <w:rPr>
                <w:sz w:val="10"/>
                <w:szCs w:val="10"/>
                <w:color w:val="auto"/>
              </w:rPr>
            </w:pPr>
          </w:p>
        </w:tc>
        <w:tc>
          <w:tcPr>
            <w:tcW w:w="200" w:type="dxa"/>
            <w:vAlign w:val="bottom"/>
            <w:tcBorders>
              <w:bottom w:val="single" w:sz="8" w:color="0000EE"/>
            </w:tcBorders>
          </w:tcPr>
          <w:p>
            <w:pPr>
              <w:jc w:val="center"/>
              <w:spacing w:after="0" w:line="117" w:lineRule="exact"/>
              <w:rPr>
                <w:rFonts w:ascii="Arial" w:cs="Arial" w:eastAsia="Arial" w:hAnsi="Arial"/>
                <w:sz w:val="12"/>
                <w:szCs w:val="12"/>
                <w:color w:val="0000EE"/>
                <w:w w:val="79"/>
              </w:rPr>
            </w:pPr>
            <w:hyperlink r:id="rId228">
              <w:r>
                <w:rPr>
                  <w:rFonts w:ascii="Arial" w:cs="Arial" w:eastAsia="Arial" w:hAnsi="Arial"/>
                  <w:sz w:val="12"/>
                  <w:szCs w:val="12"/>
                  <w:color w:val="0000EE"/>
                  <w:w w:val="79"/>
                </w:rPr>
                <w:t>10.</w:t>
              </w:r>
              <w:r>
                <w:rPr>
                  <w:rFonts w:ascii="Arial" w:cs="Arial" w:eastAsia="Arial" w:hAnsi="Arial"/>
                  <w:sz w:val="12"/>
                  <w:szCs w:val="12"/>
                  <w:u w:val="single" w:color="auto"/>
                  <w:color w:val="0000EE"/>
                  <w:w w:val="79"/>
                </w:rPr>
                <w:t>17</w:t>
              </w:r>
            </w:hyperlink>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2"/>
          </w:tcPr>
          <w:p>
            <w:pPr>
              <w:spacing w:after="0" w:line="117" w:lineRule="exact"/>
              <w:rPr>
                <w:sz w:val="20"/>
                <w:szCs w:val="20"/>
                <w:color w:val="auto"/>
              </w:rPr>
            </w:pPr>
            <w:r>
              <w:rPr>
                <w:rFonts w:ascii="Arial" w:cs="Arial" w:eastAsia="Arial" w:hAnsi="Arial"/>
                <w:sz w:val="12"/>
                <w:szCs w:val="12"/>
                <w:color w:val="auto"/>
                <w:w w:val="93"/>
              </w:rPr>
              <w:t>Strategic Advisor Agreement, by and between the Company and Steven Jung, dated June 21, 2021 (incorporated by reference to Exhibit 10.17 to the Current Report on Form 8-K filed on June 21, 2021).</w:t>
            </w:r>
          </w:p>
        </w:tc>
      </w:tr>
      <w:tr>
        <w:trPr>
          <w:trHeight w:val="124"/>
        </w:trPr>
        <w:tc>
          <w:tcPr>
            <w:tcW w:w="1120" w:type="dxa"/>
            <w:vAlign w:val="bottom"/>
            <w:gridSpan w:val="4"/>
            <w:shd w:val="clear" w:color="auto" w:fill="CCEEFF"/>
          </w:tcPr>
          <w:p>
            <w:pPr>
              <w:jc w:val="center"/>
              <w:spacing w:after="0" w:line="117" w:lineRule="exact"/>
              <w:rPr>
                <w:rFonts w:ascii="Arial" w:cs="Arial" w:eastAsia="Arial" w:hAnsi="Arial"/>
                <w:sz w:val="12"/>
                <w:szCs w:val="12"/>
                <w:color w:val="0000EE"/>
                <w:w w:val="87"/>
              </w:rPr>
            </w:pPr>
            <w:hyperlink r:id="rId229">
              <w:r>
                <w:rPr>
                  <w:rFonts w:ascii="Arial" w:cs="Arial" w:eastAsia="Arial" w:hAnsi="Arial"/>
                  <w:sz w:val="12"/>
                  <w:szCs w:val="12"/>
                  <w:color w:val="0000EE"/>
                  <w:w w:val="87"/>
                </w:rPr>
                <w:t>10.</w:t>
              </w:r>
              <w:r>
                <w:rPr>
                  <w:rFonts w:ascii="Arial" w:cs="Arial" w:eastAsia="Arial" w:hAnsi="Arial"/>
                  <w:sz w:val="12"/>
                  <w:szCs w:val="12"/>
                  <w:u w:val="single" w:color="auto"/>
                  <w:color w:val="0000EE"/>
                  <w:w w:val="87"/>
                </w:rPr>
                <w:t>18#</w:t>
              </w:r>
            </w:hyperlink>
          </w:p>
        </w:tc>
        <w:tc>
          <w:tcPr>
            <w:tcW w:w="120" w:type="dxa"/>
            <w:vAlign w:val="bottom"/>
            <w:shd w:val="clear" w:color="auto" w:fill="CCEEFF"/>
          </w:tcPr>
          <w:p>
            <w:pPr>
              <w:spacing w:after="0"/>
              <w:rPr>
                <w:sz w:val="10"/>
                <w:szCs w:val="10"/>
                <w:color w:val="auto"/>
              </w:rPr>
            </w:pPr>
          </w:p>
        </w:tc>
        <w:tc>
          <w:tcPr>
            <w:tcW w:w="1006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WM Technology, Inc. Non-Employee Director Compensation Policy (incorporated by reference to Exhibit 10.1 to the Quarterly Report on Form 10-Q filed on November 12, 2021).</w:t>
            </w:r>
          </w:p>
        </w:tc>
      </w:tr>
      <w:tr>
        <w:trPr>
          <w:trHeight w:val="117"/>
        </w:trPr>
        <w:tc>
          <w:tcPr>
            <w:tcW w:w="40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gridSpan w:val="2"/>
          </w:tcPr>
          <w:p>
            <w:pPr>
              <w:jc w:val="center"/>
              <w:spacing w:after="0" w:line="117" w:lineRule="exact"/>
              <w:rPr>
                <w:rFonts w:ascii="Arial" w:cs="Arial" w:eastAsia="Arial" w:hAnsi="Arial"/>
                <w:sz w:val="12"/>
                <w:szCs w:val="12"/>
                <w:color w:val="0000EE"/>
                <w:w w:val="85"/>
              </w:rPr>
            </w:pPr>
            <w:hyperlink r:id="rId230">
              <w:r>
                <w:rPr>
                  <w:rFonts w:ascii="Arial" w:cs="Arial" w:eastAsia="Arial" w:hAnsi="Arial"/>
                  <w:sz w:val="12"/>
                  <w:szCs w:val="12"/>
                  <w:color w:val="0000EE"/>
                  <w:w w:val="85"/>
                </w:rPr>
                <w:t>16.</w:t>
              </w:r>
              <w:r>
                <w:rPr>
                  <w:rFonts w:ascii="Arial" w:cs="Arial" w:eastAsia="Arial" w:hAnsi="Arial"/>
                  <w:sz w:val="12"/>
                  <w:szCs w:val="12"/>
                  <w:u w:val="single" w:color="auto"/>
                  <w:color w:val="0000EE"/>
                  <w:w w:val="85"/>
                </w:rPr>
                <w:t>1</w:t>
              </w:r>
            </w:hyperlink>
          </w:p>
        </w:tc>
        <w:tc>
          <w:tcPr>
            <w:tcW w:w="4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60" w:type="dxa"/>
            <w:vAlign w:val="bottom"/>
            <w:tcBorders>
              <w:top w:val="single" w:sz="8" w:color="CCEEFF"/>
            </w:tcBorders>
            <w:gridSpan w:val="2"/>
          </w:tcPr>
          <w:p>
            <w:pPr>
              <w:spacing w:after="0" w:line="117" w:lineRule="exact"/>
              <w:rPr>
                <w:sz w:val="20"/>
                <w:szCs w:val="20"/>
                <w:color w:val="auto"/>
              </w:rPr>
            </w:pPr>
            <w:r>
              <w:rPr>
                <w:rFonts w:ascii="Arial" w:cs="Arial" w:eastAsia="Arial" w:hAnsi="Arial"/>
                <w:sz w:val="12"/>
                <w:szCs w:val="12"/>
                <w:color w:val="auto"/>
              </w:rPr>
              <w:t>Letter from Marcum LLP to the SEC, dated June 16, 2021 (incorporated by reference to Exhibit 16.1 to the Current Report on Form 8-K filed on June 21, 2021).</w:t>
            </w:r>
          </w:p>
        </w:tc>
      </w:tr>
      <w:tr>
        <w:trPr>
          <w:trHeight w:val="27"/>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117"/>
        </w:trPr>
        <w:tc>
          <w:tcPr>
            <w:tcW w:w="660" w:type="dxa"/>
            <w:vAlign w:val="bottom"/>
            <w:gridSpan w:val="3"/>
            <w:shd w:val="clear" w:color="auto" w:fill="CCEEFF"/>
          </w:tcPr>
          <w:p>
            <w:pPr>
              <w:jc w:val="center"/>
              <w:ind w:left="401"/>
              <w:spacing w:after="0" w:line="117" w:lineRule="exact"/>
              <w:rPr>
                <w:rFonts w:ascii="Arial" w:cs="Arial" w:eastAsia="Arial" w:hAnsi="Arial"/>
                <w:sz w:val="12"/>
                <w:szCs w:val="12"/>
                <w:color w:val="0000EE"/>
                <w:w w:val="85"/>
              </w:rPr>
            </w:pPr>
            <w:hyperlink r:id="rId231">
              <w:r>
                <w:rPr>
                  <w:rFonts w:ascii="Arial" w:cs="Arial" w:eastAsia="Arial" w:hAnsi="Arial"/>
                  <w:sz w:val="12"/>
                  <w:szCs w:val="12"/>
                  <w:color w:val="0000EE"/>
                  <w:w w:val="85"/>
                </w:rPr>
                <w:t>21.</w:t>
              </w:r>
              <w:r>
                <w:rPr>
                  <w:rFonts w:ascii="Arial" w:cs="Arial" w:eastAsia="Arial" w:hAnsi="Arial"/>
                  <w:sz w:val="12"/>
                  <w:szCs w:val="12"/>
                  <w:u w:val="single" w:color="auto"/>
                  <w:color w:val="0000EE"/>
                  <w:w w:val="85"/>
                </w:rPr>
                <w:t>1</w:t>
              </w:r>
            </w:hyperlink>
          </w:p>
        </w:tc>
        <w:tc>
          <w:tcPr>
            <w:tcW w:w="4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List of Subsidiaries (incorporated by reference to Exhibit 21.1 to the Current Report on Form 8-K filed on June 21, 2021).</w:t>
            </w:r>
          </w:p>
        </w:tc>
      </w:tr>
      <w:tr>
        <w:trPr>
          <w:trHeight w:val="27"/>
        </w:trPr>
        <w:tc>
          <w:tcPr>
            <w:tcW w:w="4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r>
      <w:tr>
        <w:trPr>
          <w:trHeight w:val="117"/>
        </w:trPr>
        <w:tc>
          <w:tcPr>
            <w:tcW w:w="660" w:type="dxa"/>
            <w:vAlign w:val="bottom"/>
            <w:gridSpan w:val="3"/>
          </w:tcPr>
          <w:p>
            <w:pPr>
              <w:jc w:val="center"/>
              <w:ind w:left="401"/>
              <w:spacing w:after="0" w:line="117" w:lineRule="exact"/>
              <w:rPr>
                <w:rFonts w:ascii="Arial" w:cs="Arial" w:eastAsia="Arial" w:hAnsi="Arial"/>
                <w:sz w:val="12"/>
                <w:szCs w:val="12"/>
                <w:color w:val="0000EE"/>
                <w:w w:val="85"/>
              </w:rPr>
            </w:pPr>
            <w:hyperlink w:anchor="page190">
              <w:r>
                <w:rPr>
                  <w:rFonts w:ascii="Arial" w:cs="Arial" w:eastAsia="Arial" w:hAnsi="Arial"/>
                  <w:sz w:val="12"/>
                  <w:szCs w:val="12"/>
                  <w:color w:val="0000EE"/>
                  <w:w w:val="85"/>
                </w:rPr>
                <w:t>23.</w:t>
              </w:r>
              <w:r>
                <w:rPr>
                  <w:rFonts w:ascii="Arial" w:cs="Arial" w:eastAsia="Arial" w:hAnsi="Arial"/>
                  <w:sz w:val="12"/>
                  <w:szCs w:val="12"/>
                  <w:u w:val="single" w:color="auto"/>
                  <w:color w:val="0000EE"/>
                  <w:w w:val="85"/>
                </w:rPr>
                <w:t>1</w:t>
              </w:r>
            </w:hyperlink>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60" w:type="dxa"/>
            <w:vAlign w:val="bottom"/>
            <w:gridSpan w:val="2"/>
          </w:tcPr>
          <w:p>
            <w:pPr>
              <w:spacing w:after="0" w:line="117" w:lineRule="exact"/>
              <w:rPr>
                <w:sz w:val="20"/>
                <w:szCs w:val="20"/>
                <w:color w:val="auto"/>
              </w:rPr>
            </w:pPr>
            <w:r>
              <w:rPr>
                <w:rFonts w:ascii="Arial" w:cs="Arial" w:eastAsia="Arial" w:hAnsi="Arial"/>
                <w:sz w:val="12"/>
                <w:szCs w:val="12"/>
                <w:color w:val="auto"/>
              </w:rPr>
              <w:t>Consent of Baker Tilly US, LLP</w:t>
            </w:r>
          </w:p>
        </w:tc>
      </w:tr>
      <w:tr>
        <w:trPr>
          <w:trHeight w:val="27"/>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117"/>
        </w:trPr>
        <w:tc>
          <w:tcPr>
            <w:tcW w:w="660" w:type="dxa"/>
            <w:vAlign w:val="bottom"/>
            <w:gridSpan w:val="3"/>
            <w:shd w:val="clear" w:color="auto" w:fill="CCEEFF"/>
          </w:tcPr>
          <w:p>
            <w:pPr>
              <w:jc w:val="center"/>
              <w:ind w:left="401"/>
              <w:spacing w:after="0" w:line="117" w:lineRule="exact"/>
              <w:rPr>
                <w:rFonts w:ascii="Arial" w:cs="Arial" w:eastAsia="Arial" w:hAnsi="Arial"/>
                <w:sz w:val="12"/>
                <w:szCs w:val="12"/>
                <w:color w:val="0000EE"/>
                <w:w w:val="85"/>
              </w:rPr>
            </w:pPr>
            <w:hyperlink w:anchor="page187">
              <w:r>
                <w:rPr>
                  <w:rFonts w:ascii="Arial" w:cs="Arial" w:eastAsia="Arial" w:hAnsi="Arial"/>
                  <w:sz w:val="12"/>
                  <w:szCs w:val="12"/>
                  <w:color w:val="0000EE"/>
                  <w:w w:val="85"/>
                </w:rPr>
                <w:t>23.</w:t>
              </w:r>
              <w:r>
                <w:rPr>
                  <w:rFonts w:ascii="Arial" w:cs="Arial" w:eastAsia="Arial" w:hAnsi="Arial"/>
                  <w:sz w:val="12"/>
                  <w:szCs w:val="12"/>
                  <w:u w:val="single" w:color="auto"/>
                  <w:color w:val="0000EE"/>
                  <w:w w:val="85"/>
                </w:rPr>
                <w:t>2</w:t>
              </w:r>
            </w:hyperlink>
          </w:p>
        </w:tc>
        <w:tc>
          <w:tcPr>
            <w:tcW w:w="46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6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Consent of Cooley LLP (included in Exhibit 5.1)</w:t>
            </w:r>
          </w:p>
        </w:tc>
      </w:tr>
      <w:tr>
        <w:trPr>
          <w:trHeight w:val="27"/>
        </w:trPr>
        <w:tc>
          <w:tcPr>
            <w:tcW w:w="40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r>
      <w:tr>
        <w:trPr>
          <w:trHeight w:val="144"/>
        </w:trPr>
        <w:tc>
          <w:tcPr>
            <w:tcW w:w="1240" w:type="dxa"/>
            <w:vAlign w:val="bottom"/>
            <w:gridSpan w:val="5"/>
          </w:tcPr>
          <w:p>
            <w:pPr>
              <w:jc w:val="center"/>
              <w:ind w:right="120"/>
              <w:spacing w:after="0"/>
              <w:rPr>
                <w:sz w:val="20"/>
                <w:szCs w:val="20"/>
                <w:color w:val="auto"/>
              </w:rPr>
            </w:pPr>
            <w:r>
              <w:rPr>
                <w:rFonts w:ascii="Arial" w:cs="Arial" w:eastAsia="Arial" w:hAnsi="Arial"/>
                <w:sz w:val="12"/>
                <w:szCs w:val="12"/>
                <w:color w:val="auto"/>
                <w:w w:val="92"/>
              </w:rPr>
              <w:t>101.INS</w:t>
            </w:r>
          </w:p>
        </w:tc>
        <w:tc>
          <w:tcPr>
            <w:tcW w:w="10060" w:type="dxa"/>
            <w:vAlign w:val="bottom"/>
            <w:gridSpan w:val="2"/>
          </w:tcPr>
          <w:p>
            <w:pPr>
              <w:spacing w:after="0"/>
              <w:rPr>
                <w:sz w:val="20"/>
                <w:szCs w:val="20"/>
                <w:color w:val="auto"/>
              </w:rPr>
            </w:pPr>
            <w:r>
              <w:rPr>
                <w:rFonts w:ascii="Arial" w:cs="Arial" w:eastAsia="Arial" w:hAnsi="Arial"/>
                <w:sz w:val="12"/>
                <w:szCs w:val="12"/>
                <w:color w:val="auto"/>
              </w:rPr>
              <w:t>XBRL Instance Document</w:t>
            </w:r>
          </w:p>
        </w:tc>
      </w:tr>
      <w:tr>
        <w:trPr>
          <w:trHeight w:val="144"/>
        </w:trPr>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2"/>
                <w:szCs w:val="12"/>
                <w:color w:val="auto"/>
                <w:w w:val="90"/>
              </w:rPr>
              <w:t>101.SCH</w:t>
            </w:r>
          </w:p>
        </w:tc>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XBRL Taxonomy Extension Schema Document</w:t>
            </w:r>
          </w:p>
        </w:tc>
      </w:tr>
      <w:tr>
        <w:trPr>
          <w:trHeight w:val="144"/>
        </w:trPr>
        <w:tc>
          <w:tcPr>
            <w:tcW w:w="1240" w:type="dxa"/>
            <w:vAlign w:val="bottom"/>
            <w:gridSpan w:val="5"/>
          </w:tcPr>
          <w:p>
            <w:pPr>
              <w:jc w:val="center"/>
              <w:ind w:right="120"/>
              <w:spacing w:after="0"/>
              <w:rPr>
                <w:sz w:val="20"/>
                <w:szCs w:val="20"/>
                <w:color w:val="auto"/>
              </w:rPr>
            </w:pPr>
            <w:r>
              <w:rPr>
                <w:rFonts w:ascii="Arial" w:cs="Arial" w:eastAsia="Arial" w:hAnsi="Arial"/>
                <w:sz w:val="12"/>
                <w:szCs w:val="12"/>
                <w:color w:val="auto"/>
                <w:w w:val="94"/>
              </w:rPr>
              <w:t>101.CAL</w:t>
            </w:r>
          </w:p>
        </w:tc>
        <w:tc>
          <w:tcPr>
            <w:tcW w:w="10060" w:type="dxa"/>
            <w:vAlign w:val="bottom"/>
            <w:gridSpan w:val="2"/>
          </w:tcPr>
          <w:p>
            <w:pPr>
              <w:spacing w:after="0"/>
              <w:rPr>
                <w:sz w:val="20"/>
                <w:szCs w:val="20"/>
                <w:color w:val="auto"/>
              </w:rPr>
            </w:pPr>
            <w:r>
              <w:rPr>
                <w:rFonts w:ascii="Arial" w:cs="Arial" w:eastAsia="Arial" w:hAnsi="Arial"/>
                <w:sz w:val="12"/>
                <w:szCs w:val="12"/>
                <w:color w:val="auto"/>
              </w:rPr>
              <w:t>XBRL Taxonomy Extension Calculation Linkbase Document</w:t>
            </w:r>
          </w:p>
        </w:tc>
      </w:tr>
      <w:tr>
        <w:trPr>
          <w:trHeight w:val="144"/>
        </w:trPr>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2"/>
                <w:szCs w:val="12"/>
                <w:color w:val="auto"/>
                <w:w w:val="92"/>
              </w:rPr>
              <w:t>101.DEF</w:t>
            </w:r>
          </w:p>
        </w:tc>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XBRL Taxonomy Extension Definition Linkbase Document</w:t>
            </w:r>
          </w:p>
        </w:tc>
      </w:tr>
      <w:tr>
        <w:trPr>
          <w:trHeight w:val="144"/>
        </w:trPr>
        <w:tc>
          <w:tcPr>
            <w:tcW w:w="1240" w:type="dxa"/>
            <w:vAlign w:val="bottom"/>
            <w:gridSpan w:val="5"/>
          </w:tcPr>
          <w:p>
            <w:pPr>
              <w:jc w:val="center"/>
              <w:ind w:right="120"/>
              <w:spacing w:after="0"/>
              <w:rPr>
                <w:sz w:val="20"/>
                <w:szCs w:val="20"/>
                <w:color w:val="auto"/>
              </w:rPr>
            </w:pPr>
            <w:r>
              <w:rPr>
                <w:rFonts w:ascii="Arial" w:cs="Arial" w:eastAsia="Arial" w:hAnsi="Arial"/>
                <w:sz w:val="12"/>
                <w:szCs w:val="12"/>
                <w:color w:val="auto"/>
                <w:w w:val="95"/>
              </w:rPr>
              <w:t>101.LAB</w:t>
            </w:r>
          </w:p>
        </w:tc>
        <w:tc>
          <w:tcPr>
            <w:tcW w:w="10060" w:type="dxa"/>
            <w:vAlign w:val="bottom"/>
            <w:gridSpan w:val="2"/>
          </w:tcPr>
          <w:p>
            <w:pPr>
              <w:spacing w:after="0"/>
              <w:rPr>
                <w:sz w:val="20"/>
                <w:szCs w:val="20"/>
                <w:color w:val="auto"/>
              </w:rPr>
            </w:pPr>
            <w:r>
              <w:rPr>
                <w:rFonts w:ascii="Arial" w:cs="Arial" w:eastAsia="Arial" w:hAnsi="Arial"/>
                <w:sz w:val="12"/>
                <w:szCs w:val="12"/>
                <w:color w:val="auto"/>
              </w:rPr>
              <w:t>XBRL Taxonomy Extension Label Linkbase Document</w:t>
            </w:r>
          </w:p>
        </w:tc>
      </w:tr>
      <w:tr>
        <w:trPr>
          <w:trHeight w:val="144"/>
        </w:trPr>
        <w:tc>
          <w:tcPr>
            <w:tcW w:w="1240" w:type="dxa"/>
            <w:vAlign w:val="bottom"/>
            <w:gridSpan w:val="5"/>
            <w:shd w:val="clear" w:color="auto" w:fill="CCEEFF"/>
          </w:tcPr>
          <w:p>
            <w:pPr>
              <w:jc w:val="center"/>
              <w:ind w:right="120"/>
              <w:spacing w:after="0"/>
              <w:rPr>
                <w:sz w:val="20"/>
                <w:szCs w:val="20"/>
                <w:color w:val="auto"/>
              </w:rPr>
            </w:pPr>
            <w:r>
              <w:rPr>
                <w:rFonts w:ascii="Arial" w:cs="Arial" w:eastAsia="Arial" w:hAnsi="Arial"/>
                <w:sz w:val="12"/>
                <w:szCs w:val="12"/>
                <w:color w:val="auto"/>
                <w:w w:val="91"/>
              </w:rPr>
              <w:t>101.PRE</w:t>
            </w:r>
          </w:p>
        </w:tc>
        <w:tc>
          <w:tcPr>
            <w:tcW w:w="10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XBRL Taxonomy Extension Presentation Linkbase Document</w:t>
            </w:r>
          </w:p>
        </w:tc>
      </w:tr>
      <w:tr>
        <w:trPr>
          <w:trHeight w:val="144"/>
        </w:trPr>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8480" w:type="dxa"/>
            <w:vAlign w:val="bottom"/>
          </w:tcPr>
          <w:p>
            <w:pPr>
              <w:spacing w:after="0"/>
              <w:rPr>
                <w:sz w:val="12"/>
                <w:szCs w:val="12"/>
                <w:color w:val="auto"/>
              </w:rPr>
            </w:pPr>
          </w:p>
        </w:tc>
      </w:tr>
    </w:tbl>
    <w:p>
      <w:pPr>
        <w:spacing w:after="0" w:line="135" w:lineRule="exact"/>
        <w:rPr>
          <w:sz w:val="20"/>
          <w:szCs w:val="20"/>
          <w:color w:val="auto"/>
        </w:rPr>
      </w:pPr>
    </w:p>
    <w:p>
      <w:pPr>
        <w:ind w:left="208" w:hanging="208"/>
        <w:spacing w:after="0"/>
        <w:tabs>
          <w:tab w:leader="none" w:pos="20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schedules and exhibits to this agreement have been omitted pursuant to Item 601(b)(2) of Regulation S-K. A copy of any omitted schedule and/or exhibit will be furnished to the SEC upon request.</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   Indicates management contract or compensatory plan or arrangement.</w:t>
      </w:r>
    </w:p>
    <w:p>
      <w:pPr>
        <w:spacing w:after="0" w:line="146"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17.</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428" w:hanging="194"/>
        <w:spacing w:after="0"/>
        <w:tabs>
          <w:tab w:leader="none" w:pos="428"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undersigned registrant hereby undertakes:</w:t>
      </w:r>
    </w:p>
    <w:p>
      <w:pPr>
        <w:spacing w:after="0" w:line="150" w:lineRule="exact"/>
        <w:rPr>
          <w:rFonts w:ascii="Arial" w:cs="Arial" w:eastAsia="Arial" w:hAnsi="Arial"/>
          <w:sz w:val="12"/>
          <w:szCs w:val="12"/>
          <w:color w:val="auto"/>
        </w:rPr>
      </w:pPr>
    </w:p>
    <w:p>
      <w:pPr>
        <w:ind w:left="648" w:hanging="216"/>
        <w:spacing w:after="0"/>
        <w:tabs>
          <w:tab w:leader="none" w:pos="648"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50" w:lineRule="exact"/>
        <w:rPr>
          <w:rFonts w:ascii="Arial" w:cs="Arial" w:eastAsia="Arial" w:hAnsi="Arial"/>
          <w:sz w:val="12"/>
          <w:szCs w:val="12"/>
          <w:color w:val="auto"/>
        </w:rPr>
      </w:pPr>
    </w:p>
    <w:p>
      <w:pPr>
        <w:ind w:left="968" w:hanging="320"/>
        <w:spacing w:after="0"/>
        <w:tabs>
          <w:tab w:leader="none" w:pos="968" w:val="left"/>
        </w:tabs>
        <w:numPr>
          <w:ilvl w:val="2"/>
          <w:numId w:val="74"/>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w:t>
      </w:r>
    </w:p>
    <w:p>
      <w:pPr>
        <w:spacing w:after="0" w:line="150" w:lineRule="exact"/>
        <w:rPr>
          <w:rFonts w:ascii="Arial" w:cs="Arial" w:eastAsia="Arial" w:hAnsi="Arial"/>
          <w:sz w:val="12"/>
          <w:szCs w:val="12"/>
          <w:color w:val="auto"/>
        </w:rPr>
      </w:pPr>
    </w:p>
    <w:p>
      <w:pPr>
        <w:jc w:val="both"/>
        <w:ind w:left="968" w:hanging="320"/>
        <w:spacing w:after="0" w:line="256" w:lineRule="auto"/>
        <w:tabs>
          <w:tab w:leader="none" w:pos="968" w:val="left"/>
        </w:tabs>
        <w:numPr>
          <w:ilvl w:val="2"/>
          <w:numId w:val="74"/>
        </w:numPr>
        <w:rPr>
          <w:rFonts w:ascii="Arial" w:cs="Arial" w:eastAsia="Arial" w:hAnsi="Arial"/>
          <w:sz w:val="12"/>
          <w:szCs w:val="12"/>
          <w:color w:val="auto"/>
        </w:rPr>
      </w:pPr>
      <w:r>
        <w:rPr>
          <w:rFonts w:ascii="Arial" w:cs="Arial" w:eastAsia="Arial" w:hAnsi="Arial"/>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5" w:right="299" w:bottom="1440" w:gutter="0" w:footer="0" w:header="0"/>
        </w:sectPr>
      </w:pPr>
    </w:p>
    <w:bookmarkStart w:id="182" w:name="page183"/>
    <w:bookmarkEnd w:id="182"/>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960" w:hanging="320"/>
        <w:spacing w:after="0"/>
        <w:tabs>
          <w:tab w:leader="none" w:pos="960" w:val="left"/>
        </w:tabs>
        <w:numPr>
          <w:ilvl w:val="0"/>
          <w:numId w:val="75"/>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Paragraphs (a)(1)(i), (a)(1)(ii) and (a)(1)(iii) of this section do not apply if the information required to be included in a post-effective amendment by those paragraphs is contained in reports filed with or</w:t>
      </w:r>
      <w:r>
        <w:rPr>
          <w:rFonts w:ascii="Arial" w:cs="Arial" w:eastAsia="Arial" w:hAnsi="Arial"/>
          <w:sz w:val="12"/>
          <w:szCs w:val="12"/>
          <w:i w:val="1"/>
          <w:iCs w:val="1"/>
          <w:color w:val="auto"/>
        </w:rPr>
        <w:t xml:space="preserve"> </w:t>
      </w:r>
      <w:r>
        <w:rPr>
          <w:rFonts w:ascii="Arial" w:cs="Arial" w:eastAsia="Arial" w:hAnsi="Arial"/>
          <w:sz w:val="12"/>
          <w:szCs w:val="12"/>
          <w:color w:val="auto"/>
        </w:rPr>
        <w:t>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22" w:lineRule="exact"/>
        <w:rPr>
          <w:sz w:val="20"/>
          <w:szCs w:val="20"/>
          <w:color w:val="auto"/>
        </w:rPr>
      </w:pPr>
    </w:p>
    <w:p>
      <w:pPr>
        <w:ind w:left="640" w:right="20" w:hanging="216"/>
        <w:spacing w:after="0" w:line="276" w:lineRule="auto"/>
        <w:tabs>
          <w:tab w:leader="none" w:pos="6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to any purchaser:</w:t>
      </w:r>
    </w:p>
    <w:p>
      <w:pPr>
        <w:spacing w:after="0" w:line="150" w:lineRule="exact"/>
        <w:rPr>
          <w:rFonts w:ascii="Arial" w:cs="Arial" w:eastAsia="Arial" w:hAnsi="Arial"/>
          <w:sz w:val="12"/>
          <w:szCs w:val="12"/>
          <w:color w:val="auto"/>
        </w:rPr>
      </w:pPr>
    </w:p>
    <w:p>
      <w:pPr>
        <w:ind w:left="940" w:right="20" w:hanging="300"/>
        <w:spacing w:after="0" w:line="276" w:lineRule="auto"/>
        <w:tabs>
          <w:tab w:leader="none" w:pos="940" w:val="left"/>
        </w:tabs>
        <w:numPr>
          <w:ilvl w:val="1"/>
          <w:numId w:val="76"/>
        </w:numPr>
        <w:rPr>
          <w:rFonts w:ascii="Arial" w:cs="Arial" w:eastAsia="Arial" w:hAnsi="Arial"/>
          <w:sz w:val="12"/>
          <w:szCs w:val="12"/>
          <w:color w:val="auto"/>
        </w:rPr>
      </w:pPr>
      <w:r>
        <w:rPr>
          <w:rFonts w:ascii="Arial" w:cs="Arial" w:eastAsia="Arial" w:hAnsi="Arial"/>
          <w:sz w:val="12"/>
          <w:szCs w:val="12"/>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4" w:lineRule="exact"/>
        <w:rPr>
          <w:rFonts w:ascii="Arial" w:cs="Arial" w:eastAsia="Arial" w:hAnsi="Arial"/>
          <w:sz w:val="12"/>
          <w:szCs w:val="12"/>
          <w:color w:val="auto"/>
        </w:rPr>
      </w:pPr>
    </w:p>
    <w:p>
      <w:pPr>
        <w:jc w:val="both"/>
        <w:ind w:left="940" w:hanging="300"/>
        <w:spacing w:after="0" w:line="254" w:lineRule="auto"/>
        <w:tabs>
          <w:tab w:leader="none" w:pos="940" w:val="left"/>
        </w:tabs>
        <w:numPr>
          <w:ilvl w:val="1"/>
          <w:numId w:val="76"/>
        </w:numPr>
        <w:rPr>
          <w:rFonts w:ascii="Arial" w:cs="Arial" w:eastAsia="Arial" w:hAnsi="Arial"/>
          <w:sz w:val="12"/>
          <w:szCs w:val="12"/>
          <w:color w:val="auto"/>
        </w:rPr>
      </w:pPr>
      <w:r>
        <w:rPr>
          <w:rFonts w:ascii="Arial" w:cs="Arial" w:eastAsia="Arial" w:hAnsi="Arial"/>
          <w:sz w:val="12"/>
          <w:szCs w:val="12"/>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7" w:lineRule="exact"/>
        <w:rPr>
          <w:rFonts w:ascii="Arial" w:cs="Arial" w:eastAsia="Arial" w:hAnsi="Arial"/>
          <w:sz w:val="12"/>
          <w:szCs w:val="12"/>
          <w:color w:val="auto"/>
        </w:rPr>
      </w:pPr>
    </w:p>
    <w:p>
      <w:pPr>
        <w:jc w:val="both"/>
        <w:ind w:left="640" w:hanging="216"/>
        <w:spacing w:after="0" w:line="298" w:lineRule="auto"/>
        <w:tabs>
          <w:tab w:leader="none" w:pos="640" w:val="left"/>
        </w:tabs>
        <w:numPr>
          <w:ilvl w:val="0"/>
          <w:numId w:val="76"/>
        </w:numPr>
        <w:rPr>
          <w:rFonts w:ascii="Arial" w:cs="Arial" w:eastAsia="Arial" w:hAnsi="Arial"/>
          <w:sz w:val="11"/>
          <w:szCs w:val="11"/>
          <w:color w:val="auto"/>
        </w:rPr>
      </w:pPr>
      <w:r>
        <w:rPr>
          <w:rFonts w:ascii="Arial" w:cs="Arial" w:eastAsia="Arial" w:hAnsi="Arial"/>
          <w:sz w:val="11"/>
          <w:szCs w:val="11"/>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4" w:lineRule="exact"/>
        <w:rPr>
          <w:rFonts w:ascii="Arial" w:cs="Arial" w:eastAsia="Arial" w:hAnsi="Arial"/>
          <w:sz w:val="11"/>
          <w:szCs w:val="11"/>
          <w:color w:val="auto"/>
        </w:rPr>
      </w:pPr>
    </w:p>
    <w:p>
      <w:pPr>
        <w:ind w:left="940" w:hanging="300"/>
        <w:spacing w:after="0"/>
        <w:tabs>
          <w:tab w:leader="none" w:pos="940" w:val="left"/>
        </w:tabs>
        <w:numPr>
          <w:ilvl w:val="1"/>
          <w:numId w:val="76"/>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3" w:name="page184"/>
    <w:bookmarkEnd w:id="183"/>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4" w:lineRule="exact"/>
        <w:rPr>
          <w:sz w:val="20"/>
          <w:szCs w:val="20"/>
          <w:color w:val="auto"/>
        </w:rPr>
      </w:pPr>
    </w:p>
    <w:p>
      <w:pPr>
        <w:ind w:left="940" w:hanging="300"/>
        <w:spacing w:after="0"/>
        <w:tabs>
          <w:tab w:leader="none" w:pos="94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50" w:lineRule="exact"/>
        <w:rPr>
          <w:rFonts w:ascii="Arial" w:cs="Arial" w:eastAsia="Arial" w:hAnsi="Arial"/>
          <w:sz w:val="12"/>
          <w:szCs w:val="12"/>
          <w:color w:val="auto"/>
        </w:rPr>
      </w:pPr>
    </w:p>
    <w:p>
      <w:pPr>
        <w:ind w:left="940" w:hanging="300"/>
        <w:spacing w:after="0"/>
        <w:tabs>
          <w:tab w:leader="none" w:pos="940" w:val="left"/>
        </w:tabs>
        <w:numPr>
          <w:ilvl w:val="1"/>
          <w:numId w:val="77"/>
        </w:numPr>
        <w:rPr>
          <w:rFonts w:ascii="Arial" w:cs="Arial" w:eastAsia="Arial" w:hAnsi="Arial"/>
          <w:sz w:val="11"/>
          <w:szCs w:val="11"/>
          <w:color w:val="auto"/>
        </w:rPr>
      </w:pPr>
      <w:r>
        <w:rPr>
          <w:rFonts w:ascii="Arial" w:cs="Arial" w:eastAsia="Arial" w:hAnsi="Arial"/>
          <w:sz w:val="11"/>
          <w:szCs w:val="11"/>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Arial" w:cs="Arial" w:eastAsia="Arial" w:hAnsi="Arial"/>
          <w:sz w:val="11"/>
          <w:szCs w:val="11"/>
          <w:color w:val="auto"/>
        </w:rPr>
      </w:pPr>
    </w:p>
    <w:p>
      <w:pPr>
        <w:ind w:left="940" w:hanging="300"/>
        <w:spacing w:after="0"/>
        <w:tabs>
          <w:tab w:leader="none" w:pos="94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150" w:lineRule="exact"/>
        <w:rPr>
          <w:rFonts w:ascii="Arial" w:cs="Arial" w:eastAsia="Arial" w:hAnsi="Arial"/>
          <w:sz w:val="12"/>
          <w:szCs w:val="12"/>
          <w:color w:val="auto"/>
        </w:rPr>
      </w:pPr>
    </w:p>
    <w:p>
      <w:pPr>
        <w:jc w:val="both"/>
        <w:ind w:left="420" w:hanging="194"/>
        <w:spacing w:after="0" w:line="285" w:lineRule="auto"/>
        <w:tabs>
          <w:tab w:leader="none" w:pos="420" w:val="left"/>
        </w:tabs>
        <w:numPr>
          <w:ilvl w:val="0"/>
          <w:numId w:val="78"/>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4" w:name="page185"/>
    <w:bookmarkEnd w:id="184"/>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to be signed on its behalf by the undersigned, thereunto duly authorized in the City of Irvine, State of California on December 2, 2021.</w:t>
      </w:r>
    </w:p>
    <w:p>
      <w:pPr>
        <w:spacing w:after="0" w:line="1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WM TECHNOLOGY, INC.</w:t>
      </w:r>
    </w:p>
    <w:p>
      <w:pPr>
        <w:spacing w:after="0" w:line="150"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/s/ Christopher Beals</w:t>
      </w:r>
    </w:p>
    <w:p>
      <w:pPr>
        <w:spacing w:after="0" w:line="15" w:lineRule="exact"/>
        <w:rPr>
          <w:sz w:val="20"/>
          <w:szCs w:val="20"/>
          <w:color w:val="auto"/>
        </w:rPr>
      </w:pPr>
    </w:p>
    <w:tbl>
      <w:tblPr>
        <w:tblLayout w:type="fixed"/>
        <w:tblInd w:w="5080" w:type="dxa"/>
        <w:tblCellMar>
          <w:top w:w="0" w:type="dxa"/>
          <w:left w:w="0" w:type="dxa"/>
          <w:bottom w:w="0" w:type="dxa"/>
          <w:right w:w="0" w:type="dxa"/>
        </w:tblCellMar>
      </w:tblPr>
      <w:tr>
        <w:trPr>
          <w:trHeight w:val="133"/>
        </w:trPr>
        <w:tc>
          <w:tcPr>
            <w:tcW w:w="44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Name:</w:t>
            </w:r>
          </w:p>
        </w:tc>
        <w:tc>
          <w:tcPr>
            <w:tcW w:w="5780" w:type="dxa"/>
            <w:vAlign w:val="bottom"/>
            <w:tcBorders>
              <w:top w:val="single" w:sz="8" w:color="auto"/>
            </w:tcBorders>
          </w:tcPr>
          <w:p>
            <w:pPr>
              <w:ind w:left="120"/>
              <w:spacing w:after="0" w:line="133" w:lineRule="exact"/>
              <w:rPr>
                <w:sz w:val="20"/>
                <w:szCs w:val="20"/>
                <w:color w:val="auto"/>
              </w:rPr>
            </w:pPr>
            <w:r>
              <w:rPr>
                <w:rFonts w:ascii="Arial" w:cs="Arial" w:eastAsia="Arial" w:hAnsi="Arial"/>
                <w:sz w:val="12"/>
                <w:szCs w:val="12"/>
                <w:color w:val="auto"/>
              </w:rPr>
              <w:t>Christopher Beals</w:t>
            </w: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578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KNOW ALL PERSONS BY THESE PRESENTS, that each person whose signature appears below hereby constitutes and appoints Christopher Beals and Arden Lee,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below by the following persons in the capacities and on the date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6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Signature</w:t>
            </w:r>
          </w:p>
        </w:tc>
        <w:tc>
          <w:tcPr>
            <w:tcW w:w="120" w:type="dxa"/>
            <w:vAlign w:val="bottom"/>
          </w:tcPr>
          <w:p>
            <w:pPr>
              <w:spacing w:after="0"/>
              <w:rPr>
                <w:sz w:val="14"/>
                <w:szCs w:val="14"/>
                <w:color w:val="auto"/>
              </w:rPr>
            </w:pPr>
          </w:p>
        </w:tc>
        <w:tc>
          <w:tcPr>
            <w:tcW w:w="3100" w:type="dxa"/>
            <w:vAlign w:val="bottom"/>
            <w:tcBorders>
              <w:bottom w:val="single" w:sz="8" w:color="auto"/>
            </w:tcBorders>
          </w:tcPr>
          <w:p>
            <w:pPr>
              <w:ind w:left="2140"/>
              <w:spacing w:after="0"/>
              <w:rPr>
                <w:sz w:val="20"/>
                <w:szCs w:val="20"/>
                <w:color w:val="auto"/>
              </w:rPr>
            </w:pPr>
            <w:r>
              <w:rPr>
                <w:rFonts w:ascii="Arial" w:cs="Arial" w:eastAsia="Arial" w:hAnsi="Arial"/>
                <w:sz w:val="12"/>
                <w:szCs w:val="12"/>
                <w:b w:val="1"/>
                <w:bCs w:val="1"/>
                <w:color w:val="auto"/>
              </w:rPr>
              <w:t>Title</w:t>
            </w: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Borders>
              <w:bottom w:val="single" w:sz="8" w:color="auto"/>
            </w:tcBorders>
          </w:tcPr>
          <w:p>
            <w:pPr>
              <w:ind w:left="2020"/>
              <w:spacing w:after="0"/>
              <w:rPr>
                <w:sz w:val="20"/>
                <w:szCs w:val="20"/>
                <w:color w:val="auto"/>
              </w:rPr>
            </w:pPr>
            <w:r>
              <w:rPr>
                <w:rFonts w:ascii="Arial" w:cs="Arial" w:eastAsia="Arial" w:hAnsi="Arial"/>
                <w:sz w:val="12"/>
                <w:szCs w:val="12"/>
                <w:b w:val="1"/>
                <w:bCs w:val="1"/>
                <w:color w:val="auto"/>
              </w:rPr>
              <w:t>Date</w:t>
            </w:r>
          </w:p>
        </w:tc>
      </w:tr>
      <w:tr>
        <w:trPr>
          <w:trHeight w:val="288"/>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Christopher Beals</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24"/>
        </w:trPr>
        <w:tc>
          <w:tcPr>
            <w:tcW w:w="2260" w:type="dxa"/>
            <w:vAlign w:val="bottom"/>
          </w:tcPr>
          <w:p>
            <w:pPr>
              <w:spacing w:after="0" w:line="124" w:lineRule="exact"/>
              <w:rPr>
                <w:sz w:val="20"/>
                <w:szCs w:val="20"/>
                <w:color w:val="auto"/>
              </w:rPr>
            </w:pPr>
            <w:r>
              <w:rPr>
                <w:rFonts w:ascii="Arial" w:cs="Arial" w:eastAsia="Arial" w:hAnsi="Arial"/>
                <w:sz w:val="12"/>
                <w:szCs w:val="12"/>
                <w:color w:val="auto"/>
              </w:rPr>
              <w:t>Christopher Beals</w:t>
            </w:r>
          </w:p>
        </w:tc>
        <w:tc>
          <w:tcPr>
            <w:tcW w:w="120" w:type="dxa"/>
            <w:vAlign w:val="bottom"/>
          </w:tcPr>
          <w:p>
            <w:pPr>
              <w:spacing w:after="0"/>
              <w:rPr>
                <w:sz w:val="10"/>
                <w:szCs w:val="10"/>
                <w:color w:val="auto"/>
              </w:rPr>
            </w:pPr>
          </w:p>
        </w:tc>
        <w:tc>
          <w:tcPr>
            <w:tcW w:w="3100" w:type="dxa"/>
            <w:vAlign w:val="bottom"/>
          </w:tcPr>
          <w:p>
            <w:pPr>
              <w:spacing w:after="0" w:line="124" w:lineRule="exact"/>
              <w:rPr>
                <w:sz w:val="20"/>
                <w:szCs w:val="20"/>
                <w:color w:val="auto"/>
              </w:rPr>
            </w:pPr>
            <w:r>
              <w:rPr>
                <w:rFonts w:ascii="Arial" w:cs="Arial" w:eastAsia="Arial" w:hAnsi="Arial"/>
                <w:sz w:val="12"/>
                <w:szCs w:val="12"/>
                <w:color w:val="auto"/>
              </w:rPr>
              <w:t>Chief Executive Officer and Director</w:t>
            </w: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00" w:type="dxa"/>
            <w:vAlign w:val="bottom"/>
          </w:tcPr>
          <w:p>
            <w:pPr>
              <w:spacing w:after="0" w:line="124" w:lineRule="exact"/>
              <w:rPr>
                <w:sz w:val="20"/>
                <w:szCs w:val="20"/>
                <w:color w:val="auto"/>
              </w:rPr>
            </w:pPr>
            <w:r>
              <w:rPr>
                <w:rFonts w:ascii="Arial" w:cs="Arial" w:eastAsia="Arial" w:hAnsi="Arial"/>
                <w:sz w:val="12"/>
                <w:szCs w:val="12"/>
                <w:color w:val="auto"/>
              </w:rPr>
              <w:t>December 2, 2021</w:t>
            </w:r>
          </w:p>
        </w:tc>
      </w:tr>
      <w:tr>
        <w:trPr>
          <w:trHeight w:val="153"/>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(Principal Executive Officer)</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r>
      <w:tr>
        <w:trPr>
          <w:trHeight w:val="288"/>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Arden Lee</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24"/>
        </w:trPr>
        <w:tc>
          <w:tcPr>
            <w:tcW w:w="2260" w:type="dxa"/>
            <w:vAlign w:val="bottom"/>
          </w:tcPr>
          <w:p>
            <w:pPr>
              <w:spacing w:after="0" w:line="124" w:lineRule="exact"/>
              <w:rPr>
                <w:sz w:val="20"/>
                <w:szCs w:val="20"/>
                <w:color w:val="auto"/>
              </w:rPr>
            </w:pPr>
            <w:r>
              <w:rPr>
                <w:rFonts w:ascii="Arial" w:cs="Arial" w:eastAsia="Arial" w:hAnsi="Arial"/>
                <w:sz w:val="12"/>
                <w:szCs w:val="12"/>
                <w:color w:val="auto"/>
              </w:rPr>
              <w:t>Arden Lee</w:t>
            </w:r>
          </w:p>
        </w:tc>
        <w:tc>
          <w:tcPr>
            <w:tcW w:w="120" w:type="dxa"/>
            <w:vAlign w:val="bottom"/>
          </w:tcPr>
          <w:p>
            <w:pPr>
              <w:spacing w:after="0"/>
              <w:rPr>
                <w:sz w:val="10"/>
                <w:szCs w:val="10"/>
                <w:color w:val="auto"/>
              </w:rPr>
            </w:pPr>
          </w:p>
        </w:tc>
        <w:tc>
          <w:tcPr>
            <w:tcW w:w="3100" w:type="dxa"/>
            <w:vAlign w:val="bottom"/>
          </w:tcPr>
          <w:p>
            <w:pPr>
              <w:spacing w:after="0" w:line="124" w:lineRule="exact"/>
              <w:rPr>
                <w:sz w:val="20"/>
                <w:szCs w:val="20"/>
                <w:color w:val="auto"/>
              </w:rPr>
            </w:pPr>
            <w:r>
              <w:rPr>
                <w:rFonts w:ascii="Arial" w:cs="Arial" w:eastAsia="Arial" w:hAnsi="Arial"/>
                <w:sz w:val="12"/>
                <w:szCs w:val="12"/>
                <w:color w:val="auto"/>
              </w:rPr>
              <w:t>Chief Financial Officer</w:t>
            </w: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00" w:type="dxa"/>
            <w:vAlign w:val="bottom"/>
          </w:tcPr>
          <w:p>
            <w:pPr>
              <w:spacing w:after="0" w:line="124" w:lineRule="exact"/>
              <w:rPr>
                <w:sz w:val="20"/>
                <w:szCs w:val="20"/>
                <w:color w:val="auto"/>
              </w:rPr>
            </w:pPr>
            <w:r>
              <w:rPr>
                <w:rFonts w:ascii="Arial" w:cs="Arial" w:eastAsia="Arial" w:hAnsi="Arial"/>
                <w:sz w:val="12"/>
                <w:szCs w:val="12"/>
                <w:color w:val="auto"/>
              </w:rPr>
              <w:t>December 2, 2021</w:t>
            </w:r>
          </w:p>
        </w:tc>
      </w:tr>
      <w:tr>
        <w:trPr>
          <w:trHeight w:val="153"/>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Pr>
          <w:p>
            <w:pPr>
              <w:spacing w:after="0"/>
              <w:rPr>
                <w:sz w:val="20"/>
                <w:szCs w:val="20"/>
                <w:color w:val="auto"/>
              </w:rPr>
            </w:pPr>
            <w:r>
              <w:rPr>
                <w:rFonts w:ascii="Arial" w:cs="Arial" w:eastAsia="Arial" w:hAnsi="Arial"/>
                <w:sz w:val="12"/>
                <w:szCs w:val="12"/>
                <w:color w:val="auto"/>
                <w:w w:val="96"/>
              </w:rPr>
              <w:t>(Principal Financial Officer and Principal Accounting Officer)</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rPr>
                <w:sz w:val="13"/>
                <w:szCs w:val="13"/>
                <w:color w:val="auto"/>
              </w:rPr>
            </w:pPr>
          </w:p>
        </w:tc>
      </w:tr>
      <w:tr>
        <w:trPr>
          <w:trHeight w:val="288"/>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Tony Aquila</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51"/>
        </w:trPr>
        <w:tc>
          <w:tcPr>
            <w:tcW w:w="2260" w:type="dxa"/>
            <w:vAlign w:val="bottom"/>
          </w:tcPr>
          <w:p>
            <w:pPr>
              <w:spacing w:after="0"/>
              <w:rPr>
                <w:sz w:val="20"/>
                <w:szCs w:val="20"/>
                <w:color w:val="auto"/>
              </w:rPr>
            </w:pPr>
            <w:r>
              <w:rPr>
                <w:rFonts w:ascii="Arial" w:cs="Arial" w:eastAsia="Arial" w:hAnsi="Arial"/>
                <w:sz w:val="12"/>
                <w:szCs w:val="12"/>
                <w:color w:val="auto"/>
              </w:rPr>
              <w:t>Tony Aquila</w:t>
            </w:r>
          </w:p>
        </w:tc>
        <w:tc>
          <w:tcPr>
            <w:tcW w:w="120" w:type="dxa"/>
            <w:vAlign w:val="bottom"/>
          </w:tcPr>
          <w:p>
            <w:pPr>
              <w:spacing w:after="0"/>
              <w:rPr>
                <w:sz w:val="13"/>
                <w:szCs w:val="13"/>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Director</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line="133" w:lineRule="exact"/>
              <w:rPr>
                <w:sz w:val="20"/>
                <w:szCs w:val="20"/>
                <w:color w:val="auto"/>
              </w:rPr>
            </w:pPr>
            <w:r>
              <w:rPr>
                <w:rFonts w:ascii="Arial" w:cs="Arial" w:eastAsia="Arial" w:hAnsi="Arial"/>
                <w:sz w:val="12"/>
                <w:szCs w:val="12"/>
                <w:color w:val="auto"/>
              </w:rPr>
              <w:t>December 2, 2021</w:t>
            </w:r>
          </w:p>
        </w:tc>
      </w:tr>
      <w:tr>
        <w:trPr>
          <w:trHeight w:val="279"/>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Douglas Francis</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51"/>
        </w:trPr>
        <w:tc>
          <w:tcPr>
            <w:tcW w:w="2260" w:type="dxa"/>
            <w:vAlign w:val="bottom"/>
          </w:tcPr>
          <w:p>
            <w:pPr>
              <w:spacing w:after="0"/>
              <w:rPr>
                <w:sz w:val="20"/>
                <w:szCs w:val="20"/>
                <w:color w:val="auto"/>
              </w:rPr>
            </w:pPr>
            <w:r>
              <w:rPr>
                <w:rFonts w:ascii="Arial" w:cs="Arial" w:eastAsia="Arial" w:hAnsi="Arial"/>
                <w:sz w:val="12"/>
                <w:szCs w:val="12"/>
                <w:color w:val="auto"/>
              </w:rPr>
              <w:t>Douglas Francis</w:t>
            </w:r>
          </w:p>
        </w:tc>
        <w:tc>
          <w:tcPr>
            <w:tcW w:w="120" w:type="dxa"/>
            <w:vAlign w:val="bottom"/>
          </w:tcPr>
          <w:p>
            <w:pPr>
              <w:spacing w:after="0"/>
              <w:rPr>
                <w:sz w:val="13"/>
                <w:szCs w:val="13"/>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Director</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Pr>
          <w:p>
            <w:pPr>
              <w:spacing w:after="0" w:line="133" w:lineRule="exact"/>
              <w:rPr>
                <w:sz w:val="20"/>
                <w:szCs w:val="20"/>
                <w:color w:val="auto"/>
              </w:rPr>
            </w:pPr>
            <w:r>
              <w:rPr>
                <w:rFonts w:ascii="Arial" w:cs="Arial" w:eastAsia="Arial" w:hAnsi="Arial"/>
                <w:sz w:val="12"/>
                <w:szCs w:val="12"/>
                <w:color w:val="auto"/>
              </w:rPr>
              <w:t>December 2, 2021</w:t>
            </w:r>
          </w:p>
        </w:tc>
      </w:tr>
      <w:tr>
        <w:trPr>
          <w:trHeight w:val="37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820" w:type="dxa"/>
            <w:vAlign w:val="bottom"/>
            <w:gridSpan w:val="3"/>
          </w:tcPr>
          <w:p>
            <w:pPr>
              <w:ind w:left="100"/>
              <w:spacing w:after="0"/>
              <w:rPr>
                <w:sz w:val="20"/>
                <w:szCs w:val="20"/>
                <w:color w:val="auto"/>
              </w:rPr>
            </w:pPr>
            <w:r>
              <w:rPr>
                <w:rFonts w:ascii="Arial" w:cs="Arial" w:eastAsia="Arial" w:hAnsi="Arial"/>
                <w:sz w:val="10"/>
                <w:szCs w:val="10"/>
                <w:color w:val="auto"/>
              </w:rPr>
              <w:t>II-7</w:t>
            </w:r>
          </w:p>
        </w:tc>
      </w:tr>
      <w:tr>
        <w:trPr>
          <w:trHeight w:val="26"/>
        </w:trPr>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8" w:right="299" w:bottom="1440" w:gutter="0" w:footer="0" w:header="0"/>
        </w:sectPr>
      </w:pPr>
    </w:p>
    <w:bookmarkStart w:id="185" w:name="page186"/>
    <w:bookmarkEnd w:id="185"/>
    <w:p>
      <w:pPr>
        <w:spacing w:after="0"/>
        <w:rPr>
          <w:rFonts w:ascii="Arial" w:cs="Arial" w:eastAsia="Arial" w:hAnsi="Arial"/>
          <w:sz w:val="10"/>
          <w:szCs w:val="10"/>
          <w:i w:val="1"/>
          <w:iCs w:val="1"/>
          <w:u w:val="single" w:color="auto"/>
          <w:color w:val="0000EE"/>
        </w:rPr>
      </w:pPr>
      <w:hyperlink w:anchor="page3">
        <w:r>
          <w:rPr>
            <w:rFonts w:ascii="Arial" w:cs="Arial" w:eastAsia="Arial" w:hAnsi="Arial"/>
            <w:sz w:val="10"/>
            <w:szCs w:val="10"/>
            <w:i w:val="1"/>
            <w:iCs w:val="1"/>
            <w:u w:val="single" w:color="auto"/>
            <w:color w:val="0000EE"/>
          </w:rPr>
          <w:t>Table of Contents</w:t>
        </w:r>
      </w:hyperlink>
    </w:p>
    <w:p>
      <w:pPr>
        <w:spacing w:after="0" w:line="100" w:lineRule="exact"/>
        <w:rPr>
          <w:sz w:val="20"/>
          <w:szCs w:val="20"/>
          <w:color w:val="auto"/>
        </w:rPr>
      </w:pPr>
    </w:p>
    <w:p>
      <w:pPr>
        <w:jc w:val="right"/>
        <w:ind w:right="280"/>
        <w:spacing w:after="0"/>
        <w:rPr>
          <w:sz w:val="20"/>
          <w:szCs w:val="20"/>
          <w:color w:val="auto"/>
        </w:rPr>
      </w:pP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44018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/s/ Brenda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4018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Brenda Freeman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Olga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40180"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Olga Gonzalez</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4018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Scott Gordon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40180"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Justin Hartfield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Fiona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440180"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144018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Fiona Tan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780" w:type="dxa"/>
            <w:vAlign w:val="bottom"/>
            <w:tcBorders>
              <w:bottom w:val="single" w:sz="8" w:color="auto"/>
            </w:tcBorders>
          </w:tcPr>
          <w:p>
            <w:pPr>
              <w:ind w:left="2140"/>
              <w:spacing w:after="0"/>
              <w:rPr>
                <w:sz w:val="20"/>
                <w:szCs w:val="20"/>
                <w:color w:val="auto"/>
              </w:rPr>
            </w:pPr>
            <w:r>
              <w:rPr>
                <w:rFonts w:ascii="Arial" w:cs="Arial" w:eastAsia="Arial" w:hAnsi="Arial"/>
                <w:sz w:val="12"/>
                <w:szCs w:val="12"/>
                <w:b w:val="1"/>
                <w:bCs w:val="1"/>
                <w:color w:val="auto"/>
              </w:rPr>
              <w:t>Title</w:t>
            </w:r>
          </w:p>
        </w:tc>
        <w:tc>
          <w:tcPr>
            <w:tcW w:w="1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Borders>
              <w:bottom w:val="single" w:sz="8" w:color="auto"/>
            </w:tcBorders>
          </w:tcPr>
          <w:p>
            <w:pPr>
              <w:ind w:left="2020"/>
              <w:spacing w:after="0"/>
              <w:rPr>
                <w:sz w:val="20"/>
                <w:szCs w:val="20"/>
                <w:color w:val="auto"/>
              </w:rPr>
            </w:pPr>
            <w:r>
              <w:rPr>
                <w:rFonts w:ascii="Arial" w:cs="Arial" w:eastAsia="Arial" w:hAnsi="Arial"/>
                <w:sz w:val="12"/>
                <w:szCs w:val="12"/>
                <w:b w:val="1"/>
                <w:bCs w:val="1"/>
                <w:color w:val="auto"/>
              </w:rPr>
              <w:t>Date</w:t>
            </w:r>
          </w:p>
        </w:tc>
      </w:tr>
      <w:tr>
        <w:trPr>
          <w:trHeight w:val="297"/>
        </w:trPr>
        <w:tc>
          <w:tcPr>
            <w:tcW w:w="2780" w:type="dxa"/>
            <w:vAlign w:val="bottom"/>
          </w:tcPr>
          <w:p>
            <w:pPr>
              <w:spacing w:after="0"/>
              <w:rPr>
                <w:sz w:val="20"/>
                <w:szCs w:val="20"/>
                <w:color w:val="auto"/>
              </w:rPr>
            </w:pPr>
            <w:r>
              <w:rPr>
                <w:rFonts w:ascii="Arial" w:cs="Arial" w:eastAsia="Arial" w:hAnsi="Arial"/>
                <w:sz w:val="12"/>
                <w:szCs w:val="12"/>
                <w:color w:val="auto"/>
              </w:rPr>
              <w:t>Director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December 2, 2021</w:t>
            </w:r>
          </w:p>
        </w:tc>
      </w:tr>
      <w:tr>
        <w:trPr>
          <w:trHeight w:val="450"/>
        </w:trPr>
        <w:tc>
          <w:tcPr>
            <w:tcW w:w="2780" w:type="dxa"/>
            <w:vAlign w:val="bottom"/>
          </w:tcPr>
          <w:p>
            <w:pPr>
              <w:spacing w:after="0"/>
              <w:rPr>
                <w:sz w:val="20"/>
                <w:szCs w:val="20"/>
                <w:color w:val="auto"/>
              </w:rPr>
            </w:pPr>
            <w:r>
              <w:rPr>
                <w:rFonts w:ascii="Arial" w:cs="Arial" w:eastAsia="Arial" w:hAnsi="Arial"/>
                <w:sz w:val="12"/>
                <w:szCs w:val="12"/>
                <w:color w:val="auto"/>
              </w:rPr>
              <w:t>Director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December 2, 2021</w:t>
            </w:r>
          </w:p>
        </w:tc>
      </w:tr>
      <w:tr>
        <w:trPr>
          <w:trHeight w:val="450"/>
        </w:trPr>
        <w:tc>
          <w:tcPr>
            <w:tcW w:w="2780" w:type="dxa"/>
            <w:vAlign w:val="bottom"/>
          </w:tcPr>
          <w:p>
            <w:pPr>
              <w:spacing w:after="0"/>
              <w:rPr>
                <w:sz w:val="20"/>
                <w:szCs w:val="20"/>
                <w:color w:val="auto"/>
              </w:rPr>
            </w:pPr>
            <w:r>
              <w:rPr>
                <w:rFonts w:ascii="Arial" w:cs="Arial" w:eastAsia="Arial" w:hAnsi="Arial"/>
                <w:sz w:val="12"/>
                <w:szCs w:val="12"/>
                <w:color w:val="auto"/>
              </w:rPr>
              <w:t>Director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December 2, 2021</w:t>
            </w:r>
          </w:p>
        </w:tc>
      </w:tr>
      <w:tr>
        <w:trPr>
          <w:trHeight w:val="450"/>
        </w:trPr>
        <w:tc>
          <w:tcPr>
            <w:tcW w:w="2780" w:type="dxa"/>
            <w:vAlign w:val="bottom"/>
          </w:tcPr>
          <w:p>
            <w:pPr>
              <w:spacing w:after="0"/>
              <w:rPr>
                <w:sz w:val="20"/>
                <w:szCs w:val="20"/>
                <w:color w:val="auto"/>
              </w:rPr>
            </w:pPr>
            <w:r>
              <w:rPr>
                <w:rFonts w:ascii="Arial" w:cs="Arial" w:eastAsia="Arial" w:hAnsi="Arial"/>
                <w:sz w:val="12"/>
                <w:szCs w:val="12"/>
                <w:color w:val="auto"/>
              </w:rPr>
              <w:t>Director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December 2, 2021</w:t>
            </w:r>
          </w:p>
        </w:tc>
      </w:tr>
      <w:tr>
        <w:trPr>
          <w:trHeight w:val="450"/>
        </w:trPr>
        <w:tc>
          <w:tcPr>
            <w:tcW w:w="2780" w:type="dxa"/>
            <w:vAlign w:val="bottom"/>
          </w:tcPr>
          <w:p>
            <w:pPr>
              <w:spacing w:after="0"/>
              <w:rPr>
                <w:sz w:val="20"/>
                <w:szCs w:val="20"/>
                <w:color w:val="auto"/>
              </w:rPr>
            </w:pPr>
            <w:r>
              <w:rPr>
                <w:rFonts w:ascii="Arial" w:cs="Arial" w:eastAsia="Arial" w:hAnsi="Arial"/>
                <w:sz w:val="12"/>
                <w:szCs w:val="12"/>
                <w:color w:val="auto"/>
              </w:rPr>
              <w:t>Director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December 2, 2021</w:t>
            </w:r>
          </w:p>
        </w:tc>
      </w:tr>
      <w:tr>
        <w:trPr>
          <w:trHeight w:val="406"/>
        </w:trPr>
        <w:tc>
          <w:tcPr>
            <w:tcW w:w="2780" w:type="dxa"/>
            <w:vAlign w:val="bottom"/>
          </w:tcPr>
          <w:p>
            <w:pPr>
              <w:spacing w:after="0"/>
              <w:rPr>
                <w:sz w:val="24"/>
                <w:szCs w:val="24"/>
                <w:color w:val="auto"/>
              </w:rPr>
            </w:pPr>
          </w:p>
        </w:tc>
        <w:tc>
          <w:tcPr>
            <w:tcW w:w="6140" w:type="dxa"/>
            <w:vAlign w:val="bottom"/>
            <w:gridSpan w:val="3"/>
          </w:tcPr>
          <w:p>
            <w:pPr>
              <w:ind w:left="420"/>
              <w:spacing w:after="0"/>
              <w:rPr>
                <w:sz w:val="20"/>
                <w:szCs w:val="20"/>
                <w:color w:val="auto"/>
              </w:rPr>
            </w:pPr>
            <w:r>
              <w:rPr>
                <w:rFonts w:ascii="Arial" w:cs="Arial" w:eastAsia="Arial" w:hAnsi="Arial"/>
                <w:sz w:val="10"/>
                <w:szCs w:val="10"/>
                <w:color w:val="auto"/>
              </w:rPr>
              <w:t>II-8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33655</wp:posOffset>
            </wp:positionV>
            <wp:extent cx="717804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1660" w:space="720"/>
            <w:col w:w="8920"/>
          </w:cols>
          <w:pgMar w:left="300" w:top="128" w:right="299" w:bottom="1440" w:gutter="0" w:footer="0" w:header="0"/>
        </w:sectPr>
      </w:pPr>
    </w:p>
    <w:bookmarkStart w:id="186" w:name="page187"/>
    <w:bookmarkEnd w:id="18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65810" cy="2457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6581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
        <w:spacing w:after="0"/>
        <w:rPr>
          <w:sz w:val="20"/>
          <w:szCs w:val="20"/>
          <w:color w:val="auto"/>
        </w:rPr>
      </w:pPr>
      <w:r>
        <w:rPr>
          <w:rFonts w:ascii="Arial" w:cs="Arial" w:eastAsia="Arial" w:hAnsi="Arial"/>
          <w:sz w:val="14"/>
          <w:szCs w:val="14"/>
          <w:color w:val="auto"/>
        </w:rPr>
        <w:t>David G. Peinsipp</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+1 415 693 2177</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dpeinsipp@cooley.com</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color w:val="auto"/>
        </w:rPr>
        <w:t>December 2, 2021</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WM Technology, Inc.</w:t>
      </w:r>
    </w:p>
    <w:p>
      <w:pPr>
        <w:spacing w:after="0" w:line="13" w:lineRule="exact"/>
        <w:rPr>
          <w:sz w:val="20"/>
          <w:szCs w:val="20"/>
          <w:color w:val="auto"/>
        </w:rPr>
      </w:pPr>
    </w:p>
    <w:p>
      <w:pPr>
        <w:ind w:left="8" w:right="10300" w:hanging="8"/>
        <w:spacing w:after="0" w:line="293" w:lineRule="auto"/>
        <w:tabs>
          <w:tab w:leader="none" w:pos="188" w:val="left"/>
        </w:tabs>
        <w:numPr>
          <w:ilvl w:val="0"/>
          <w:numId w:val="79"/>
        </w:numPr>
        <w:rPr>
          <w:rFonts w:ascii="Arial" w:cs="Arial" w:eastAsia="Arial" w:hAnsi="Arial"/>
          <w:sz w:val="13"/>
          <w:szCs w:val="13"/>
          <w:color w:val="auto"/>
        </w:rPr>
      </w:pPr>
      <w:r>
        <w:rPr>
          <w:rFonts w:ascii="Arial" w:cs="Arial" w:eastAsia="Arial" w:hAnsi="Arial"/>
          <w:sz w:val="13"/>
          <w:szCs w:val="13"/>
          <w:color w:val="auto"/>
        </w:rPr>
        <w:t>Discovery Irvine, CA 92618</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4"/>
          <w:szCs w:val="14"/>
          <w:color w:val="auto"/>
        </w:rPr>
        <w:t>Ladies and Gentlemen:</w:t>
      </w:r>
    </w:p>
    <w:p>
      <w:pPr>
        <w:spacing w:after="0" w:line="163" w:lineRule="exact"/>
        <w:rPr>
          <w:sz w:val="20"/>
          <w:szCs w:val="20"/>
          <w:color w:val="auto"/>
        </w:rPr>
      </w:pPr>
    </w:p>
    <w:p>
      <w:pPr>
        <w:jc w:val="both"/>
        <w:ind w:left="8"/>
        <w:spacing w:after="0" w:line="267" w:lineRule="auto"/>
        <w:rPr>
          <w:sz w:val="20"/>
          <w:szCs w:val="20"/>
          <w:color w:val="auto"/>
        </w:rPr>
      </w:pPr>
      <w:r>
        <w:rPr>
          <w:rFonts w:ascii="Arial" w:cs="Arial" w:eastAsia="Arial" w:hAnsi="Arial"/>
          <w:sz w:val="13"/>
          <w:szCs w:val="13"/>
          <w:color w:val="auto"/>
        </w:rPr>
        <w:t>We have acted as counsel to WM Technology,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and you have requested our opinion in connection with the filing of a Registration Statement on Form S-1 (the “</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with the Securities and Exchange Commission, including a related prospectus included in the Registration Statement (the “</w:t>
      </w:r>
      <w:r>
        <w:rPr>
          <w:rFonts w:ascii="Arial" w:cs="Arial" w:eastAsia="Arial" w:hAnsi="Arial"/>
          <w:sz w:val="13"/>
          <w:szCs w:val="13"/>
          <w:b w:val="1"/>
          <w:bCs w:val="1"/>
          <w:i w:val="1"/>
          <w:iCs w:val="1"/>
          <w:color w:val="auto"/>
        </w:rPr>
        <w:t>Prospectus</w:t>
      </w:r>
      <w:r>
        <w:rPr>
          <w:rFonts w:ascii="Arial" w:cs="Arial" w:eastAsia="Arial" w:hAnsi="Arial"/>
          <w:sz w:val="13"/>
          <w:szCs w:val="13"/>
          <w:color w:val="auto"/>
        </w:rPr>
        <w:t>”), covering the registration of the resale by the selling securityholders named in the Prospectus (the “</w:t>
      </w:r>
      <w:r>
        <w:rPr>
          <w:rFonts w:ascii="Arial" w:cs="Arial" w:eastAsia="Arial" w:hAnsi="Arial"/>
          <w:sz w:val="13"/>
          <w:szCs w:val="13"/>
          <w:b w:val="1"/>
          <w:bCs w:val="1"/>
          <w:i w:val="1"/>
          <w:iCs w:val="1"/>
          <w:color w:val="auto"/>
        </w:rPr>
        <w:t>Selling Securityholders</w:t>
      </w:r>
      <w:r>
        <w:rPr>
          <w:rFonts w:ascii="Arial" w:cs="Arial" w:eastAsia="Arial" w:hAnsi="Arial"/>
          <w:sz w:val="13"/>
          <w:szCs w:val="13"/>
          <w:color w:val="auto"/>
        </w:rPr>
        <w:t>”) of up to 1,938,798 shares of the Company’s Class A Common Stock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par value $0.0001 per share (“</w:t>
      </w:r>
      <w:r>
        <w:rPr>
          <w:rFonts w:ascii="Arial" w:cs="Arial" w:eastAsia="Arial" w:hAnsi="Arial"/>
          <w:sz w:val="13"/>
          <w:szCs w:val="13"/>
          <w:b w:val="1"/>
          <w:bCs w:val="1"/>
          <w:i w:val="1"/>
          <w:iCs w:val="1"/>
          <w:color w:val="auto"/>
        </w:rPr>
        <w:t>Class A Common Stock</w:t>
      </w:r>
      <w:r>
        <w:rPr>
          <w:rFonts w:ascii="Arial" w:cs="Arial" w:eastAsia="Arial" w:hAnsi="Arial"/>
          <w:sz w:val="13"/>
          <w:szCs w:val="13"/>
          <w:color w:val="auto"/>
        </w:rPr>
        <w:t>”), consisting of (i) 1,244,258 shares of Class A Common Stock issued pursuant to that certain Asset Purchase Agreement, dated September 3, 2021 (the “</w:t>
      </w:r>
      <w:r>
        <w:rPr>
          <w:rFonts w:ascii="Arial" w:cs="Arial" w:eastAsia="Arial" w:hAnsi="Arial"/>
          <w:sz w:val="13"/>
          <w:szCs w:val="13"/>
          <w:b w:val="1"/>
          <w:bCs w:val="1"/>
          <w:i w:val="1"/>
          <w:iCs w:val="1"/>
          <w:color w:val="auto"/>
        </w:rPr>
        <w:t>Asset Purchase Agreement</w:t>
      </w:r>
      <w:r>
        <w:rPr>
          <w:rFonts w:ascii="Arial" w:cs="Arial" w:eastAsia="Arial" w:hAnsi="Arial"/>
          <w:sz w:val="13"/>
          <w:szCs w:val="13"/>
          <w:color w:val="auto"/>
        </w:rPr>
        <w:t>”), by and among MembersRSVP, LLC d/b/a Sprout (“</w:t>
      </w:r>
      <w:r>
        <w:rPr>
          <w:rFonts w:ascii="Arial" w:cs="Arial" w:eastAsia="Arial" w:hAnsi="Arial"/>
          <w:sz w:val="13"/>
          <w:szCs w:val="13"/>
          <w:b w:val="1"/>
          <w:bCs w:val="1"/>
          <w:i w:val="1"/>
          <w:iCs w:val="1"/>
          <w:color w:val="auto"/>
        </w:rPr>
        <w:t>Sprout</w:t>
      </w:r>
      <w:r>
        <w:rPr>
          <w:rFonts w:ascii="Arial" w:cs="Arial" w:eastAsia="Arial" w:hAnsi="Arial"/>
          <w:sz w:val="13"/>
          <w:szCs w:val="13"/>
          <w:color w:val="auto"/>
        </w:rPr>
        <w:t>”), Text Ripple, Inc. (“</w:t>
      </w:r>
      <w:r>
        <w:rPr>
          <w:rFonts w:ascii="Arial" w:cs="Arial" w:eastAsia="Arial" w:hAnsi="Arial"/>
          <w:sz w:val="13"/>
          <w:szCs w:val="13"/>
          <w:b w:val="1"/>
          <w:bCs w:val="1"/>
          <w:i w:val="1"/>
          <w:iCs w:val="1"/>
          <w:color w:val="auto"/>
        </w:rPr>
        <w:t>Text Ripple</w:t>
      </w:r>
      <w:r>
        <w:rPr>
          <w:rFonts w:ascii="Arial" w:cs="Arial" w:eastAsia="Arial" w:hAnsi="Arial"/>
          <w:sz w:val="13"/>
          <w:szCs w:val="13"/>
          <w:color w:val="auto"/>
        </w:rPr>
        <w:t>”), the Company, WM Loyalty, LLC, certain equityholders of Sprout and Text Ripple and Jaret Christopher, as sellers’ representative and (ii) 694,540 shares of Class A Common Stock issued pursuant to that certain Equity Interest Purchase Agreement, dated September 28, 2021 (the “</w:t>
      </w:r>
      <w:r>
        <w:rPr>
          <w:rFonts w:ascii="Arial" w:cs="Arial" w:eastAsia="Arial" w:hAnsi="Arial"/>
          <w:sz w:val="13"/>
          <w:szCs w:val="13"/>
          <w:b w:val="1"/>
          <w:bCs w:val="1"/>
          <w:i w:val="1"/>
          <w:iCs w:val="1"/>
          <w:color w:val="auto"/>
        </w:rPr>
        <w:t>Equity Interest Purchase Agreement</w:t>
      </w:r>
      <w:r>
        <w:rPr>
          <w:rFonts w:ascii="Arial" w:cs="Arial" w:eastAsia="Arial" w:hAnsi="Arial"/>
          <w:sz w:val="13"/>
          <w:szCs w:val="13"/>
          <w:color w:val="auto"/>
        </w:rPr>
        <w:t>” and together with the Asset Purchase Agreement, the “</w:t>
      </w:r>
      <w:r>
        <w:rPr>
          <w:rFonts w:ascii="Arial" w:cs="Arial" w:eastAsia="Arial" w:hAnsi="Arial"/>
          <w:sz w:val="13"/>
          <w:szCs w:val="13"/>
          <w:b w:val="1"/>
          <w:bCs w:val="1"/>
          <w:i w:val="1"/>
          <w:iCs w:val="1"/>
          <w:color w:val="auto"/>
        </w:rPr>
        <w:t>Purchase Agreements</w:t>
      </w:r>
      <w:r>
        <w:rPr>
          <w:rFonts w:ascii="Arial" w:cs="Arial" w:eastAsia="Arial" w:hAnsi="Arial"/>
          <w:sz w:val="13"/>
          <w:szCs w:val="13"/>
          <w:color w:val="auto"/>
        </w:rPr>
        <w:t>”), by and among Ghost Management Group, LLC, Transport Logistics Holding Company, LLC d/b/a Merry Go Jane (“</w:t>
      </w:r>
      <w:r>
        <w:rPr>
          <w:rFonts w:ascii="Arial" w:cs="Arial" w:eastAsia="Arial" w:hAnsi="Arial"/>
          <w:sz w:val="13"/>
          <w:szCs w:val="13"/>
          <w:b w:val="1"/>
          <w:bCs w:val="1"/>
          <w:i w:val="1"/>
          <w:iCs w:val="1"/>
          <w:color w:val="auto"/>
        </w:rPr>
        <w:t>TLHC</w:t>
      </w:r>
      <w:r>
        <w:rPr>
          <w:rFonts w:ascii="Arial" w:cs="Arial" w:eastAsia="Arial" w:hAnsi="Arial"/>
          <w:sz w:val="13"/>
          <w:szCs w:val="13"/>
          <w:color w:val="auto"/>
        </w:rPr>
        <w:t>”), certain securityholders of TLHC and Justin Morris, as sellers’ representative.</w:t>
      </w:r>
    </w:p>
    <w:p>
      <w:pPr>
        <w:spacing w:after="0" w:line="128" w:lineRule="exact"/>
        <w:rPr>
          <w:sz w:val="20"/>
          <w:szCs w:val="20"/>
          <w:color w:val="auto"/>
        </w:rPr>
      </w:pPr>
    </w:p>
    <w:p>
      <w:pPr>
        <w:jc w:val="both"/>
        <w:ind w:left="8"/>
        <w:spacing w:after="0" w:line="270" w:lineRule="auto"/>
        <w:rPr>
          <w:sz w:val="20"/>
          <w:szCs w:val="20"/>
          <w:color w:val="auto"/>
        </w:rPr>
      </w:pPr>
      <w:r>
        <w:rPr>
          <w:rFonts w:ascii="Arial" w:cs="Arial" w:eastAsia="Arial" w:hAnsi="Arial"/>
          <w:sz w:val="13"/>
          <w:szCs w:val="13"/>
          <w:color w:val="auto"/>
        </w:rPr>
        <w:t>In connection with this opinion, we have examined and relied upon the Registration Statement, the Prospectus, the Company’s certificate of incorporation and bylaws, each as currently in effect, the Purchase Agreements and the originals or copies certified to our satisfaction of such opinions,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25" w:lineRule="exact"/>
        <w:rPr>
          <w:sz w:val="20"/>
          <w:szCs w:val="20"/>
          <w:color w:val="auto"/>
        </w:rPr>
      </w:pPr>
    </w:p>
    <w:p>
      <w:pPr>
        <w:jc w:val="both"/>
        <w:ind w:left="8" w:right="20"/>
        <w:spacing w:after="0" w:line="273" w:lineRule="auto"/>
        <w:rPr>
          <w:sz w:val="20"/>
          <w:szCs w:val="20"/>
          <w:color w:val="auto"/>
        </w:rPr>
      </w:pPr>
      <w:r>
        <w:rPr>
          <w:rFonts w:ascii="Arial" w:cs="Arial" w:eastAsia="Arial" w:hAnsi="Arial"/>
          <w:sz w:val="14"/>
          <w:szCs w:val="14"/>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4"/>
          <w:szCs w:val="14"/>
          <w:color w:val="auto"/>
        </w:rPr>
        <w:t>On the basis of the foregoing, and in reliance thereon, we are of the opinion that the Shares are validly issued, fully paid and nonassessable.</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Cooley LLP  3 Embarcadero Center, 20th Floor, San Francisco, CA 94111-4004</w:t>
      </w:r>
    </w:p>
    <w:p>
      <w:pPr>
        <w:spacing w:after="0" w:line="1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7804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29" w:right="299" w:bottom="1440" w:gutter="0" w:footer="0" w:header="0"/>
        </w:sectPr>
      </w:pPr>
    </w:p>
    <w:bookmarkStart w:id="187" w:name="page188"/>
    <w:bookmarkEnd w:id="18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65810" cy="2457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65810" cy="245745"/>
                    </a:xfrm>
                    <a:prstGeom prst="rect">
                      <a:avLst/>
                    </a:prstGeom>
                    <a:noFill/>
                  </pic:spPr>
                </pic:pic>
              </a:graphicData>
            </a:graphic>
          </wp:anchor>
        </w:drawing>
        <w:t>WM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December 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Two</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hereby consent to the filing of this opinion as an exhibit to the Registration Statement and to the reference to our firm under the caption “Legal Matters” in the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 Embarcadero Center, 20th Floor, San Francisco, CA 94111-4004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7804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2" w:right="299" w:bottom="1440" w:gutter="0" w:footer="0" w:header="0"/>
        </w:sectPr>
      </w:pPr>
    </w:p>
    <w:bookmarkStart w:id="188" w:name="page189"/>
    <w:bookmarkEnd w:id="18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65810" cy="2457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65810" cy="245745"/>
                    </a:xfrm>
                    <a:prstGeom prst="rect">
                      <a:avLst/>
                    </a:prstGeom>
                    <a:noFill/>
                  </pic:spPr>
                </pic:pic>
              </a:graphicData>
            </a:graphic>
          </wp:anchor>
        </w:drawing>
        <w:t>WM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December 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Three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OOLEY</w:t>
      </w:r>
      <w:r>
        <w:rPr>
          <w:rFonts w:ascii="Arial" w:cs="Arial" w:eastAsia="Arial" w:hAnsi="Arial"/>
          <w:sz w:val="14"/>
          <w:szCs w:val="14"/>
          <w:b w:val="1"/>
          <w:bCs w:val="1"/>
          <w:color w:val="auto"/>
        </w:rPr>
        <w:t xml:space="preserve"> LLP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 w:type="dxa"/>
            <w:vAlign w:val="bottom"/>
          </w:tcPr>
          <w:p>
            <w:pPr>
              <w:spacing w:after="0"/>
              <w:rPr>
                <w:sz w:val="20"/>
                <w:szCs w:val="20"/>
                <w:color w:val="auto"/>
              </w:rPr>
            </w:pPr>
            <w:r>
              <w:rPr>
                <w:rFonts w:ascii="Arial" w:cs="Arial" w:eastAsia="Arial" w:hAnsi="Arial"/>
                <w:sz w:val="12"/>
                <w:szCs w:val="12"/>
                <w:color w:val="auto"/>
              </w:rPr>
              <w:t>By:</w:t>
            </w:r>
          </w:p>
        </w:tc>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 David G. Peinsipp</w:t>
            </w:r>
          </w:p>
        </w:tc>
      </w:tr>
      <w:tr>
        <w:trPr>
          <w:trHeight w:val="151"/>
        </w:trPr>
        <w:tc>
          <w:tcPr>
            <w:tcW w:w="340" w:type="dxa"/>
            <w:vAlign w:val="bottom"/>
          </w:tcPr>
          <w:p>
            <w:pPr>
              <w:spacing w:after="0"/>
              <w:rPr>
                <w:sz w:val="13"/>
                <w:szCs w:val="13"/>
                <w:color w:val="auto"/>
              </w:rPr>
            </w:pPr>
          </w:p>
        </w:tc>
        <w:tc>
          <w:tcPr>
            <w:tcW w:w="5300" w:type="dxa"/>
            <w:vAlign w:val="bottom"/>
          </w:tcPr>
          <w:p>
            <w:pPr>
              <w:ind w:left="220"/>
              <w:spacing w:after="0"/>
              <w:rPr>
                <w:sz w:val="20"/>
                <w:szCs w:val="20"/>
                <w:color w:val="auto"/>
              </w:rPr>
            </w:pPr>
            <w:r>
              <w:rPr>
                <w:rFonts w:ascii="Arial" w:cs="Arial" w:eastAsia="Arial" w:hAnsi="Arial"/>
                <w:sz w:val="12"/>
                <w:szCs w:val="12"/>
                <w:color w:val="auto"/>
              </w:rPr>
              <w:t>David G. Peinsipp</w:t>
            </w:r>
          </w:p>
        </w:tc>
      </w:tr>
    </w:tbl>
    <w:p>
      <w:pPr>
        <w:spacing w:after="0" w:line="13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Cooley LLP  3 Embarcadero Center, 20th Floor, San Francisco, CA 94111-4004</w:t>
      </w:r>
    </w:p>
    <w:p>
      <w:pPr>
        <w:spacing w:after="0" w:line="2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78040"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662"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72"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We consent to the use in this Registration Statement on Form S-1 of WM Technology, Inc. of our report dated March 9, 2021, relating to the consolidated financial statements of WM Holding Company, LLC, appearing in the Prospectus, which is part of this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 to our firm under the heading “Experts” in such Registration Statement.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 Baker Tilly US,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December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17804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sectPr>
      <w:pgSz w:w="11900" w:h="16838" w:orient="portrait"/>
      <w:cols w:equalWidth="0" w:num="1">
        <w:col w:w="11300"/>
      </w:cols>
      <w:pgMar w:left="300" w:top="2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4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lvl w:ilvl="1">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lvl w:ilvl="1">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Roman"/>
      <w:start w:val="3"/>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lowerRoman"/>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4">
    <w:nsid w:val="11447B73"/>
    <w:multiLevelType w:val="hybridMultilevel"/>
    <w:lvl w:ilvl="0">
      <w:lvlJc w:val="left"/>
      <w:lvlText w:val="(%1)"/>
      <w:numFmt w:val="lowerRoman"/>
      <w:start w:val="3"/>
    </w:lvl>
  </w:abstractNum>
  <w:abstractNum w:abstractNumId="75">
    <w:nsid w:val="42963E5A"/>
    <w:multiLevelType w:val="hybridMultilevel"/>
    <w:lvl w:ilvl="0">
      <w:lvlJc w:val="left"/>
      <w:lvlText w:val="(%1)"/>
      <w:numFmt w:val="decimal"/>
      <w:start w:val="2"/>
    </w:lvl>
    <w:lvl w:ilvl="1">
      <w:lvlJc w:val="left"/>
      <w:lvlText w:val="(%2)"/>
      <w:numFmt w:val="lowerRoman"/>
      <w:start w:val="1"/>
    </w:lvl>
  </w:abstractNum>
  <w:abstractNum w:abstractNumId="76">
    <w:nsid w:val="A0382C5"/>
    <w:multiLevelType w:val="hybridMultilevel"/>
    <w:lvl w:ilvl="0">
      <w:lvlJc w:val="left"/>
      <w:lvlText w:val="%1"/>
      <w:numFmt w:val="lowerLetter"/>
      <w:start w:val="1"/>
    </w:lvl>
    <w:lvl w:ilvl="1">
      <w:lvlJc w:val="left"/>
      <w:lvlText w:val="(%2)"/>
      <w:numFmt w:val="lowerRoman"/>
      <w:start w:val="2"/>
    </w:lvl>
  </w:abstractNum>
  <w:abstractNum w:abstractNumId="77">
    <w:nsid w:val="8F2B15E"/>
    <w:multiLevelType w:val="hybridMultilevel"/>
    <w:lvl w:ilvl="0">
      <w:lvlJc w:val="left"/>
      <w:lvlText w:val="(%1)"/>
      <w:numFmt w:val="lowerLetter"/>
      <w:start w:val="2"/>
    </w:lvl>
    <w:lvl w:ilvl="1">
      <w:lvlJc w:val="left"/>
      <w:lvlText w:val="%2"/>
      <w:numFmt w:val="lowerRoman"/>
      <w:start w:val="1"/>
    </w:lvl>
  </w:abstractNum>
  <w:abstractNum w:abstractNumId="78">
    <w:nsid w:val="1A32234B"/>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22"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jpeg"/><Relationship Id="rId244" Type="http://schemas.openxmlformats.org/officeDocument/2006/relationships/image" Target="media/image209.png"/><Relationship Id="rId245" Type="http://schemas.openxmlformats.org/officeDocument/2006/relationships/image" Target="media/image210.jpeg"/><Relationship Id="rId246" Type="http://schemas.openxmlformats.org/officeDocument/2006/relationships/image" Target="media/image211.png"/><Relationship Id="rId247" Type="http://schemas.openxmlformats.org/officeDocument/2006/relationships/image" Target="media/image212.jpe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03" Type="http://schemas.openxmlformats.org/officeDocument/2006/relationships/hyperlink" Target="https://www.sec.gov/Archives/edgar/data/1779474/000095010320024045/dp142700_ex0201.htm" TargetMode="External"/><Relationship Id="rId204" Type="http://schemas.openxmlformats.org/officeDocument/2006/relationships/hyperlink" Target="https://www.sec.gov/Archives/edgar/data/1779474/000114036121021785/brhc10025756_ex3-1.htm" TargetMode="External"/><Relationship Id="rId205" Type="http://schemas.openxmlformats.org/officeDocument/2006/relationships/hyperlink" Target="https://www.sec.gov/Archives/edgar/data/1779474/000114036121021785/brhc10025756_ex3-2.htm" TargetMode="External"/><Relationship Id="rId206" Type="http://schemas.openxmlformats.org/officeDocument/2006/relationships/hyperlink" Target="https://www.sec.gov/Archives/edgar/data/1779474/000114036121021785/brhc10025756_ex4-1.htm" TargetMode="External"/><Relationship Id="rId207" Type="http://schemas.openxmlformats.org/officeDocument/2006/relationships/hyperlink" Target="https://www.sec.gov/Archives/edgar/data/1779474/000114036121021785/brhc10025756_ex4-2.htm" TargetMode="External"/><Relationship Id="rId208" Type="http://schemas.openxmlformats.org/officeDocument/2006/relationships/hyperlink" Target="https://www.sec.gov/Archives/edgar/data/1779474/000095010319010751/dp111173_ex0401.htm" TargetMode="External"/><Relationship Id="rId209" Type="http://schemas.openxmlformats.org/officeDocument/2006/relationships/hyperlink" Target="https://www.sec.gov/Archives/edgar/data/1779474/000114036121021785/brhc10025756_ex10-1.htm" TargetMode="External"/><Relationship Id="rId210" Type="http://schemas.openxmlformats.org/officeDocument/2006/relationships/hyperlink" Target="https://www.sec.gov/Archives/edgar/data/1779474/000114036121021785/brhc10025756_ex10-2.htm" TargetMode="External"/><Relationship Id="rId211" Type="http://schemas.openxmlformats.org/officeDocument/2006/relationships/hyperlink" Target="https://www.sec.gov/Archives/edgar/data/1779474/000114036121021785/brhc10025756_ex10-3.htm" TargetMode="External"/><Relationship Id="rId212" Type="http://schemas.openxmlformats.org/officeDocument/2006/relationships/hyperlink" Target="https://www.sec.gov/Archives/edgar/data/1779474/000095010320024045/dp142700_ex1001.htm" TargetMode="External"/><Relationship Id="rId213" Type="http://schemas.openxmlformats.org/officeDocument/2006/relationships/hyperlink" Target="https://www.sec.gov/Archives/edgar/data/1779474/000114036121021785/brhc10025756_ex10-5.htm" TargetMode="External"/><Relationship Id="rId214" Type="http://schemas.openxmlformats.org/officeDocument/2006/relationships/hyperlink" Target="https://www.sec.gov/Archives/edgar/data/1779474/000114036121021785/brhc10025756_ex10-6.htm" TargetMode="External"/><Relationship Id="rId215" Type="http://schemas.openxmlformats.org/officeDocument/2006/relationships/hyperlink" Target="https://www.sec.gov/Archives/edgar/data/1779474/000114036121021785/brhc10025756_ex10-7.htm" TargetMode="External"/><Relationship Id="rId216" Type="http://schemas.openxmlformats.org/officeDocument/2006/relationships/hyperlink" Target="https://www.sec.gov/Archives/edgar/data/1779474/000114036121021785/brhc10025756_ex10-7a.htm" TargetMode="External"/><Relationship Id="rId217" Type="http://schemas.openxmlformats.org/officeDocument/2006/relationships/hyperlink" Target="https://www.sec.gov/Archives/edgar/data/1779474/000114036121021785/brhc10025756_ex10-7b.htm" TargetMode="External"/><Relationship Id="rId218" Type="http://schemas.openxmlformats.org/officeDocument/2006/relationships/hyperlink" Target="https://www.sec.gov/Archives/edgar/data/1779474/000114036121021785/brhc10025756_ex10-8.htm" TargetMode="External"/><Relationship Id="rId219" Type="http://schemas.openxmlformats.org/officeDocument/2006/relationships/hyperlink" Target="https://www.sec.gov/Archives/edgar/data/1779474/000114036121021785/brhc10025756_ex10-9.htm" TargetMode="External"/><Relationship Id="rId220" Type="http://schemas.openxmlformats.org/officeDocument/2006/relationships/hyperlink" Target="https://www.sec.gov/Archives/edgar/data/1779474/000114036121021785/brhc10025756_ex10-10.htm" TargetMode="External"/><Relationship Id="rId221" Type="http://schemas.openxmlformats.org/officeDocument/2006/relationships/hyperlink" Target="https://www.sec.gov/Archives/edgar/data/1779474/000114036121021785/brhc10025756_ex10-11.htm" TargetMode="External"/><Relationship Id="rId223" Type="http://schemas.openxmlformats.org/officeDocument/2006/relationships/hyperlink" Target="https://www.sec.gov/Archives/edgar/data/1779474/000114036121021785/brhc10025756_ex10-12.htm" TargetMode="External"/><Relationship Id="rId224" Type="http://schemas.openxmlformats.org/officeDocument/2006/relationships/hyperlink" Target="https://www.sec.gov/Archives/edgar/data/1779474/000114036121021785/brhc10025756_ex10-13.htm" TargetMode="External"/><Relationship Id="rId225" Type="http://schemas.openxmlformats.org/officeDocument/2006/relationships/hyperlink" Target="https://www.sec.gov/Archives/edgar/data/1779474/000114036121021785/brhc10025756_ex10-14.htm" TargetMode="External"/><Relationship Id="rId226" Type="http://schemas.openxmlformats.org/officeDocument/2006/relationships/hyperlink" Target="https://www.sec.gov/Archives/edgar/data/1779474/000114036121021785/brhc10025756_ex10-15.htm" TargetMode="External"/><Relationship Id="rId227" Type="http://schemas.openxmlformats.org/officeDocument/2006/relationships/hyperlink" Target="https://www.sec.gov/Archives/edgar/data/1779474/000114036121021785/brhc10025756_ex10-16.htm" TargetMode="External"/><Relationship Id="rId228" Type="http://schemas.openxmlformats.org/officeDocument/2006/relationships/hyperlink" Target="https://www.sec.gov/Archives/edgar/data/1779474/000114036121021785/brhc10025756_ex10-17.htm" TargetMode="External"/><Relationship Id="rId229" Type="http://schemas.openxmlformats.org/officeDocument/2006/relationships/hyperlink" Target="https://www.sec.gov/Archives/edgar/data/1779474/000177947421000027/exhibit101.htm" TargetMode="External"/><Relationship Id="rId230" Type="http://schemas.openxmlformats.org/officeDocument/2006/relationships/hyperlink" Target="https://www.sec.gov/Archives/edgar/data/1779474/000114036121021785/brhc10025756_ex16-1.htm" TargetMode="External"/><Relationship Id="rId231" Type="http://schemas.openxmlformats.org/officeDocument/2006/relationships/hyperlink" Target="https://www.sec.gov/Archives/edgar/data/1779474/000114036121021785/brhc1002575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2021-12-02T16:20:13Z</dcterms:created>
  <dcterms:modified xsi:type="dcterms:W3CDTF">2021-12-02T16:20:13Z</dcterms:modified>
</cp:coreProperties>
</file>