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August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left="234"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312420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ind w:right="1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Resignation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9, 2023, Justin R. Hartfield notified WM Technology, Inc. (the “Company”) of his decision to resign as a member of the Company’s board of directors (the “Board”), and the Technology Committee of the Board, effective immediately. Mr. Hartfield’s decision was not based on any disagreement with the Company or on any matter relating to the Company’s operations, policies or practices.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Douglas Francis Employment Agreement</w:t>
      </w:r>
    </w:p>
    <w:p>
      <w:pPr>
        <w:spacing w:after="0" w:line="117" w:lineRule="exact"/>
        <w:rPr>
          <w:sz w:val="20"/>
          <w:szCs w:val="20"/>
          <w:color w:val="auto"/>
        </w:rPr>
      </w:pPr>
    </w:p>
    <w:p>
      <w:pPr>
        <w:jc w:val="both"/>
        <w:ind w:firstLine="734"/>
        <w:spacing w:after="0" w:line="263" w:lineRule="auto"/>
        <w:rPr>
          <w:sz w:val="20"/>
          <w:szCs w:val="20"/>
          <w:color w:val="auto"/>
        </w:rPr>
      </w:pPr>
      <w:r>
        <w:rPr>
          <w:rFonts w:ascii="Arial" w:cs="Arial" w:eastAsia="Arial" w:hAnsi="Arial"/>
          <w:sz w:val="18"/>
          <w:szCs w:val="18"/>
          <w:color w:val="auto"/>
        </w:rPr>
        <w:t>As previously disclosed on the Company’s Current Report on Form 8-K filed on August 9, 2022, Douglas Francis was appointed the Company’s Executive Chair on August 9, 2022. On August 15, 2023, the Company entered into an executive employment agreement with Mr. Francis (the “Employment Agreement”). .</w:t>
      </w:r>
    </w:p>
    <w:p>
      <w:pPr>
        <w:spacing w:after="0" w:line="76" w:lineRule="exact"/>
        <w:rPr>
          <w:sz w:val="20"/>
          <w:szCs w:val="20"/>
          <w:color w:val="auto"/>
        </w:rPr>
      </w:pPr>
    </w:p>
    <w:p>
      <w:pPr>
        <w:jc w:val="both"/>
        <w:ind w:firstLine="734"/>
        <w:spacing w:after="0" w:line="311" w:lineRule="auto"/>
        <w:rPr>
          <w:sz w:val="20"/>
          <w:szCs w:val="20"/>
          <w:color w:val="auto"/>
        </w:rPr>
      </w:pPr>
      <w:r>
        <w:rPr>
          <w:rFonts w:ascii="Arial" w:cs="Arial" w:eastAsia="Arial" w:hAnsi="Arial"/>
          <w:sz w:val="16"/>
          <w:szCs w:val="16"/>
          <w:color w:val="auto"/>
        </w:rPr>
        <w:t>Under the Employment Agreement, Mr. Francis is entitled to base compensation of $1,020,000 per year. In addition, Mr. Francis is entitled to a signing bonus of $700,000 in recognition of the work that he has done as Executive Chair prior to the effective date of the Employment Agreement. He will also be entitled to other benefits on the same basis as those benefits are made available to other similarly situated employees of the Company.</w:t>
      </w:r>
    </w:p>
    <w:p>
      <w:pPr>
        <w:spacing w:after="0" w:line="41" w:lineRule="exact"/>
        <w:rPr>
          <w:sz w:val="20"/>
          <w:szCs w:val="20"/>
          <w:color w:val="auto"/>
        </w:rPr>
      </w:pPr>
    </w:p>
    <w:p>
      <w:pPr>
        <w:jc w:val="both"/>
        <w:ind w:firstLine="734"/>
        <w:spacing w:after="0" w:line="263" w:lineRule="auto"/>
        <w:rPr>
          <w:sz w:val="20"/>
          <w:szCs w:val="20"/>
          <w:color w:val="auto"/>
        </w:rPr>
      </w:pPr>
      <w:r>
        <w:rPr>
          <w:rFonts w:ascii="Arial" w:cs="Arial" w:eastAsia="Arial" w:hAnsi="Arial"/>
          <w:sz w:val="18"/>
          <w:szCs w:val="18"/>
          <w:color w:val="auto"/>
        </w:rPr>
        <w:t>The foregoing summary description of the Employment Agreement does not purport to be complete and is qualified in its entirety by reference to the full text of the Employment Agreement, a copy of which is filed as Exhibit 10.1 to this Current Report on Form 8-K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On August 11, 2023, the Company received a letter from the Listing Qualifications Department (the “Staff”) of the Nasdaq Stock Market (“Nasdaq”) notifying the Company that the Staff has determined that for 10 consecutive business days, from July 28, 2023 to August 10, 2023, the</w:t>
      </w:r>
    </w:p>
    <w:p>
      <w:pPr>
        <w:jc w:val="both"/>
        <w:spacing w:after="0" w:line="263" w:lineRule="auto"/>
        <w:rPr>
          <w:sz w:val="20"/>
          <w:szCs w:val="20"/>
          <w:color w:val="auto"/>
        </w:rPr>
      </w:pPr>
      <w:r>
        <w:rPr>
          <w:rFonts w:ascii="Arial" w:cs="Arial" w:eastAsia="Arial" w:hAnsi="Arial"/>
          <w:sz w:val="18"/>
          <w:szCs w:val="18"/>
          <w:color w:val="auto"/>
        </w:rPr>
        <w:t>minimum closing bid price for the Company’s Class A common stock was at least $1.00 per share. Accordingly, the Staff has determined that the Company has regained compliance with Listing Rule 5450(a)(1) and it has indicated that the matter is now closed. There can be no assurance, however, that the Company will be able to maintain compliance with the Minimum Bid Price Requirement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ability to otherwise comply with applicable Nasdaq listing rules.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2022 filed with the SEC on March 16, 2023,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following exhibits are filed with this Current Report on Form 8-K: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u w:val="single" w:color="auto"/>
          <w:color w:val="0000FF"/>
        </w:rPr>
        <w:t>10.1</w:t>
      </w:r>
      <w:r>
        <w:rPr>
          <w:sz w:val="20"/>
          <w:szCs w:val="20"/>
          <w:color w:val="auto"/>
        </w:rPr>
        <w:tab/>
      </w:r>
      <w:r>
        <w:rPr>
          <w:rFonts w:ascii="Arial" w:cs="Arial" w:eastAsia="Arial" w:hAnsi="Arial"/>
          <w:sz w:val="16"/>
          <w:szCs w:val="16"/>
          <w:u w:val="single" w:color="auto"/>
          <w:color w:val="0000FF"/>
        </w:rPr>
        <w:t>Employment Agreement, dated August 15, 2023, by and between the Company and Douglas Francis</w:t>
      </w:r>
    </w:p>
    <w:p>
      <w:pPr>
        <w:spacing w:after="0" w:line="63"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Hoitt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Mary Hoitt</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10.1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Ghost Management Group, LLC</w:t>
      </w:r>
    </w:p>
    <w:p>
      <w:pPr>
        <w:ind w:left="5360" w:hanging="256"/>
        <w:spacing w:after="0" w:line="203" w:lineRule="auto"/>
        <w:tabs>
          <w:tab w:leader="none" w:pos="5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Discovery</w:t>
      </w:r>
    </w:p>
    <w:p>
      <w:pPr>
        <w:ind w:left="4700"/>
        <w:spacing w:after="0"/>
        <w:rPr>
          <w:rFonts w:ascii="Arial" w:cs="Arial" w:eastAsia="Arial" w:hAnsi="Arial"/>
          <w:sz w:val="18"/>
          <w:szCs w:val="18"/>
          <w:color w:val="auto"/>
        </w:rPr>
      </w:pPr>
      <w:r>
        <w:rPr>
          <w:rFonts w:ascii="Arial" w:cs="Arial" w:eastAsia="Arial" w:hAnsi="Arial"/>
          <w:sz w:val="18"/>
          <w:szCs w:val="18"/>
          <w:color w:val="auto"/>
        </w:rPr>
        <w:t>Irvine, California 92618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August 15, 2023</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Dear Doug Francis:</w:t>
      </w:r>
    </w:p>
    <w:p>
      <w:pPr>
        <w:spacing w:after="0" w:line="173" w:lineRule="exact"/>
        <w:rPr>
          <w:sz w:val="20"/>
          <w:szCs w:val="20"/>
          <w:color w:val="auto"/>
        </w:rPr>
      </w:pPr>
    </w:p>
    <w:p>
      <w:pPr>
        <w:ind w:right="20" w:firstLine="648"/>
        <w:spacing w:after="0" w:line="225" w:lineRule="auto"/>
        <w:rPr>
          <w:sz w:val="20"/>
          <w:szCs w:val="20"/>
          <w:color w:val="auto"/>
        </w:rPr>
      </w:pPr>
      <w:r>
        <w:rPr>
          <w:rFonts w:ascii="Arial" w:cs="Arial" w:eastAsia="Arial" w:hAnsi="Arial"/>
          <w:sz w:val="22"/>
          <w:szCs w:val="22"/>
          <w:color w:val="auto"/>
        </w:rPr>
        <w:t>This letter is to memorialize the offer of continued employment (this “</w:t>
      </w:r>
      <w:r>
        <w:rPr>
          <w:rFonts w:ascii="Arial" w:cs="Arial" w:eastAsia="Arial" w:hAnsi="Arial"/>
          <w:sz w:val="22"/>
          <w:szCs w:val="22"/>
          <w:b w:val="1"/>
          <w:bCs w:val="1"/>
          <w:u w:val="single" w:color="auto"/>
          <w:color w:val="auto"/>
        </w:rPr>
        <w:t>Offer</w:t>
      </w:r>
      <w:r>
        <w:rPr>
          <w:rFonts w:ascii="Arial" w:cs="Arial" w:eastAsia="Arial" w:hAnsi="Arial"/>
          <w:sz w:val="22"/>
          <w:szCs w:val="22"/>
          <w:color w:val="auto"/>
        </w:rPr>
        <w:t>”) made to Doug Francis by Ghost Management Group, LLC, a subsidiary of WM Technology, Inc. (collectively,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to set forth the specific terms and conditions of your employment with the Company.</w:t>
      </w:r>
    </w:p>
    <w:p>
      <w:pPr>
        <w:spacing w:after="0" w:line="159" w:lineRule="exact"/>
        <w:rPr>
          <w:sz w:val="20"/>
          <w:szCs w:val="20"/>
          <w:color w:val="auto"/>
        </w:rPr>
      </w:pPr>
    </w:p>
    <w:p>
      <w:pPr>
        <w:ind w:left="660" w:right="60" w:hanging="652"/>
        <w:spacing w:after="0" w:line="226" w:lineRule="auto"/>
        <w:tabs>
          <w:tab w:leader="none" w:pos="651"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Position</w:t>
      </w:r>
      <w:r>
        <w:rPr>
          <w:rFonts w:ascii="Arial" w:cs="Arial" w:eastAsia="Arial" w:hAnsi="Arial"/>
          <w:sz w:val="21"/>
          <w:szCs w:val="21"/>
          <w:color w:val="auto"/>
        </w:rPr>
        <w:t>. The Company agrees that you shall continue to serve in the position of Executive Chair. In this position, you report to the Board of Directors of WM Technology, Inc. (the “</w:t>
      </w:r>
      <w:r>
        <w:rPr>
          <w:rFonts w:ascii="Arial" w:cs="Arial" w:eastAsia="Arial" w:hAnsi="Arial"/>
          <w:sz w:val="21"/>
          <w:szCs w:val="21"/>
          <w:b w:val="1"/>
          <w:bCs w:val="1"/>
          <w:u w:val="single" w:color="auto"/>
          <w:color w:val="auto"/>
        </w:rPr>
        <w:t>Board</w:t>
      </w:r>
      <w:r>
        <w:rPr>
          <w:rFonts w:ascii="Arial" w:cs="Arial" w:eastAsia="Arial" w:hAnsi="Arial"/>
          <w:sz w:val="21"/>
          <w:szCs w:val="21"/>
          <w:color w:val="auto"/>
        </w:rPr>
        <w:t>”), unless notified otherwise. The Company agrees that you may continue to work either at the Company’s headquarters or remotely from your residence in Austin, Texas, so long as you are available to work at the Company’s headquarters as necessary or appropriate in your good faith determination or as reasonably directed by the Board.</w:t>
      </w:r>
    </w:p>
    <w:p>
      <w:pPr>
        <w:spacing w:after="0" w:line="159" w:lineRule="exact"/>
        <w:rPr>
          <w:rFonts w:ascii="Arial" w:cs="Arial" w:eastAsia="Arial" w:hAnsi="Arial"/>
          <w:sz w:val="21"/>
          <w:szCs w:val="21"/>
          <w:color w:val="auto"/>
        </w:rPr>
      </w:pPr>
    </w:p>
    <w:p>
      <w:pPr>
        <w:ind w:left="660" w:right="140" w:hanging="652"/>
        <w:spacing w:after="0" w:line="246" w:lineRule="auto"/>
        <w:tabs>
          <w:tab w:leader="none" w:pos="651"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You shall be employed on an at-will basis, meaning that either the Company or you may, at any time, with or without cause and with or without notice, terminate the employment relationship; provided that termination of your employment shall not constitute your removal from the Board.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This constitutes an integrated agreement with respect to the at-will nature of the employment relationship, and there may be no implied or oral agreements that in any way modify this at-will employment policy.</w:t>
      </w:r>
    </w:p>
    <w:p>
      <w:pPr>
        <w:spacing w:after="0" w:line="152" w:lineRule="exact"/>
        <w:rPr>
          <w:rFonts w:ascii="Arial" w:cs="Arial" w:eastAsia="Arial" w:hAnsi="Arial"/>
          <w:sz w:val="19"/>
          <w:szCs w:val="19"/>
          <w:color w:val="auto"/>
        </w:rPr>
      </w:pPr>
    </w:p>
    <w:p>
      <w:pPr>
        <w:ind w:left="660" w:hanging="652"/>
        <w:spacing w:after="0" w:line="249" w:lineRule="auto"/>
        <w:tabs>
          <w:tab w:leader="none" w:pos="651"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Your title will be Executive Chair. In such capacity, you shall be the Company’s principal executive officer, with responsibilities commensurate with those generally expected of your title as well as any set forth in the Company’s Bylaws and other governing documents, as modified from time to time by you and the Board. While you remain employed in such role, you agree to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pacing w:after="0" w:line="151" w:lineRule="exact"/>
        <w:rPr>
          <w:rFonts w:ascii="Arial" w:cs="Arial" w:eastAsia="Arial" w:hAnsi="Arial"/>
          <w:sz w:val="19"/>
          <w:szCs w:val="19"/>
          <w:color w:val="auto"/>
        </w:rPr>
      </w:pPr>
    </w:p>
    <w:p>
      <w:pPr>
        <w:ind w:left="660" w:right="60" w:hanging="652"/>
        <w:spacing w:after="0" w:line="216" w:lineRule="auto"/>
        <w:tabs>
          <w:tab w:leader="none" w:pos="651"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Other Business Interests</w:t>
      </w:r>
      <w:r>
        <w:rPr>
          <w:rFonts w:ascii="Arial" w:cs="Arial" w:eastAsia="Arial" w:hAnsi="Arial"/>
          <w:sz w:val="22"/>
          <w:szCs w:val="22"/>
          <w:color w:val="auto"/>
        </w:rPr>
        <w:t>. The Company acknowledges that you have other business interests, including employment and/or ownership of certain businesses related to the cannabis industry, which may take up a substantial portion of your time. While the Company agrees that you will not devote 100% of your time to the Company, it expects you to devote the amount of time and attention as required or necessary to adequately and appropriately discharge your duties as described above.</w:t>
      </w:r>
    </w:p>
    <w:p>
      <w:pPr>
        <w:spacing w:after="0" w:line="157" w:lineRule="exact"/>
        <w:rPr>
          <w:rFonts w:ascii="Arial" w:cs="Arial" w:eastAsia="Arial" w:hAnsi="Arial"/>
          <w:sz w:val="22"/>
          <w:szCs w:val="22"/>
          <w:color w:val="auto"/>
        </w:rPr>
      </w:pPr>
    </w:p>
    <w:p>
      <w:pPr>
        <w:ind w:left="640" w:hanging="632"/>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300" w:right="720" w:hanging="644"/>
        <w:spacing w:after="0" w:line="235" w:lineRule="auto"/>
        <w:tabs>
          <w:tab w:leader="none" w:pos="1288"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xml:space="preserve">. You will receive a base salary at the rate of </w:t>
      </w:r>
      <w:r>
        <w:rPr>
          <w:rFonts w:ascii="Arial" w:cs="Arial" w:eastAsia="Arial" w:hAnsi="Arial"/>
          <w:sz w:val="22"/>
          <w:szCs w:val="22"/>
          <w:b w:val="1"/>
          <w:bCs w:val="1"/>
          <w:color w:val="auto"/>
        </w:rPr>
        <w:t>$1,020,000</w:t>
      </w:r>
      <w:r>
        <w:rPr>
          <w:rFonts w:ascii="Arial" w:cs="Arial" w:eastAsia="Arial" w:hAnsi="Arial"/>
          <w:sz w:val="22"/>
          <w:szCs w:val="22"/>
          <w:color w:val="auto"/>
        </w:rPr>
        <w:t>, annualized, payable in accordance with the Company’s normal payroll practices.</w:t>
      </w:r>
    </w:p>
    <w:p>
      <w:pPr>
        <w:spacing w:after="0" w:line="152" w:lineRule="exact"/>
        <w:rPr>
          <w:rFonts w:ascii="Arial" w:cs="Arial" w:eastAsia="Arial" w:hAnsi="Arial"/>
          <w:sz w:val="22"/>
          <w:szCs w:val="22"/>
          <w:color w:val="auto"/>
        </w:rPr>
      </w:pPr>
    </w:p>
    <w:p>
      <w:pPr>
        <w:ind w:left="1300" w:right="260" w:hanging="644"/>
        <w:spacing w:after="0" w:line="271" w:lineRule="auto"/>
        <w:tabs>
          <w:tab w:leader="none" w:pos="1300"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Signing Bonus.</w:t>
      </w:r>
      <w:r>
        <w:rPr>
          <w:rFonts w:ascii="Arial" w:cs="Arial" w:eastAsia="Arial" w:hAnsi="Arial"/>
          <w:sz w:val="19"/>
          <w:szCs w:val="19"/>
          <w:color w:val="auto"/>
        </w:rPr>
        <w:t xml:space="preserve"> You shall receive a signing bonus of </w:t>
      </w:r>
      <w:r>
        <w:rPr>
          <w:rFonts w:ascii="Arial" w:cs="Arial" w:eastAsia="Arial" w:hAnsi="Arial"/>
          <w:sz w:val="19"/>
          <w:szCs w:val="19"/>
          <w:b w:val="1"/>
          <w:bCs w:val="1"/>
          <w:color w:val="auto"/>
        </w:rPr>
        <w:t>$700,000</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Signing Bonus</w:t>
      </w:r>
      <w:r>
        <w:rPr>
          <w:rFonts w:ascii="Arial" w:cs="Arial" w:eastAsia="Arial" w:hAnsi="Arial"/>
          <w:sz w:val="19"/>
          <w:szCs w:val="19"/>
          <w:color w:val="auto"/>
        </w:rPr>
        <w:t>”). The parties acknowledge and agree that you have provided substantial services as Executive Chair prior to the date of this Offer. The Signing Bonus is meant to compensate you for work you previously provided as Executive Chair, and does not</w:t>
      </w:r>
    </w:p>
    <w:p>
      <w:pPr>
        <w:sectPr>
          <w:pgSz w:w="11900" w:h="16838" w:orient="portrait"/>
          <w:cols w:equalWidth="0" w:num="1">
            <w:col w:w="11240"/>
          </w:cols>
          <w:pgMar w:left="320" w:top="90" w:right="339" w:bottom="1440" w:gutter="0" w:footer="0" w:header="0"/>
        </w:sectPr>
      </w:pPr>
    </w:p>
    <w:bookmarkStart w:id="4" w:name="page5"/>
    <w:bookmarkEnd w:id="4"/>
    <w:p>
      <w:pPr>
        <w:spacing w:after="0" w:line="272" w:lineRule="exact"/>
        <w:rPr>
          <w:sz w:val="20"/>
          <w:szCs w:val="20"/>
          <w:color w:val="auto"/>
        </w:rPr>
      </w:pPr>
    </w:p>
    <w:p>
      <w:pPr>
        <w:ind w:left="1292" w:right="240"/>
        <w:spacing w:after="0" w:line="232" w:lineRule="auto"/>
        <w:rPr>
          <w:sz w:val="20"/>
          <w:szCs w:val="20"/>
          <w:color w:val="auto"/>
        </w:rPr>
      </w:pPr>
      <w:r>
        <w:rPr>
          <w:rFonts w:ascii="Arial" w:cs="Arial" w:eastAsia="Arial" w:hAnsi="Arial"/>
          <w:sz w:val="22"/>
          <w:szCs w:val="22"/>
          <w:color w:val="auto"/>
        </w:rPr>
        <w:t>relate to services that you provide after the date of this Offer. Therefore, the Signing Bonus shall be fully earned and paid upon signing of this Offer.</w:t>
      </w:r>
    </w:p>
    <w:p>
      <w:pPr>
        <w:spacing w:after="0" w:line="159" w:lineRule="exact"/>
        <w:rPr>
          <w:sz w:val="20"/>
          <w:szCs w:val="20"/>
          <w:color w:val="auto"/>
        </w:rPr>
      </w:pPr>
    </w:p>
    <w:p>
      <w:pPr>
        <w:jc w:val="both"/>
        <w:ind w:left="1292" w:hanging="644"/>
        <w:spacing w:after="0" w:line="298" w:lineRule="auto"/>
        <w:tabs>
          <w:tab w:leader="none" w:pos="1280"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Withholdings and Deductions</w:t>
      </w:r>
      <w:r>
        <w:rPr>
          <w:rFonts w:ascii="Arial" w:cs="Arial" w:eastAsia="Arial" w:hAnsi="Arial"/>
          <w:sz w:val="19"/>
          <w:szCs w:val="19"/>
          <w:color w:val="auto"/>
        </w:rPr>
        <w:t>. All payments made under this Offer by the Company shall be subject to all required federal, state, and local withholdings and such other deductions as you may properly instruct the Company to take.</w:t>
      </w:r>
    </w:p>
    <w:p>
      <w:pPr>
        <w:spacing w:after="0" w:line="105" w:lineRule="exact"/>
        <w:rPr>
          <w:rFonts w:ascii="Arial" w:cs="Arial" w:eastAsia="Arial" w:hAnsi="Arial"/>
          <w:sz w:val="19"/>
          <w:szCs w:val="19"/>
          <w:color w:val="auto"/>
        </w:rPr>
      </w:pPr>
    </w:p>
    <w:p>
      <w:pPr>
        <w:ind w:left="1292" w:right="80" w:hanging="644"/>
        <w:spacing w:after="0" w:line="247" w:lineRule="auto"/>
        <w:tabs>
          <w:tab w:leader="none" w:pos="1292"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153" w:lineRule="exact"/>
        <w:rPr>
          <w:rFonts w:ascii="Arial" w:cs="Arial" w:eastAsia="Arial" w:hAnsi="Arial"/>
          <w:sz w:val="19"/>
          <w:szCs w:val="19"/>
          <w:color w:val="auto"/>
        </w:rPr>
      </w:pPr>
    </w:p>
    <w:p>
      <w:pPr>
        <w:ind w:left="1292" w:right="80" w:hanging="644"/>
        <w:spacing w:after="0" w:line="229" w:lineRule="auto"/>
        <w:tabs>
          <w:tab w:leader="none" w:pos="1280"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You will receive paid vacation according to the Company’s Vacation policy set forth in the Company’s Employee Handbook as may be amended from time to time (the “</w:t>
      </w:r>
      <w:r>
        <w:rPr>
          <w:rFonts w:ascii="Arial" w:cs="Arial" w:eastAsia="Arial" w:hAnsi="Arial"/>
          <w:sz w:val="21"/>
          <w:szCs w:val="21"/>
          <w:b w:val="1"/>
          <w:bCs w:val="1"/>
          <w:u w:val="single" w:color="auto"/>
          <w:color w:val="auto"/>
        </w:rPr>
        <w:t>Employee Handbook</w:t>
      </w:r>
      <w:r>
        <w:rPr>
          <w:rFonts w:ascii="Arial" w:cs="Arial" w:eastAsia="Arial" w:hAnsi="Arial"/>
          <w:sz w:val="21"/>
          <w:szCs w:val="21"/>
          <w:color w:val="auto"/>
        </w:rPr>
        <w:t>”). You will be eligible to accrue paid vacation at the rate set forth in the Employee Handbook. Payment of any accrued but unused vacation will be made upon termination of employment.</w:t>
      </w:r>
    </w:p>
    <w:p>
      <w:pPr>
        <w:spacing w:after="0" w:line="158" w:lineRule="exact"/>
        <w:rPr>
          <w:rFonts w:ascii="Arial" w:cs="Arial" w:eastAsia="Arial" w:hAnsi="Arial"/>
          <w:sz w:val="21"/>
          <w:szCs w:val="21"/>
          <w:color w:val="auto"/>
        </w:rPr>
      </w:pPr>
    </w:p>
    <w:p>
      <w:pPr>
        <w:ind w:left="1292" w:right="200" w:hanging="644"/>
        <w:spacing w:after="0" w:line="232" w:lineRule="auto"/>
        <w:tabs>
          <w:tab w:leader="none" w:pos="1283"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Paid Sick Leave</w:t>
      </w:r>
      <w:r>
        <w:rPr>
          <w:rFonts w:ascii="Arial" w:cs="Arial" w:eastAsia="Arial" w:hAnsi="Arial"/>
          <w:sz w:val="22"/>
          <w:szCs w:val="22"/>
          <w:color w:val="auto"/>
        </w:rPr>
        <w:t>. You will be eligible for paid sick leave according to the Company’s Sick Leave policy set forth in the Employee Handbook.</w:t>
      </w:r>
    </w:p>
    <w:p>
      <w:pPr>
        <w:spacing w:after="0" w:line="158" w:lineRule="exact"/>
        <w:rPr>
          <w:rFonts w:ascii="Arial" w:cs="Arial" w:eastAsia="Arial" w:hAnsi="Arial"/>
          <w:sz w:val="22"/>
          <w:szCs w:val="22"/>
          <w:color w:val="auto"/>
        </w:rPr>
      </w:pPr>
    </w:p>
    <w:p>
      <w:pPr>
        <w:ind w:left="1292" w:hanging="644"/>
        <w:spacing w:after="0" w:line="298" w:lineRule="auto"/>
        <w:tabs>
          <w:tab w:leader="none" w:pos="1292"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Exclusive Compensation</w:t>
      </w:r>
      <w:r>
        <w:rPr>
          <w:rFonts w:ascii="Arial" w:cs="Arial" w:eastAsia="Arial" w:hAnsi="Arial"/>
          <w:sz w:val="19"/>
          <w:szCs w:val="19"/>
          <w:color w:val="auto"/>
        </w:rPr>
        <w:t xml:space="preserve">. You agree that your compensation under this </w:t>
      </w:r>
      <w:r>
        <w:rPr>
          <w:rFonts w:ascii="Arial" w:cs="Arial" w:eastAsia="Arial" w:hAnsi="Arial"/>
          <w:sz w:val="19"/>
          <w:szCs w:val="19"/>
          <w:u w:val="single" w:color="auto"/>
          <w:color w:val="auto"/>
        </w:rPr>
        <w:t>Compensation and Benefits Section</w:t>
      </w:r>
      <w:r>
        <w:rPr>
          <w:rFonts w:ascii="Arial" w:cs="Arial" w:eastAsia="Arial" w:hAnsi="Arial"/>
          <w:sz w:val="19"/>
          <w:szCs w:val="19"/>
          <w:color w:val="auto"/>
        </w:rPr>
        <w:t xml:space="preserve"> constitutes the full and exclusive consideration and compensation for all services rendered by you under this Offer.</w:t>
      </w:r>
    </w:p>
    <w:p>
      <w:pPr>
        <w:spacing w:after="0" w:line="105" w:lineRule="exact"/>
        <w:rPr>
          <w:rFonts w:ascii="Arial" w:cs="Arial" w:eastAsia="Arial" w:hAnsi="Arial"/>
          <w:sz w:val="19"/>
          <w:szCs w:val="19"/>
          <w:color w:val="auto"/>
        </w:rPr>
      </w:pPr>
    </w:p>
    <w:p>
      <w:pPr>
        <w:ind w:left="1292" w:right="100" w:hanging="644"/>
        <w:spacing w:after="0" w:line="247" w:lineRule="auto"/>
        <w:tabs>
          <w:tab w:leader="none" w:pos="1292"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Clawback Provisions</w:t>
      </w:r>
      <w:r>
        <w:rPr>
          <w:rFonts w:ascii="Arial" w:cs="Arial" w:eastAsia="Arial" w:hAnsi="Arial"/>
          <w:sz w:val="15"/>
          <w:szCs w:val="15"/>
          <w:color w:val="auto"/>
        </w:rPr>
        <w:t>.</w:t>
      </w:r>
      <w:r>
        <w:rPr>
          <w:rFonts w:ascii="Arial" w:cs="Arial" w:eastAsia="Arial" w:hAnsi="Arial"/>
          <w:sz w:val="19"/>
          <w:szCs w:val="19"/>
          <w:color w:val="auto"/>
        </w:rPr>
        <w:t xml:space="preserve"> Notwithstanding any other provisions in this letter to the contrary, any incentive-based compensation paid to you pursuant to this letter or any other agreement or arrangement with the Company or any of its affiliates, which is subject to recovery under the Company’s Incentive Compensation Recoupment Policy or any law, government regulation or stock exchange listing requirement, will be subject to such deductions and clawback as may be required to be made pursuant to such policy, law, government regulation or stock exchange listing requirement (or any other policy adopted by the Company or any of its affiliates pursuant to any such law, government regulation or stock exchange listing requirement).</w:t>
      </w:r>
    </w:p>
    <w:p>
      <w:pPr>
        <w:spacing w:after="0" w:line="153" w:lineRule="exact"/>
        <w:rPr>
          <w:rFonts w:ascii="Arial" w:cs="Arial" w:eastAsia="Arial" w:hAnsi="Arial"/>
          <w:sz w:val="19"/>
          <w:szCs w:val="19"/>
          <w:color w:val="auto"/>
        </w:rPr>
      </w:pPr>
    </w:p>
    <w:p>
      <w:pPr>
        <w:ind w:left="632" w:hanging="632"/>
        <w:spacing w:after="0"/>
        <w:tabs>
          <w:tab w:leader="none" w:pos="632"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Conditions of Employment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292" w:right="280" w:hanging="644"/>
        <w:spacing w:after="0" w:line="268" w:lineRule="auto"/>
        <w:tabs>
          <w:tab w:leader="none" w:pos="128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Policies and Procedures</w:t>
      </w:r>
      <w:r>
        <w:rPr>
          <w:rFonts w:ascii="Arial" w:cs="Arial" w:eastAsia="Arial" w:hAnsi="Arial"/>
          <w:sz w:val="19"/>
          <w:szCs w:val="19"/>
          <w:color w:val="auto"/>
        </w:rPr>
        <w:t>. You agree to adhere to Company policies and procedures, including the policies contained in the Employee Handbook, which you will receive when you begin employment. From time to time, Company policies and procedures may be amended by the Company and will be called to your attention.</w:t>
      </w:r>
    </w:p>
    <w:p>
      <w:pPr>
        <w:spacing w:after="0" w:line="132" w:lineRule="exact"/>
        <w:rPr>
          <w:rFonts w:ascii="Arial" w:cs="Arial" w:eastAsia="Arial" w:hAnsi="Arial"/>
          <w:sz w:val="19"/>
          <w:szCs w:val="19"/>
          <w:color w:val="auto"/>
        </w:rPr>
      </w:pPr>
    </w:p>
    <w:p>
      <w:pPr>
        <w:jc w:val="both"/>
        <w:ind w:left="1292" w:hanging="644"/>
        <w:spacing w:after="0" w:line="298" w:lineRule="auto"/>
        <w:tabs>
          <w:tab w:leader="none" w:pos="1292"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Right to Work</w:t>
      </w:r>
      <w:r>
        <w:rPr>
          <w:rFonts w:ascii="Arial" w:cs="Arial" w:eastAsia="Arial" w:hAnsi="Arial"/>
          <w:sz w:val="19"/>
          <w:szCs w:val="19"/>
          <w:color w:val="auto"/>
        </w:rPr>
        <w:t xml:space="preserve">. This Offer is conditional upon your having the unrestricted right to work in the United States. The Company is in receipt of your completed federal Form I-9. For further information, see </w:t>
      </w:r>
      <w:r>
        <w:rPr>
          <w:rFonts w:ascii="Arial" w:cs="Arial" w:eastAsia="Arial" w:hAnsi="Arial"/>
          <w:sz w:val="19"/>
          <w:szCs w:val="19"/>
          <w:u w:val="single" w:color="auto"/>
          <w:color w:val="auto"/>
        </w:rPr>
        <w:t>https://www.uscis.gov/i-9</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12"/>
          </w:cols>
          <w:pgMar w:left="328" w:top="1440" w:right="359" w:bottom="1440" w:gutter="0" w:footer="0" w:header="0"/>
        </w:sectPr>
      </w:pPr>
    </w:p>
    <w:bookmarkStart w:id="5" w:name="page6"/>
    <w:bookmarkEnd w:id="5"/>
    <w:p>
      <w:pPr>
        <w:spacing w:after="0" w:line="272" w:lineRule="exact"/>
        <w:rPr>
          <w:sz w:val="20"/>
          <w:szCs w:val="20"/>
          <w:color w:val="auto"/>
        </w:rPr>
      </w:pPr>
    </w:p>
    <w:p>
      <w:pPr>
        <w:ind w:left="644" w:hanging="644"/>
        <w:spacing w:after="0" w:line="218" w:lineRule="auto"/>
        <w:tabs>
          <w:tab w:leader="none" w:pos="63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Non-Solicitation and Inventions Assignment Agreement</w:t>
      </w:r>
      <w:r>
        <w:rPr>
          <w:rFonts w:ascii="Arial" w:cs="Arial" w:eastAsia="Arial" w:hAnsi="Arial"/>
          <w:sz w:val="22"/>
          <w:szCs w:val="22"/>
          <w:color w:val="auto"/>
        </w:rPr>
        <w:t>. Enclosed is the Company’s Confidential Information, Non-Solicitation and Inventions Assignment Agreement, which you are required to sign as a condition of your employment. Upon your acceptance of this Offer, please return to the Company a signed copy of that agreement.</w:t>
      </w:r>
    </w:p>
    <w:p>
      <w:pPr>
        <w:spacing w:after="0" w:line="160" w:lineRule="exact"/>
        <w:rPr>
          <w:rFonts w:ascii="Arial" w:cs="Arial" w:eastAsia="Arial" w:hAnsi="Arial"/>
          <w:sz w:val="22"/>
          <w:szCs w:val="22"/>
          <w:color w:val="auto"/>
        </w:rPr>
      </w:pPr>
    </w:p>
    <w:p>
      <w:pPr>
        <w:ind w:left="644" w:right="240" w:hanging="644"/>
        <w:spacing w:after="0" w:line="223" w:lineRule="auto"/>
        <w:tabs>
          <w:tab w:leader="none" w:pos="64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Arbitration Agreement</w:t>
      </w:r>
      <w:r>
        <w:rPr>
          <w:rFonts w:ascii="Arial" w:cs="Arial" w:eastAsia="Arial" w:hAnsi="Arial"/>
          <w:sz w:val="22"/>
          <w:szCs w:val="22"/>
          <w:color w:val="auto"/>
        </w:rPr>
        <w:t>. Enclosed is the Company’s Mutual Agreement to Arbitrate All Disputes, which you are required to sign as a condition of your employment. Upon your acceptance of this Offer, please return to the Company a signed copy of that agreement.</w:t>
      </w:r>
    </w:p>
    <w:p>
      <w:pPr>
        <w:spacing w:after="0" w:line="158" w:lineRule="exact"/>
        <w:rPr>
          <w:rFonts w:ascii="Arial" w:cs="Arial" w:eastAsia="Arial" w:hAnsi="Arial"/>
          <w:sz w:val="22"/>
          <w:szCs w:val="22"/>
          <w:color w:val="auto"/>
        </w:rPr>
      </w:pPr>
    </w:p>
    <w:p>
      <w:pPr>
        <w:ind w:left="644" w:right="80" w:hanging="644"/>
        <w:spacing w:after="0" w:line="223" w:lineRule="auto"/>
        <w:tabs>
          <w:tab w:leader="none" w:pos="63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158" w:lineRule="exact"/>
        <w:rPr>
          <w:rFonts w:ascii="Arial" w:cs="Arial" w:eastAsia="Arial" w:hAnsi="Arial"/>
          <w:sz w:val="22"/>
          <w:szCs w:val="22"/>
          <w:color w:val="auto"/>
        </w:rPr>
      </w:pPr>
    </w:p>
    <w:p>
      <w:pPr>
        <w:ind w:left="644" w:right="200" w:hanging="644"/>
        <w:spacing w:after="0" w:line="218" w:lineRule="auto"/>
        <w:tabs>
          <w:tab w:leader="none" w:pos="635"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Prior Agreements</w:t>
      </w:r>
      <w:r>
        <w:rPr>
          <w:rFonts w:ascii="Arial" w:cs="Arial" w:eastAsia="Arial" w:hAnsi="Arial"/>
          <w:sz w:val="22"/>
          <w:szCs w:val="22"/>
          <w:color w:val="auto"/>
        </w:rPr>
        <w:t>. This letter supersedes any prior agreements solely regarding your employment with the Company. Nothing in this letter shall supersede any other agreement that you or your affiliates have entered into with the Company or its affiliates, or any right, privilege or remedy available to you under the governing documents of the Company or its affiliates.</w:t>
      </w:r>
    </w:p>
    <w:p>
      <w:pPr>
        <w:spacing w:after="0" w:line="160" w:lineRule="exact"/>
        <w:rPr>
          <w:rFonts w:ascii="Arial" w:cs="Arial" w:eastAsia="Arial" w:hAnsi="Arial"/>
          <w:sz w:val="22"/>
          <w:szCs w:val="22"/>
          <w:color w:val="auto"/>
        </w:rPr>
      </w:pPr>
    </w:p>
    <w:p>
      <w:pPr>
        <w:ind w:left="644" w:right="520" w:hanging="644"/>
        <w:spacing w:after="0" w:line="257" w:lineRule="auto"/>
        <w:tabs>
          <w:tab w:leader="none" w:pos="64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The validity, interpretation, construction and performance of this letter will be governed by the laws of the state in which you are employed, without regard for the state’s conflict of laws provisions. The invalidity or unenforceability of any provision or provisions of this letter will not affect the validity or enforceability of any other provision hereof, which will remain in full force and effect.</w:t>
      </w:r>
    </w:p>
    <w:p>
      <w:pPr>
        <w:spacing w:after="0" w:line="144" w:lineRule="exact"/>
        <w:rPr>
          <w:rFonts w:ascii="Arial" w:cs="Arial" w:eastAsia="Arial" w:hAnsi="Arial"/>
          <w:sz w:val="19"/>
          <w:szCs w:val="19"/>
          <w:color w:val="auto"/>
        </w:rPr>
      </w:pPr>
    </w:p>
    <w:p>
      <w:pPr>
        <w:ind w:left="644" w:right="320" w:hanging="644"/>
        <w:spacing w:after="0" w:line="234" w:lineRule="auto"/>
        <w:tabs>
          <w:tab w:leader="none" w:pos="644"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44"/>
          </w:cols>
          <w:pgMar w:left="976" w:top="1440" w:right="379" w:bottom="1440" w:gutter="0" w:footer="0" w:header="0"/>
        </w:sectPr>
      </w:pPr>
    </w:p>
    <w:bookmarkStart w:id="6" w:name="page7"/>
    <w:bookmarkEnd w:id="6"/>
    <w:p>
      <w:pPr>
        <w:spacing w:after="0" w:line="27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the Company’s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August 17, 2023.</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GHOST MANAGEMENT GROUP, LLC</w:t>
      </w:r>
    </w:p>
    <w:p>
      <w:pPr>
        <w:spacing w:after="0" w:line="17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WM Holding Company, LLC, its Manager</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WM Technology, Inc., its Managing Member</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Brenda Freeman</w:t>
      </w:r>
    </w:p>
    <w:p>
      <w:pPr>
        <w:ind w:left="4540"/>
        <w:spacing w:after="0"/>
        <w:rPr>
          <w:sz w:val="20"/>
          <w:szCs w:val="20"/>
          <w:color w:val="auto"/>
        </w:rPr>
      </w:pPr>
      <w:r>
        <w:rPr>
          <w:rFonts w:ascii="Arial" w:cs="Arial" w:eastAsia="Arial" w:hAnsi="Arial"/>
          <w:sz w:val="22"/>
          <w:szCs w:val="22"/>
          <w:color w:val="auto"/>
        </w:rPr>
        <w:t>Brenda Freeman, Director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96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Douglas Francis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August 15, 2023</w:t>
      </w:r>
    </w:p>
    <w:p>
      <w:pPr>
        <w:sectPr>
          <w:pgSz w:w="11900" w:h="16838" w:orient="portrait"/>
          <w:cols w:equalWidth="0" w:num="1">
            <w:col w:w="10420"/>
          </w:cols>
          <w:pgMar w:left="320" w:top="1440"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sectPr>
      <w:pgSz w:w="11900" w:h="16838" w:orient="portrait"/>
      <w:cols w:equalWidth="0" w:num="1">
        <w:col w:w="10420"/>
      </w:cols>
      <w:pgMar w:left="320" w:top="1440" w:right="1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4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3"/>
    </w:lvl>
  </w:abstractNum>
  <w:abstractNum w:abstractNumId="5">
    <w:nsid w:val="2EB141F2"/>
    <w:multiLevelType w:val="hybridMultilevel"/>
    <w:lvl w:ilvl="0">
      <w:lvlJc w:val="left"/>
      <w:lvlText w:val="%1)"/>
      <w:numFmt w:val="decimal"/>
      <w:start w:val="6"/>
    </w:lvl>
    <w:lvl w:ilvl="1">
      <w:lvlJc w:val="left"/>
      <w:lvlText w:val="%2."/>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2023-08-15T15:27:04Z</dcterms:created>
  <dcterms:modified xsi:type="dcterms:W3CDTF">2023-08-15T15:27:04Z</dcterms:modified>
</cp:coreProperties>
</file>