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24"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As filed with the Securities and Exchange Commission on March 11, 2022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Post-Effective Amendment No. 2</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98425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WM Technology,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107315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Delaware</w:t>
            </w: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95"/>
              </w:rPr>
              <w:t>7372</w:t>
            </w:r>
          </w:p>
        </w:tc>
        <w:tc>
          <w:tcPr>
            <w:tcW w:w="2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w w:val="91"/>
              </w:rPr>
              <w:t>98-1605615</w:t>
            </w:r>
          </w:p>
        </w:tc>
      </w:tr>
      <w:tr>
        <w:trPr>
          <w:trHeight w:val="60"/>
        </w:trPr>
        <w:tc>
          <w:tcPr>
            <w:tcW w:w="3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40"/>
        </w:trPr>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(State or Other Jurisdiction of</w:t>
            </w:r>
          </w:p>
        </w:tc>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(Primary Standard Industrial</w:t>
            </w:r>
          </w:p>
        </w:tc>
        <w:tc>
          <w:tcPr>
            <w:tcW w:w="312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330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Incorporation or Organization)</w:t>
            </w:r>
          </w:p>
        </w:tc>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Classification Code No.)</w:t>
            </w:r>
          </w:p>
        </w:tc>
        <w:tc>
          <w:tcPr>
            <w:tcW w:w="312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bl>
    <w:p>
      <w:pPr>
        <w:spacing w:after="0" w:line="87" w:lineRule="exact"/>
        <w:rPr>
          <w:sz w:val="24"/>
          <w:szCs w:val="24"/>
          <w:color w:val="auto"/>
        </w:rPr>
      </w:pPr>
    </w:p>
    <w:p>
      <w:pPr>
        <w:ind w:left="4620" w:hanging="199"/>
        <w:spacing w:after="0"/>
        <w:tabs>
          <w:tab w:leader="none" w:pos="46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Discovery</w:t>
      </w:r>
    </w:p>
    <w:p>
      <w:pPr>
        <w:spacing w:after="0" w:line="26" w:lineRule="exact"/>
        <w:rPr>
          <w:rFonts w:ascii="Arial" w:cs="Arial" w:eastAsia="Arial" w:hAnsi="Arial"/>
          <w:sz w:val="16"/>
          <w:szCs w:val="16"/>
          <w:b w:val="1"/>
          <w:bCs w:val="1"/>
          <w:color w:val="auto"/>
        </w:rPr>
      </w:pPr>
    </w:p>
    <w:p>
      <w:pPr>
        <w:ind w:left="40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Irvine, California 92618</w:t>
      </w:r>
    </w:p>
    <w:p>
      <w:pPr>
        <w:spacing w:after="0" w:line="18" w:lineRule="exact"/>
        <w:rPr>
          <w:rFonts w:ascii="Arial" w:cs="Arial" w:eastAsia="Arial" w:hAnsi="Arial"/>
          <w:sz w:val="16"/>
          <w:szCs w:val="16"/>
          <w:b w:val="1"/>
          <w:bCs w:val="1"/>
          <w:color w:val="auto"/>
        </w:rPr>
      </w:pPr>
    </w:p>
    <w:p>
      <w:pPr>
        <w:ind w:left="4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Tel: (844) 933-3627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118745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Brian Camire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WM Technology, Inc.</w:t>
      </w:r>
    </w:p>
    <w:p>
      <w:pPr>
        <w:spacing w:after="0" w:line="19" w:lineRule="exact"/>
        <w:rPr>
          <w:sz w:val="24"/>
          <w:szCs w:val="24"/>
          <w:color w:val="auto"/>
        </w:rPr>
      </w:pPr>
    </w:p>
    <w:p>
      <w:pPr>
        <w:ind w:left="4620" w:hanging="199"/>
        <w:spacing w:after="0"/>
        <w:tabs>
          <w:tab w:leader="none" w:pos="4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Discovery</w:t>
      </w:r>
    </w:p>
    <w:p>
      <w:pPr>
        <w:spacing w:after="0" w:line="18" w:lineRule="exact"/>
        <w:rPr>
          <w:rFonts w:ascii="Arial" w:cs="Arial" w:eastAsia="Arial" w:hAnsi="Arial"/>
          <w:sz w:val="16"/>
          <w:szCs w:val="16"/>
          <w:b w:val="1"/>
          <w:bCs w:val="1"/>
          <w:color w:val="auto"/>
        </w:rPr>
      </w:pPr>
    </w:p>
    <w:p>
      <w:pPr>
        <w:ind w:left="40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Irvine, California 92618</w:t>
      </w:r>
    </w:p>
    <w:p>
      <w:pPr>
        <w:spacing w:after="0" w:line="18" w:lineRule="exact"/>
        <w:rPr>
          <w:rFonts w:ascii="Arial" w:cs="Arial" w:eastAsia="Arial" w:hAnsi="Arial"/>
          <w:sz w:val="16"/>
          <w:szCs w:val="16"/>
          <w:b w:val="1"/>
          <w:bCs w:val="1"/>
          <w:color w:val="auto"/>
        </w:rPr>
      </w:pPr>
    </w:p>
    <w:p>
      <w:pPr>
        <w:ind w:left="4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Tel: (844) 933-3627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118745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Dave Peinsipp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Garth Osterman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Kristin VanderPas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Peter Byrne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Cooley LLP</w:t>
      </w:r>
    </w:p>
    <w:p>
      <w:pPr>
        <w:jc w:val="center"/>
        <w:spacing w:after="0" w:line="218" w:lineRule="auto"/>
        <w:rPr>
          <w:sz w:val="20"/>
          <w:szCs w:val="20"/>
          <w:color w:val="auto"/>
        </w:rPr>
      </w:pPr>
      <w:r>
        <w:rPr>
          <w:rFonts w:ascii="Arial" w:cs="Arial" w:eastAsia="Arial" w:hAnsi="Arial"/>
          <w:sz w:val="16"/>
          <w:szCs w:val="16"/>
          <w:b w:val="1"/>
          <w:bCs w:val="1"/>
          <w:color w:val="auto"/>
        </w:rPr>
        <w:t>101 California Street, 5</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(415) 693-2177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118745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20" w:lineRule="exact"/>
        <w:rPr>
          <w:sz w:val="24"/>
          <w:szCs w:val="24"/>
          <w:color w:val="auto"/>
        </w:rPr>
      </w:pPr>
    </w:p>
    <w:p>
      <w:pPr>
        <w:jc w:val="both"/>
        <w:ind w:firstLine="360"/>
        <w:spacing w:after="0" w:line="298" w:lineRule="auto"/>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w:t>
      </w:r>
    </w:p>
    <w:p>
      <w:pPr>
        <w:spacing w:after="0" w:line="6"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360"/>
        <w:spacing w:after="0" w:line="21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4"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3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8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1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18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1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9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80" w:type="dxa"/>
            <w:vAlign w:val="bottom"/>
          </w:tcPr>
          <w:p>
            <w:pPr>
              <w:ind w:left="116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360"/>
        <w:spacing w:after="0" w:line="273" w:lineRule="auto"/>
        <w:rPr>
          <w:sz w:val="20"/>
          <w:szCs w:val="20"/>
          <w:color w:val="auto"/>
        </w:rPr>
      </w:pPr>
      <w:r>
        <w:rPr>
          <w:rFonts w:ascii="Arial" w:cs="Arial" w:eastAsia="Arial" w:hAnsi="Arial"/>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323215</wp:posOffset>
            </wp:positionV>
            <wp:extent cx="699516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46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186055</wp:posOffset>
            </wp:positionV>
            <wp:extent cx="617220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720"/>
          </w:cols>
          <w:pgMar w:left="1080" w:top="225" w:right="1099" w:bottom="106"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WM Technology, Inc., a Delaware corporation, filed a Registration Statement on Form S-1 on December 2, 2021, which was declared effective on December 10, 2021 (as amended and supplemented, the “registration statement”). This Post-Effective Amendment No. 1 to Form S-1 (the “Post-Effective Amendment”) is being filed in order to update certain disclosures in the registration statement.</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February 25, 2022, WM Technology, Inc. filed its Annual Report on Form 10-K for fiscal year ended December 31, 2021 (the “Annual Report on Form 10-K”). Interested parties should refer to such Annual Report on Form 10-K for more information.</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form of prospectus included in this Post-Effective Amendment may be used in one or more offerings by one or more selling stockholders identified in the prospectus contained herein with one or more of the underwriters named therein and with different types and amounts of securities offered.</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4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C0014"/>
        </w:rPr>
        <w:t>PRELIMINARY PROSPECTUS SUBJECT TO COMPLETION—DATED 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180340</wp:posOffset>
            </wp:positionV>
            <wp:extent cx="3429000" cy="102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 to 1,938,798 Shares of Class A Common Stock</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29" w:lineRule="exact"/>
        <w:rPr>
          <w:sz w:val="20"/>
          <w:szCs w:val="20"/>
          <w:color w:val="auto"/>
        </w:rPr>
      </w:pPr>
    </w:p>
    <w:p>
      <w:pPr>
        <w:jc w:val="both"/>
        <w:ind w:left="400" w:right="419" w:firstLine="360"/>
        <w:spacing w:after="0" w:line="286" w:lineRule="auto"/>
        <w:rPr>
          <w:sz w:val="20"/>
          <w:szCs w:val="20"/>
          <w:color w:val="auto"/>
        </w:rPr>
      </w:pPr>
      <w:r>
        <w:rPr>
          <w:rFonts w:ascii="Arial" w:cs="Arial" w:eastAsia="Arial" w:hAnsi="Arial"/>
          <w:sz w:val="16"/>
          <w:szCs w:val="16"/>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67" w:lineRule="exact"/>
        <w:rPr>
          <w:sz w:val="20"/>
          <w:szCs w:val="20"/>
          <w:color w:val="auto"/>
        </w:rPr>
      </w:pPr>
    </w:p>
    <w:p>
      <w:pPr>
        <w:jc w:val="both"/>
        <w:ind w:left="400" w:right="419" w:firstLine="360"/>
        <w:spacing w:after="0" w:line="293" w:lineRule="auto"/>
        <w:rPr>
          <w:sz w:val="20"/>
          <w:szCs w:val="20"/>
          <w:color w:val="auto"/>
        </w:rPr>
      </w:pPr>
      <w:r>
        <w:rPr>
          <w:rFonts w:ascii="Arial" w:cs="Arial" w:eastAsia="Arial" w:hAnsi="Arial"/>
          <w:sz w:val="16"/>
          <w:szCs w:val="16"/>
          <w:color w:val="auto"/>
        </w:rPr>
        <w:t>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spacing w:after="0" w:line="164" w:lineRule="exact"/>
        <w:rPr>
          <w:sz w:val="20"/>
          <w:szCs w:val="20"/>
          <w:color w:val="auto"/>
        </w:rPr>
      </w:pPr>
    </w:p>
    <w:p>
      <w:pPr>
        <w:jc w:val="both"/>
        <w:ind w:left="400" w:right="419" w:firstLine="360"/>
        <w:spacing w:after="0" w:line="277" w:lineRule="auto"/>
        <w:rPr>
          <w:sz w:val="20"/>
          <w:szCs w:val="20"/>
          <w:color w:val="auto"/>
        </w:rPr>
      </w:pPr>
      <w:r>
        <w:rPr>
          <w:rFonts w:ascii="Arial" w:cs="Arial" w:eastAsia="Arial" w:hAnsi="Arial"/>
          <w:sz w:val="18"/>
          <w:szCs w:val="18"/>
          <w:color w:val="auto"/>
        </w:rPr>
        <w:t>Our Class A Common Stock is listed on The Nasdaq Global Select Market (“Nasdaq”) under the symbol “MAPS.” On March 9, 2022, the closing price of our Class A Common Stock was $5.78.</w:t>
      </w:r>
    </w:p>
    <w:p>
      <w:pPr>
        <w:spacing w:after="0" w:line="170" w:lineRule="exact"/>
        <w:rPr>
          <w:sz w:val="20"/>
          <w:szCs w:val="20"/>
          <w:color w:val="auto"/>
        </w:rPr>
      </w:pPr>
    </w:p>
    <w:p>
      <w:pPr>
        <w:jc w:val="both"/>
        <w:ind w:left="400" w:right="419"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the section entitled “Risk Factors” beginning on page </w:t>
      </w:r>
      <w:hyperlink w:anchor="page12">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to read about factors you should consider before buying our securities.</w:t>
      </w:r>
    </w:p>
    <w:p>
      <w:pPr>
        <w:spacing w:after="0" w:line="170" w:lineRule="exact"/>
        <w:rPr>
          <w:sz w:val="20"/>
          <w:szCs w:val="20"/>
          <w:color w:val="auto"/>
        </w:rPr>
      </w:pPr>
    </w:p>
    <w:p>
      <w:pPr>
        <w:jc w:val="both"/>
        <w:ind w:left="400" w:right="419"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60"/>
        <w:spacing w:after="0"/>
        <w:tabs>
          <w:tab w:leader="none" w:pos="57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5"/>
          <w:szCs w:val="15"/>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7"/>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2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28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28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DETERMINATION OF OFFERING PRICE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MARKET INFORMATION FOR COMMON STOCK AND DIVIDEND POLICY</w:t>
              </w:r>
            </w:hyperlink>
          </w:p>
        </w:tc>
        <w:tc>
          <w:tcPr>
            <w:tcW w:w="2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SELECTED HISTORICAL FINANCIAL AND OPERATING DATA</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MANAGEMENT’S DISCUSSION AND ANALYSIS OF FINANCIAL CONDITION AND RESULTS OF</w:t>
              </w:r>
            </w:hyperlink>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OPERATIONS</w:t>
              </w:r>
            </w:hyperlink>
          </w:p>
        </w:tc>
        <w:tc>
          <w:tcPr>
            <w:tcW w:w="280" w:type="dxa"/>
            <w:vAlign w:val="bottom"/>
            <w:gridSpan w:val="4"/>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BUSINESS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MANAGEMENT</w:t>
              </w:r>
            </w:hyperlink>
          </w:p>
        </w:tc>
        <w:tc>
          <w:tcPr>
            <w:tcW w:w="28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EXECUTIVE COMPENSATION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PARTY TRANSACTIONS</w:t>
              </w:r>
            </w:hyperlink>
          </w:p>
        </w:tc>
        <w:tc>
          <w:tcPr>
            <w:tcW w:w="28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PRINCIPAL SECURITYHOLDERS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103</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SELLING SECURITYHOLDERS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105</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DESCRIPTION OF SECURITIES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107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MATERIAL UNITED STATES FEDERAL INCOME TAX CONSEQUENCES</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115</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PLAN OF DISTRIBUTION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119</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LEGAL MATTERS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EXPERTS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WHERE YOU CAN FIND MORE INFORMATION</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122</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rFonts w:ascii="Arial" w:cs="Arial" w:eastAsia="Arial" w:hAnsi="Arial"/>
                <w:sz w:val="18"/>
                <w:szCs w:val="18"/>
                <w:color w:val="0000EE"/>
                <w:w w:val="88"/>
              </w:rPr>
            </w:pPr>
            <w:hyperlink w:anchor="page127">
              <w:r>
                <w:rPr>
                  <w:rFonts w:ascii="Arial" w:cs="Arial" w:eastAsia="Arial" w:hAnsi="Arial"/>
                  <w:sz w:val="18"/>
                  <w:szCs w:val="18"/>
                  <w:color w:val="0000EE"/>
                  <w:w w:val="88"/>
                </w:rPr>
                <w:t>F-1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PART II INFORMATION NOT REQUIRED IN PROSPECTUS</w:t>
              </w:r>
            </w:hyperlink>
          </w:p>
        </w:tc>
        <w:tc>
          <w:tcPr>
            <w:tcW w:w="300" w:type="dxa"/>
            <w:vAlign w:val="bottom"/>
            <w:gridSpan w:val="5"/>
          </w:tcPr>
          <w:p>
            <w:pPr>
              <w:jc w:val="right"/>
              <w:ind w:right="20"/>
              <w:spacing w:after="0"/>
              <w:rPr>
                <w:rFonts w:ascii="Arial" w:cs="Arial" w:eastAsia="Arial" w:hAnsi="Arial"/>
                <w:sz w:val="18"/>
                <w:szCs w:val="18"/>
                <w:color w:val="0000EE"/>
                <w:w w:val="99"/>
              </w:rPr>
            </w:pPr>
            <w:hyperlink w:anchor="page163">
              <w:r>
                <w:rPr>
                  <w:rFonts w:ascii="Arial" w:cs="Arial" w:eastAsia="Arial" w:hAnsi="Arial"/>
                  <w:sz w:val="18"/>
                  <w:szCs w:val="18"/>
                  <w:color w:val="0000EE"/>
                  <w:w w:val="99"/>
                </w:rPr>
                <w:t>II-1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SIGNATURES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99"/>
              </w:rPr>
            </w:pPr>
            <w:hyperlink w:anchor="page168">
              <w:r>
                <w:rPr>
                  <w:rFonts w:ascii="Arial" w:cs="Arial" w:eastAsia="Arial" w:hAnsi="Arial"/>
                  <w:sz w:val="18"/>
                  <w:szCs w:val="18"/>
                  <w:color w:val="0000EE"/>
                  <w:w w:val="99"/>
                </w:rPr>
                <w:t>II-6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-5297170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88900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in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“WMTI,”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have identified a material weakness in our internal control over financial reporting which, if not corrected, could affect the reliability of our consolidated financial statements;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20" w:right="299" w:firstLine="360"/>
        <w:spacing w:after="0" w:line="279" w:lineRule="auto"/>
        <w:rPr>
          <w:sz w:val="20"/>
          <w:szCs w:val="20"/>
          <w:color w:val="auto"/>
        </w:rPr>
      </w:pPr>
      <w:r>
        <w:rPr>
          <w:rFonts w:ascii="Arial" w:cs="Arial" w:eastAsia="Arial" w:hAnsi="Arial"/>
          <w:sz w:val="17"/>
          <w:szCs w:val="17"/>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63"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Associated with Our Business</w:t>
      </w:r>
    </w:p>
    <w:p>
      <w:pPr>
        <w:spacing w:after="0" w:line="117"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57" w:lineRule="exact"/>
        <w:rPr>
          <w:sz w:val="20"/>
          <w:szCs w:val="20"/>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w:t>
      </w:r>
    </w:p>
    <w:p>
      <w:pPr>
        <w:sectPr>
          <w:pgSz w:w="11900" w:h="16838" w:orient="portrait"/>
          <w:cols w:equalWidth="0" w:num="1">
            <w:col w:w="9019"/>
          </w:cols>
          <w:pgMar w:left="1440" w:top="265" w:right="1440"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87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79"/>
        <w:spacing w:after="0" w:line="275" w:lineRule="auto"/>
        <w:rPr>
          <w:sz w:val="20"/>
          <w:szCs w:val="20"/>
          <w:color w:val="auto"/>
        </w:rPr>
      </w:pPr>
      <w:r>
        <w:rPr>
          <w:rFonts w:ascii="Arial" w:cs="Arial" w:eastAsia="Arial" w:hAnsi="Arial"/>
          <w:sz w:val="17"/>
          <w:szCs w:val="17"/>
          <w:color w:val="auto"/>
        </w:rPr>
        <w:t>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8" w:lineRule="exact"/>
        <w:rPr>
          <w:sz w:val="20"/>
          <w:szCs w:val="20"/>
          <w:color w:val="auto"/>
        </w:rPr>
      </w:pPr>
    </w:p>
    <w:p>
      <w:pPr>
        <w:jc w:val="both"/>
        <w:ind w:left="1020" w:right="299" w:hanging="350"/>
        <w:spacing w:after="0" w:line="272"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095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20955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10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3638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36385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440" w:top="265" w:right="439" w:bottom="1440" w:gutter="0" w:footer="0" w:header="0"/>
        </w:sectPr>
      </w:pP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Resale of Class A Common Stock</w:t>
      </w:r>
    </w:p>
    <w:p>
      <w:pPr>
        <w:spacing w:after="0" w:line="117" w:lineRule="exact"/>
        <w:rPr>
          <w:sz w:val="20"/>
          <w:szCs w:val="20"/>
          <w:color w:val="auto"/>
        </w:rPr>
      </w:pPr>
    </w:p>
    <w:p>
      <w:pPr>
        <w:ind w:left="1480" w:hanging="179"/>
        <w:spacing w:after="0" w:line="282" w:lineRule="auto"/>
        <w:rPr>
          <w:sz w:val="20"/>
          <w:szCs w:val="20"/>
          <w:color w:val="auto"/>
        </w:rPr>
      </w:pPr>
      <w:r>
        <w:rPr>
          <w:rFonts w:ascii="Arial" w:cs="Arial" w:eastAsia="Arial" w:hAnsi="Arial"/>
          <w:sz w:val="18"/>
          <w:szCs w:val="18"/>
          <w:b w:val="1"/>
          <w:bCs w:val="1"/>
          <w:color w:val="auto"/>
        </w:rPr>
        <w:t>Shares of Class A Common Stock Offered by the Selling Securityholders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Up to 1,938,798 shares of Class A Common Stock.</w:t>
      </w:r>
    </w:p>
    <w:p>
      <w:pPr>
        <w:spacing w:after="0" w:line="158" w:lineRule="exact"/>
        <w:rPr>
          <w:sz w:val="20"/>
          <w:szCs w:val="20"/>
          <w:color w:val="auto"/>
        </w:rPr>
      </w:pPr>
    </w:p>
    <w:p>
      <w:pPr>
        <w:jc w:val="both"/>
        <w:ind w:right="1280"/>
        <w:spacing w:after="0" w:line="263" w:lineRule="auto"/>
        <w:rPr>
          <w:sz w:val="20"/>
          <w:szCs w:val="20"/>
          <w:color w:val="auto"/>
        </w:rPr>
      </w:pPr>
      <w:r>
        <w:rPr>
          <w:rFonts w:ascii="Arial" w:cs="Arial" w:eastAsia="Arial" w:hAnsi="Arial"/>
          <w:sz w:val="18"/>
          <w:szCs w:val="18"/>
          <w:color w:val="auto"/>
        </w:rPr>
        <w:t>We will not receive any proceeds from the sale of shares of Class A Common Stock by the Selling Securityholders.</w:t>
      </w:r>
    </w:p>
    <w:p>
      <w:pPr>
        <w:spacing w:after="0" w:line="99" w:lineRule="exact"/>
        <w:rPr>
          <w:sz w:val="20"/>
          <w:szCs w:val="20"/>
          <w:color w:val="auto"/>
        </w:rPr>
      </w:pPr>
    </w:p>
    <w:p>
      <w:pPr>
        <w:sectPr>
          <w:pgSz w:w="11900" w:h="16838" w:orient="portrait"/>
          <w:cols w:equalWidth="0" w:num="2">
            <w:col w:w="5040" w:space="60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Lock-Up Restrictions</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Certain  of  our  stockholders  are  subject  to  certain</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restrictions  on  transfer  until  the  termination  of</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applicable  lock-up  periods.  See  the  section  entitled</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“Certain Relationships and Related Party Transactions”</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for further discussion.</w:t>
            </w:r>
          </w:p>
        </w:tc>
      </w:tr>
      <w:tr>
        <w:trPr>
          <w:trHeight w:val="350"/>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Our Class A Common Stock is currently traded on</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Nasdaq under the symbol “MAPS.”</w:t>
            </w:r>
          </w:p>
        </w:tc>
      </w:tr>
      <w:tr>
        <w:trPr>
          <w:trHeight w:val="350"/>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information included in this prospectus for a discussion</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of factors you should consider before investing in our</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securities.</w:t>
            </w:r>
          </w:p>
        </w:tc>
      </w:tr>
      <w:tr>
        <w:trPr>
          <w:trHeight w:val="213"/>
        </w:trPr>
        <w:tc>
          <w:tcPr>
            <w:tcW w:w="108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Arial" w:cs="Arial" w:eastAsia="Arial" w:hAnsi="Arial"/>
                <w:sz w:val="18"/>
                <w:szCs w:val="18"/>
                <w:color w:val="auto"/>
              </w:rPr>
              <w:t>7</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business is subject to a number of risks, any of which could have an adverse effect on our business financial condition, operating results, or prospects:</w:t>
      </w:r>
    </w:p>
    <w:p>
      <w:pPr>
        <w:spacing w:after="0" w:line="62"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00" w:right="299" w:hanging="348"/>
        <w:spacing w:after="0" w:line="272"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As our costs increase, we may not be able to generate sufficient revenue to maintain profitability in the future.</w:t>
      </w:r>
    </w:p>
    <w:p>
      <w:pPr>
        <w:spacing w:after="0" w:line="14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While our revenue has grown in recent periods, this growth may not be sustainable due to a number of factors, including the maturation of our business, slowdowns in the pace of issuance of new licenses to cannabis retailers and brands,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84" w:lineRule="exact"/>
        <w:rPr>
          <w:sz w:val="20"/>
          <w:szCs w:val="20"/>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of additional employees, including in our product and engineering teams;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consumer and client usage, client base, and our sales to our clients;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our acquired companies into our operations; and</w:t>
      </w:r>
    </w:p>
    <w:p>
      <w:pPr>
        <w:spacing w:after="0" w:line="117"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have limited experience in determining the optimal pricing of our products and solutions, including our newly acquired products and solutions, and we may need to change our pricing model from time to time. For example, at the end of 2020 we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fail to expand effectively into new markets, our revenue and business will be adversely affected.</w:t>
      </w:r>
    </w:p>
    <w:p>
      <w:pPr>
        <w:spacing w:after="0" w:line="12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For example, we intend to expand in 2022 with the launch of our products and solutions and attracting and retaining clients and consumers on the East Coast.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6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as a result, our performance may be affected by factors unique to the California market.</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64.1% of our revenue for the year ended December 31, 2021, was generated in California. As new markets develop and our current markets expand, we anticipate that there will be a reduction in the percentage of our revenue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68"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6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6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Previously, we only required retail listings and premium placement clients to provide us with a state license number at the time we initially onboarded them, and did not routinely validate whether that license number actually was authorized for use by the client or whether it remains valid. We require all operational cannabis retailer clients,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61" w:lineRule="exact"/>
        <w:rPr>
          <w:sz w:val="20"/>
          <w:szCs w:val="20"/>
          <w:color w:val="auto"/>
        </w:rPr>
      </w:pPr>
    </w:p>
    <w:p>
      <w:pPr>
        <w:jc w:val="both"/>
        <w:ind w:left="300" w:right="299"/>
        <w:spacing w:after="0" w:line="316" w:lineRule="auto"/>
        <w:rPr>
          <w:sz w:val="20"/>
          <w:szCs w:val="20"/>
          <w:color w:val="auto"/>
        </w:rPr>
      </w:pPr>
      <w:r>
        <w:rPr>
          <w:rFonts w:ascii="Arial" w:cs="Arial" w:eastAsia="Arial" w:hAnsi="Arial"/>
          <w:sz w:val="15"/>
          <w:szCs w:val="15"/>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 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7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5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Laws and regulations affecting the cannabis industry in U.S. states and Canada are continually changing. Any change or even the speed of changes could require us to incur substantial costs associated with compliance or alter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5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 discretion.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34"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adapting to rapidly evolving trends in the cannabis industry and the way consumers and cannabis industry businesses interact with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year ended December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200" w:lineRule="exact"/>
        <w:rPr>
          <w:sz w:val="20"/>
          <w:szCs w:val="20"/>
          <w:color w:val="auto"/>
        </w:rPr>
      </w:pPr>
    </w:p>
    <w:p>
      <w:pPr>
        <w:spacing w:after="0" w:line="34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3"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53"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brand recognition and reputation may be affected by factors that are outside our control,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and Leaftrade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recently raised significant amounts of capital. For example, in August 2021, Jane announced the closing of a $100 million Series C round of funding; in October 2021, Dutchie announced the closing of a $350 million Series D round of funding at a valuation of $3.75 billion; and in February 2022, Leafly became a public company and began trading on Nasdaq via a SPAC business combination. Our competitors may be able to use such capital infusions to more successfully enter new markets opening up, such as major east coast markets opening up in 2022.</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5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fail to manage our growth effectively, our brand, business and operating results could be harmed.</w:t>
      </w:r>
    </w:p>
    <w:p>
      <w:pPr>
        <w:spacing w:after="0" w:line="12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 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we are unable to recruit, train, retain and motivate key personnel, we may not achieve our business objectives.</w:t>
      </w:r>
    </w:p>
    <w:p>
      <w:pPr>
        <w:spacing w:after="0" w:line="15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and it was recently suspended again in December 2021 until February 2022.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7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5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1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payment system and the payment systems of our clients depend on third-party providers and are subject to evolving laws and regulations.</w:t>
      </w:r>
    </w:p>
    <w:p>
      <w:pPr>
        <w:spacing w:after="0" w:line="62"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We also may integrate with third-party service providers used by our clients to process payments made by consumers.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CBD and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92"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Further, through our agreement with our third-party credit card processors, we are subject to payment card association operating rules and certification requirements, including restrictions on product mix and the Payment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32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5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12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340"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6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 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65"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6" w:lineRule="exact"/>
        <w:rPr>
          <w:sz w:val="20"/>
          <w:szCs w:val="20"/>
          <w:color w:val="auto"/>
        </w:rPr>
      </w:pPr>
    </w:p>
    <w:p>
      <w:pPr>
        <w:jc w:val="both"/>
        <w:ind w:left="300" w:right="299"/>
        <w:spacing w:after="0" w:line="327"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3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5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Beginning in the first quarter of fiscal 2020, we experienced a significant increase in demand from retailers, including storefronts and delivery services, for our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6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2" w:lineRule="exact"/>
        <w:rPr>
          <w:sz w:val="20"/>
          <w:szCs w:val="20"/>
          <w:color w:val="auto"/>
        </w:rPr>
      </w:pPr>
    </w:p>
    <w:p>
      <w:pPr>
        <w:jc w:val="both"/>
        <w:ind w:left="300" w:right="299" w:hanging="8"/>
        <w:spacing w:after="0" w:line="269" w:lineRule="auto"/>
        <w:tabs>
          <w:tab w:leader="none" w:pos="5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72"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Fluctuations in our quarterly and annual operating results may adversely affect our business and prospects.</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sell our WM Business offering in the United States, currently offer some of our WM Business solutions in Canada and have a limited number of non-monetized listings in several other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58"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and data protection, and unexpected changes in laws, regulatory requirements, and enforcement;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the United States and otherwise preventing us from freely moving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14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4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5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4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31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76" w:lineRule="exact"/>
        <w:rPr>
          <w:sz w:val="20"/>
          <w:szCs w:val="20"/>
          <w:color w:val="auto"/>
        </w:rPr>
      </w:pPr>
    </w:p>
    <w:p>
      <w:pPr>
        <w:jc w:val="both"/>
        <w:ind w:left="1000" w:right="319" w:hanging="348"/>
        <w:spacing w:after="0" w:line="275"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68"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that we issue a significant amount of equity or convertible debt securities in connection with future acquisitions, existing equity holders may be diluted and earnings per share may decrease;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85"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be subject to potential adverse tax consequences both domestically and in foreign jurisdictions.</w:t>
      </w:r>
    </w:p>
    <w:p>
      <w:pPr>
        <w:spacing w:after="0" w:line="14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accounting standards or other factors could negatively impact our future effective tax rate.</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9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6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33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6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349"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3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32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Acquisitions by us of common units in the Business Combination and future taxable redemptions or exchanges of Class A units representing limited liability company interests of WMH LLC (the “Class A Units”) by the WMH LLC equity holders for shares of Class A Common Stock or cash pursuant to the exchange agreement are expected to result in favorable tax attributes for us.</w:t>
      </w:r>
    </w:p>
    <w:p>
      <w:pPr>
        <w:spacing w:after="0" w:line="7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7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WMH LLC Class A equity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6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w:t>
      </w:r>
      <w:r>
        <w:rPr>
          <w:rFonts w:ascii="Arial" w:cs="Arial" w:eastAsia="Arial" w:hAnsi="Arial"/>
          <w:sz w:val="16"/>
          <w:szCs w:val="16"/>
          <w:color w:val="auto"/>
        </w:rPr>
        <w:t xml:space="preserve"> L.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four years ago, however, U.S. Attorneys have generally not prioritized the targeting of state law compliant entities.</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(formerly known as the Rohrabacher-Bluemnauer Amendment, and now known as the Joyce Amendment). In 2021, President Joe Biden became the first president to propose a budget with the Rohrabacher–Farr amendment included. On February 18, 2022, the amendment was renewed through a stopgap spending bill, with the most recent extension effective through March 11, 2022. There is no assurance that Congress will approve inclusion of a similar prohibition on DOJ spending in the appropriations bills for future years.</w:t>
      </w:r>
    </w:p>
    <w:p>
      <w:pPr>
        <w:spacing w:after="0" w:line="7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USA vs. McIntosh</w:t>
      </w:r>
      <w:r>
        <w:rPr>
          <w:rFonts w:ascii="Arial" w:cs="Arial" w:eastAsia="Arial" w:hAnsi="Arial"/>
          <w:sz w:val="16"/>
          <w:szCs w:val="16"/>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6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5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4"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their discontinuing services to the cannabis industry or limit their ability to provide services to the cannabis industry or ancillary businesses providing services to the cannabis industry.</w:t>
      </w:r>
    </w:p>
    <w:p>
      <w:pPr>
        <w:spacing w:after="0" w:line="6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Participating in transactions involving proceeds derived from cannabis may constitute criminal money laundering.</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58"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any of our clients’ business activities, any dividends or distributions therefrom, or any profits or revenue accruing thereby are found to be in violation of money laundering statutes, we and our investors could be subject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have difficulty using bankruptcy courts due to our involvement in the regulated cannabis industry.</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w:t>
      </w:r>
    </w:p>
    <w:p>
      <w:pPr>
        <w:spacing w:after="0" w:line="2" w:lineRule="exact"/>
        <w:rPr>
          <w:sz w:val="20"/>
          <w:szCs w:val="20"/>
          <w:color w:val="auto"/>
        </w:rPr>
      </w:pPr>
    </w:p>
    <w:p>
      <w:pPr>
        <w:jc w:val="both"/>
        <w:ind w:left="300" w:right="299" w:hanging="8"/>
        <w:spacing w:after="0" w:line="302" w:lineRule="auto"/>
        <w:tabs>
          <w:tab w:leader="none" w:pos="4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290"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35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62"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Service providers to cannabis businesses may also be subject to unfavorable U.S. tax treatment.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 The MORE Act, which was passed by the House of Representatives but did not become law in the 116th Congress and has not yet been reintroduced into the 117th, would remove marijuana from the CSA, which would effectively carve out state-legal cannabis businesses from Section 280E of the Code.</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6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24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be subject to Telephone Consumer Protections Act (TCPA) risks for our communications with consumers.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acquisitions of Cannveya and Sprout will continue to put us directly into contact with consumers and their data. Additionally, we are exploring products for our WM Business customers that would permit them to directly contact consumers.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consumers (including on behalf of our clients) may put us at risk of a TCPA lawsuit.</w:t>
      </w:r>
    </w:p>
    <w:p>
      <w:pPr>
        <w:spacing w:after="0" w:line="15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As of December 31, 2021, our affiliates, executive officers, directors and their respective affiliates as a group beneficially own approximately 45.9%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There is no guarantee that the Warrants will be in the money at the time they become exercisable, and they may expire worthless.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84"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1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warrantholders, thereby making such Warrants worthless.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Class A Common Stock had your Warrants remained outstanding.</w:t>
      </w:r>
    </w:p>
    <w:p>
      <w:pPr>
        <w:spacing w:after="0" w:line="354"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1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34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76"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and Warrants have been, and may continue to be, volatile, and the value of our Class A Common Stock and Warrants may decline.</w:t>
      </w:r>
    </w:p>
    <w:p>
      <w:pPr>
        <w:spacing w:after="0" w:line="62"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The market price of our Class A Common Stock and Warrants have been and may continue to be subject to wide fluctuations in response to numerous factors, many of which are beyond our control, including:</w:t>
      </w:r>
    </w:p>
    <w:p>
      <w:pPr>
        <w:spacing w:after="0" w:line="38"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commencement or conclusion of legal proceedings that involve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our competitors;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joint ventures;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capital-raising activities or commitments;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financial performance;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our securities, including short selling of our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civil unrest, war, foreign invasions, terrorism, or public health crises, or responses to such events.</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33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31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6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may increase even more now that we are no longer an emerging growth company, as 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32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are no longer an “emerging growth company” or a “smaller reporting company” and the reduced disclosure requirements applicable to emerging growth companies and smaller reporting companies no longer apply to us.</w:t>
      </w:r>
    </w:p>
    <w:p>
      <w:pPr>
        <w:spacing w:after="0" w:line="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no longer an emerging growth company. As a result, we are now subject to certain disclosure requirements that are applicable to other public companies that had not been applicable to us as an emerging growth company. These requirements include:</w:t>
      </w:r>
    </w:p>
    <w:p>
      <w:pPr>
        <w:spacing w:after="0" w:line="76" w:lineRule="exact"/>
        <w:rPr>
          <w:sz w:val="20"/>
          <w:szCs w:val="20"/>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PCAOB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the requirements of holding a nonbinding advisory vote on executive compensation and shareholder approval of any golden parachute payments not previously approved.</w:t>
      </w:r>
    </w:p>
    <w:p>
      <w:pPr>
        <w:spacing w:after="0" w:line="3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are also no longer a smaller reporting company and are no longer permitted to rely on exemptions for smaller reporting companies from certain disclosure requirements that are applicable to other public companies that are not smaller reporting companies.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326"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328"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not have sufficient funds to satisfy indemnification claims of our directors and executive officers.</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under the symbols “MAPS” and “MAPSW,” respectively. Prior to the consummation of the Business Combination, our Class A Common Stock and our Public Warrants were listed on Nasdaq under the symbols “SSPKU” and “SSPKW,” respectively. As of February 18, 2022, there were 70,399,067 shares of Class A Common Stock issued and outstanding held of record by 117 holders, 65,502,347 shares of Class V Common Stock issued and outstanding held of record by 23 holders and 19,499,993 Warrants (defined below) outstanding held of record by two holders. No market exists for the Class V Common Stock.</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of November 24, 2021, we had 21,829,529 shares of our Class A Common Stock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7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On August 26, 2021, we filed a registration statement on Form S-8 under the Securities Act to register the shares of Class A Common Stock issued or issuable under the 2021 Plan. The Form S-8 registration statement also covers shares of Class A Common Stock underlying the 2021 Plan, which can be sold in the public market upon issuance, subject to applicable restrictions. The Form S-8 registration statement became effective automatically upon filing.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following tables set forth a summary of our historical consolidated financial and operating data as of, and for the periods ended on, the dates indicated. The selected historical consolidated statements of income data for the years ended December 31, 2019, 2020 and 2021, and the historical consolidated balance sheet data as of December 31, 2020 and 2021, are derived from our audited consolidated financial statements included elsewhere in this prospectus. Our historical results are not necessarily indicative of the results that may be expected in the future. You should read the following selected historical consolidated financial and operating data together with “Management’s Discussion and Analysis of Financial Condition and Results of Operations” and our consolidated financial statements and related notes included elsewhere in this prospectus.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5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r>
      <w:tr>
        <w:trPr>
          <w:trHeight w:val="53"/>
        </w:trPr>
        <w:tc>
          <w:tcPr>
            <w:tcW w:w="5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9"/>
          </w:tcPr>
          <w:p>
            <w:pPr>
              <w:jc w:val="right"/>
              <w:ind w:right="200"/>
              <w:spacing w:after="0"/>
              <w:rPr>
                <w:sz w:val="20"/>
                <w:szCs w:val="20"/>
                <w:color w:val="auto"/>
              </w:rPr>
            </w:pPr>
            <w:r>
              <w:rPr>
                <w:rFonts w:ascii="Arial" w:cs="Arial" w:eastAsia="Arial" w:hAnsi="Arial"/>
                <w:sz w:val="14"/>
                <w:szCs w:val="14"/>
                <w:b w:val="1"/>
                <w:bCs w:val="1"/>
                <w:color w:val="auto"/>
                <w:w w:val="92"/>
              </w:rPr>
              <w:t>(in thousands, except unit and share data)</w:t>
            </w:r>
          </w:p>
        </w:tc>
      </w:tr>
      <w:tr>
        <w:trPr>
          <w:trHeight w:val="53"/>
        </w:trPr>
        <w:tc>
          <w:tcPr>
            <w:tcW w:w="548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$144,232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2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7,074</w:t>
            </w:r>
          </w:p>
        </w:tc>
        <w:tc>
          <w:tcPr>
            <w:tcW w:w="18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7,630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7,938</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39,746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30,716</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56,119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29,497</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27,142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35,395</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56,466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51,127</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97,447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5,162</w:t>
            </w:r>
          </w:p>
        </w:tc>
        <w:tc>
          <w:tcPr>
            <w:tcW w:w="18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23"/>
                <w:szCs w:val="23"/>
                <w:color w:val="auto"/>
              </w:rPr>
            </w:pPr>
          </w:p>
        </w:tc>
      </w:tr>
      <w:tr>
        <w:trPr>
          <w:trHeight w:val="48"/>
        </w:trPr>
        <w:tc>
          <w:tcPr>
            <w:tcW w:w="54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4"/>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137,945</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120,593</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201,324</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5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41,198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(8,178)</w:t>
            </w: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166,518</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(5,341)</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(6,723)</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5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946</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151,617</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91,835</w:t>
            </w:r>
          </w:p>
        </w:tc>
        <w:tc>
          <w:tcPr>
            <w:tcW w:w="80" w:type="dxa"/>
            <w:vAlign w:val="bottom"/>
            <w:shd w:val="clear" w:color="auto" w:fill="CCEEFF"/>
          </w:tcPr>
          <w:p>
            <w:pPr>
              <w:spacing w:after="0"/>
              <w:rPr>
                <w:sz w:val="23"/>
                <w:szCs w:val="23"/>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Net income (loss) attributable to WM Technology,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$ 38,830</w:t>
            </w:r>
          </w:p>
        </w:tc>
        <w:tc>
          <w:tcPr>
            <w:tcW w:w="3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60,383</w:t>
            </w:r>
          </w:p>
        </w:tc>
        <w:tc>
          <w:tcPr>
            <w:tcW w:w="80" w:type="dxa"/>
            <w:vAlign w:val="bottom"/>
          </w:tcPr>
          <w:p>
            <w:pPr>
              <w:spacing w:after="0"/>
              <w:rPr>
                <w:sz w:val="23"/>
                <w:szCs w:val="23"/>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5"/>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Common Stock</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97"/>
        </w:trPr>
        <w:tc>
          <w:tcPr>
            <w:tcW w:w="54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r>
      <w:tr>
        <w:trPr>
          <w:trHeight w:val="21"/>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38"/>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65,013,517</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97"/>
        </w:trPr>
        <w:tc>
          <w:tcPr>
            <w:tcW w:w="54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66,813,417</w:t>
            </w:r>
          </w:p>
        </w:tc>
        <w:tc>
          <w:tcPr>
            <w:tcW w:w="80" w:type="dxa"/>
            <w:vAlign w:val="bottom"/>
          </w:tcPr>
          <w:p>
            <w:pPr>
              <w:spacing w:after="0"/>
              <w:rPr>
                <w:sz w:val="24"/>
                <w:szCs w:val="24"/>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5"/>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-6111240</wp:posOffset>
            </wp:positionV>
            <wp:extent cx="154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-6111240</wp:posOffset>
            </wp:positionV>
            <wp:extent cx="154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tbl>
      <w:tblPr>
        <w:tblLayout w:type="fixed"/>
        <w:tblInd w:w="1300" w:type="dxa"/>
        <w:tblCellMar>
          <w:top w:w="0" w:type="dxa"/>
          <w:left w:w="0" w:type="dxa"/>
          <w:bottom w:w="0" w:type="dxa"/>
          <w:right w:w="0" w:type="dxa"/>
        </w:tblCellMar>
      </w:tblPr>
      <w:tr>
        <w:trPr>
          <w:trHeight w:val="161"/>
        </w:trPr>
        <w:tc>
          <w:tcPr>
            <w:tcW w:w="538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2"/>
          </w:tcPr>
          <w:p>
            <w:pPr>
              <w:jc w:val="right"/>
              <w:ind w:right="49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13"/>
          </w:tcPr>
          <w:p>
            <w:pPr>
              <w:jc w:val="right"/>
              <w:ind w:right="30"/>
              <w:spacing w:after="0"/>
              <w:rPr>
                <w:sz w:val="20"/>
                <w:szCs w:val="20"/>
                <w:color w:val="auto"/>
              </w:rPr>
            </w:pPr>
            <w:r>
              <w:rPr>
                <w:rFonts w:ascii="Arial" w:cs="Arial" w:eastAsia="Arial" w:hAnsi="Arial"/>
                <w:sz w:val="14"/>
                <w:szCs w:val="14"/>
                <w:b w:val="1"/>
                <w:bCs w:val="1"/>
                <w:color w:val="auto"/>
                <w:w w:val="91"/>
              </w:rPr>
              <w:t>(in thousands, except unit and share data)</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18"/>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Unit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56"/>
        </w:trPr>
        <w:tc>
          <w:tcPr>
            <w:tcW w:w="5380" w:type="dxa"/>
            <w:vAlign w:val="bottom"/>
            <w:gridSpan w:val="2"/>
          </w:tcPr>
          <w:p>
            <w:pPr>
              <w:spacing w:after="0"/>
              <w:rPr>
                <w:sz w:val="20"/>
                <w:szCs w:val="20"/>
                <w:color w:val="auto"/>
              </w:rPr>
            </w:pPr>
            <w:r>
              <w:rPr>
                <w:rFonts w:ascii="Arial" w:cs="Arial" w:eastAsia="Arial" w:hAnsi="Arial"/>
                <w:sz w:val="18"/>
                <w:szCs w:val="18"/>
                <w:color w:val="auto"/>
                <w:w w:val="94"/>
              </w:rPr>
              <w:t>Basic and diluted earnings (loss) per Class A-1, A-2 and A-3 units from</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1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N/A</w:t>
            </w:r>
          </w:p>
        </w:tc>
      </w:tr>
      <w:tr>
        <w:trPr>
          <w:trHeight w:val="21"/>
        </w:trPr>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9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per Class A-1, A-2 and A-3 units from</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57"/>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97"/>
        </w:trPr>
        <w:tc>
          <w:tcPr>
            <w:tcW w:w="5380" w:type="dxa"/>
            <w:vAlign w:val="bottom"/>
            <w:gridSpan w:val="2"/>
          </w:tcPr>
          <w:p>
            <w:pPr>
              <w:spacing w:after="0"/>
              <w:rPr>
                <w:sz w:val="20"/>
                <w:szCs w:val="20"/>
                <w:color w:val="auto"/>
              </w:rPr>
            </w:pPr>
            <w:r>
              <w:rPr>
                <w:rFonts w:ascii="Arial" w:cs="Arial" w:eastAsia="Arial" w:hAnsi="Arial"/>
                <w:sz w:val="18"/>
                <w:szCs w:val="18"/>
                <w:color w:val="auto"/>
              </w:rPr>
              <w:t>Basic and diluted earnings (loss) per Class A-1, A-2 and A-3 units</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N/A</w:t>
            </w:r>
          </w:p>
        </w:tc>
      </w:tr>
      <w:tr>
        <w:trPr>
          <w:trHeight w:val="21"/>
        </w:trPr>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44"/>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weighted-average number of units outstanding</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899,160</w:t>
            </w:r>
          </w:p>
        </w:tc>
        <w:tc>
          <w:tcPr>
            <w:tcW w:w="10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r>
      <w:tr>
        <w:trPr>
          <w:trHeight w:val="689"/>
        </w:trPr>
        <w:tc>
          <w:tcPr>
            <w:tcW w:w="53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339"/>
        </w:trPr>
        <w:tc>
          <w:tcPr>
            <w:tcW w:w="1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10"/>
          </w:tcPr>
          <w:p>
            <w:pPr>
              <w:jc w:val="center"/>
              <w:ind w:right="470"/>
              <w:spacing w:after="0"/>
              <w:rPr>
                <w:sz w:val="20"/>
                <w:szCs w:val="20"/>
                <w:color w:val="auto"/>
              </w:rPr>
            </w:pPr>
            <w:r>
              <w:rPr>
                <w:rFonts w:ascii="Arial" w:cs="Arial" w:eastAsia="Arial" w:hAnsi="Arial"/>
                <w:sz w:val="14"/>
                <w:szCs w:val="14"/>
                <w:b w:val="1"/>
                <w:bCs w:val="1"/>
                <w:color w:val="auto"/>
                <w:w w:val="90"/>
              </w:rPr>
              <w:t>As of the December 31,</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2021</w:t>
            </w:r>
          </w:p>
        </w:tc>
      </w:tr>
      <w:tr>
        <w:trPr>
          <w:trHeight w:val="53"/>
        </w:trPr>
        <w:tc>
          <w:tcPr>
            <w:tcW w:w="1540" w:type="dxa"/>
            <w:vAlign w:val="bottom"/>
            <w:tcBorders>
              <w:bottom w:val="single" w:sz="8" w:color="CCEEFF"/>
            </w:tcBorders>
          </w:tcPr>
          <w:p>
            <w:pPr>
              <w:spacing w:after="0"/>
              <w:rPr>
                <w:sz w:val="4"/>
                <w:szCs w:val="4"/>
                <w:color w:val="auto"/>
              </w:rPr>
            </w:pPr>
          </w:p>
        </w:tc>
        <w:tc>
          <w:tcPr>
            <w:tcW w:w="38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w w:val="96"/>
              </w:rPr>
              <w:t>$ 4,968</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$19,919</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$ 67,777</w:t>
            </w:r>
          </w:p>
        </w:tc>
      </w:tr>
      <w:tr>
        <w:trPr>
          <w:trHeight w:val="364"/>
        </w:trPr>
        <w:tc>
          <w:tcPr>
            <w:tcW w:w="538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(9,970)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10,918</w:t>
            </w:r>
          </w:p>
        </w:tc>
        <w:tc>
          <w:tcPr>
            <w:tcW w:w="3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61,134</w:t>
            </w:r>
          </w:p>
        </w:tc>
      </w:tr>
      <w:tr>
        <w:trPr>
          <w:trHeight w:val="304"/>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33,754</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53,894</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365,144</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4"/>
          </w:tcPr>
          <w:p>
            <w:pPr>
              <w:jc w:val="right"/>
              <w:ind w:right="8"/>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20,955</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24,623</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233,204</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4"/>
          </w:tcPr>
          <w:p>
            <w:pPr>
              <w:jc w:val="right"/>
              <w:ind w:right="8"/>
              <w:spacing w:after="0"/>
              <w:rPr>
                <w:sz w:val="20"/>
                <w:szCs w:val="20"/>
                <w:color w:val="auto"/>
              </w:rPr>
            </w:pPr>
            <w:r>
              <w:rPr>
                <w:rFonts w:ascii="Arial" w:cs="Arial" w:eastAsia="Arial" w:hAnsi="Arial"/>
                <w:sz w:val="18"/>
                <w:szCs w:val="18"/>
                <w:color w:val="auto"/>
              </w:rPr>
              <w:t>12,799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29,271</w:t>
            </w:r>
          </w:p>
        </w:tc>
        <w:tc>
          <w:tcPr>
            <w:tcW w:w="38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131,940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-3771265</wp:posOffset>
            </wp:positionV>
            <wp:extent cx="1543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-3771265</wp:posOffset>
            </wp:positionV>
            <wp:extent cx="154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-1242060</wp:posOffset>
            </wp:positionV>
            <wp:extent cx="240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-1242060</wp:posOffset>
            </wp:positionV>
            <wp:extent cx="240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-1242060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188595</wp:posOffset>
            </wp:positionV>
            <wp:extent cx="822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1640" w:hanging="348"/>
        <w:spacing w:after="0"/>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33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Historical Cash Flow: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6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52"/>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6,295</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$ 38,620</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$ 23,092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(5,129)</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(30,435)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cash provided by (used in) financing activities</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(22,358)</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55,201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00" w:type="dxa"/>
            <w:vAlign w:val="bottom"/>
          </w:tcPr>
          <w:p>
            <w:pPr>
              <w:jc w:val="right"/>
              <w:ind w:right="1174"/>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-1045210</wp:posOffset>
            </wp:positionV>
            <wp:extent cx="2228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-1045210</wp:posOffset>
            </wp:positionV>
            <wp:extent cx="2228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-1045210</wp:posOffset>
            </wp:positionV>
            <wp:extent cx="1117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and elsewhere in this prospectus.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prospectus,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7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We have grown the Weedmaps marketplace to become the premier destination for cannabis consumers to discover and browse information regarding cannabis and cannabis products, with 15.7 million monthly active users (“MAUs”) as of December 31, 2021 on the demand-side and 4,337 average monthly paying business clients during the year ended December 31, 2021 on the supply-side of our marketplace. These paying clients include retailers, brands and other client types (such as doctors). Further, these clients, who can choose to purchase multiple listings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solutions for each business, had purchased approximately 9,500 listing pages as of December 31, 2021 (of the over 18,600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7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w:t>
      </w:r>
    </w:p>
    <w:p>
      <w:pPr>
        <w:spacing w:after="0" w:line="1" w:lineRule="exact"/>
        <w:rPr>
          <w:sz w:val="20"/>
          <w:szCs w:val="20"/>
          <w:color w:val="auto"/>
        </w:rPr>
      </w:pPr>
    </w:p>
    <w:p>
      <w:pPr>
        <w:jc w:val="both"/>
        <w:ind w:left="300" w:right="299" w:hanging="8"/>
        <w:spacing w:after="0" w:line="253" w:lineRule="auto"/>
        <w:tabs>
          <w:tab w:leader="none" w:pos="5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and 2019 using our modified definitions, as well as a comparison to what the results were using our prior definitions, please refer to our earnings release included as Exhibit 99.1 in our Current Report on Form 8-K, filed August 12, 2021.</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9"/>
                <w:szCs w:val="19"/>
                <w:color w:val="auto"/>
              </w:rPr>
            </w:pPr>
          </w:p>
        </w:tc>
        <w:tc>
          <w:tcPr>
            <w:tcW w:w="1120" w:type="dxa"/>
            <w:vAlign w:val="bottom"/>
          </w:tcPr>
          <w:p>
            <w:pPr>
              <w:jc w:val="center"/>
              <w:ind w:right="63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(dollars in thousands, except for revenue per paying client)</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86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$193,146</w:t>
            </w:r>
          </w:p>
        </w:tc>
        <w:tc>
          <w:tcPr>
            <w:tcW w:w="18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Arial" w:cs="Arial" w:eastAsia="Arial" w:hAnsi="Arial"/>
                <w:sz w:val="18"/>
                <w:szCs w:val="18"/>
                <w:color w:val="auto"/>
              </w:rPr>
              <w:t>$161,791</w:t>
            </w:r>
          </w:p>
        </w:tc>
        <w:tc>
          <w:tcPr>
            <w:tcW w:w="10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$144,232</w:t>
            </w:r>
          </w:p>
        </w:tc>
      </w:tr>
      <w:tr>
        <w:trPr>
          <w:trHeight w:val="270"/>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14"/>
              <w:spacing w:after="0"/>
              <w:rPr>
                <w:sz w:val="20"/>
                <w:szCs w:val="20"/>
                <w:color w:val="auto"/>
              </w:rPr>
            </w:pPr>
            <w:r>
              <w:rPr>
                <w:rFonts w:ascii="Arial" w:cs="Arial" w:eastAsia="Arial" w:hAnsi="Arial"/>
                <w:sz w:val="18"/>
                <w:szCs w:val="18"/>
                <w:color w:val="auto"/>
              </w:rPr>
              <w:t>$152,218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38,830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(375)</w:t>
            </w:r>
          </w:p>
        </w:tc>
      </w:tr>
      <w:tr>
        <w:trPr>
          <w:trHeight w:val="54"/>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6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$156,042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6,232</w:t>
            </w:r>
          </w:p>
        </w:tc>
      </w:tr>
      <w:tr>
        <w:trPr>
          <w:trHeight w:val="364"/>
        </w:trPr>
        <w:tc>
          <w:tcPr>
            <w:tcW w:w="4520" w:type="dxa"/>
            <w:vAlign w:val="bottom"/>
            <w:gridSpan w:val="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31,698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w w:val="94"/>
              </w:rPr>
              <w:t>13,828</w:t>
            </w:r>
          </w:p>
        </w:tc>
      </w:tr>
      <w:tr>
        <w:trPr>
          <w:trHeight w:val="365"/>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9"/>
                <w:szCs w:val="29"/>
                <w:color w:val="auto"/>
                <w:vertAlign w:val="superscript"/>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2,558</w:t>
            </w:r>
          </w:p>
        </w:tc>
      </w:tr>
      <w:tr>
        <w:trPr>
          <w:trHeight w:val="364"/>
        </w:trPr>
        <w:tc>
          <w:tcPr>
            <w:tcW w:w="4520" w:type="dxa"/>
            <w:vAlign w:val="bottom"/>
            <w:gridSpan w:val="2"/>
          </w:tcPr>
          <w:p>
            <w:pPr>
              <w:spacing w:after="0"/>
              <w:rPr>
                <w:sz w:val="20"/>
                <w:szCs w:val="20"/>
                <w:color w:val="auto"/>
              </w:rPr>
            </w:pPr>
            <w:r>
              <w:rPr>
                <w:rFonts w:ascii="Arial" w:cs="Arial" w:eastAsia="Arial" w:hAnsi="Arial"/>
                <w:sz w:val="18"/>
                <w:szCs w:val="18"/>
                <w:color w:val="auto"/>
              </w:rPr>
              <w:t>Average monthly paying clients</w:t>
            </w:r>
            <w:r>
              <w:rPr>
                <w:rFonts w:ascii="Arial" w:cs="Arial" w:eastAsia="Arial" w:hAnsi="Arial"/>
                <w:sz w:val="29"/>
                <w:szCs w:val="29"/>
                <w:color w:val="auto"/>
                <w:vertAlign w:val="superscript"/>
              </w:rPr>
              <w:t>(3)</w:t>
            </w:r>
          </w:p>
        </w:tc>
        <w:tc>
          <w:tcPr>
            <w:tcW w:w="3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4,337</w:t>
            </w:r>
          </w:p>
        </w:tc>
        <w:tc>
          <w:tcPr>
            <w:tcW w:w="7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4,699</w:t>
            </w:r>
          </w:p>
        </w:tc>
      </w:tr>
      <w:tr>
        <w:trPr>
          <w:trHeight w:val="36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MAUs (in thousands)</w:t>
            </w:r>
            <w:r>
              <w:rPr>
                <w:rFonts w:ascii="Arial" w:cs="Arial" w:eastAsia="Arial" w:hAnsi="Arial"/>
                <w:sz w:val="29"/>
                <w:szCs w:val="29"/>
                <w:color w:val="auto"/>
                <w:vertAlign w:val="superscript"/>
              </w:rPr>
              <w:t>(4)</w:t>
            </w: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15,734</w:t>
            </w: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10,000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8,009</w:t>
            </w:r>
          </w:p>
        </w:tc>
      </w:tr>
      <w:tr>
        <w:trPr>
          <w:trHeight w:val="149"/>
        </w:trPr>
        <w:tc>
          <w:tcPr>
            <w:tcW w:w="128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-1868170</wp:posOffset>
            </wp:positionV>
            <wp:extent cx="128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-1868170</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 w:lineRule="exact"/>
        <w:rPr>
          <w:sz w:val="20"/>
          <w:szCs w:val="20"/>
          <w:color w:val="auto"/>
        </w:rPr>
      </w:pPr>
    </w:p>
    <w:p>
      <w:pPr>
        <w:ind w:left="640" w:right="29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its use and a reconciliation of EBITDA and Adjusted EBITDA to net income, see “—EBITDA and Adjusted EBITDA” below.</w:t>
      </w:r>
    </w:p>
    <w:p>
      <w:pPr>
        <w:spacing w:after="0" w:line="11" w:lineRule="exact"/>
        <w:rPr>
          <w:rFonts w:ascii="Arial" w:cs="Arial" w:eastAsia="Arial" w:hAnsi="Arial"/>
          <w:sz w:val="14"/>
          <w:szCs w:val="14"/>
          <w:color w:val="auto"/>
        </w:rPr>
      </w:pPr>
    </w:p>
    <w:p>
      <w:pPr>
        <w:jc w:val="both"/>
        <w:ind w:left="640" w:right="319" w:hanging="348"/>
        <w:spacing w:after="0" w:line="23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spacing w:after="0" w:line="6" w:lineRule="exact"/>
        <w:rPr>
          <w:rFonts w:ascii="Arial" w:cs="Arial" w:eastAsia="Arial" w:hAnsi="Arial"/>
          <w:sz w:val="13"/>
          <w:szCs w:val="13"/>
          <w:color w:val="auto"/>
        </w:rPr>
      </w:pPr>
    </w:p>
    <w:p>
      <w:pPr>
        <w:jc w:val="both"/>
        <w:ind w:left="640" w:right="319" w:hanging="348"/>
        <w:spacing w:after="0" w:line="264"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76" w:lineRule="exact"/>
        <w:rPr>
          <w:sz w:val="20"/>
          <w:szCs w:val="20"/>
          <w:color w:val="auto"/>
        </w:rPr>
      </w:pPr>
    </w:p>
    <w:p>
      <w:pPr>
        <w:jc w:val="both"/>
        <w:ind w:left="1000" w:right="319" w:hanging="348"/>
        <w:spacing w:after="0" w:line="31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net income (loss) to non-GAAP EBITDA and Adjusted EBITDA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152,218</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$38,830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(Benefit from) provision for income taxes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1,321</w:t>
            </w:r>
          </w:p>
        </w:tc>
        <w:tc>
          <w:tcPr>
            <w:tcW w:w="80" w:type="dxa"/>
            <w:vAlign w:val="bottom"/>
          </w:tcPr>
          <w:p>
            <w:pPr>
              <w:spacing w:after="0"/>
              <w:rPr>
                <w:sz w:val="23"/>
                <w:szCs w:val="23"/>
                <w:color w:val="auto"/>
              </w:rPr>
            </w:pP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5,162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3"/>
                <w:szCs w:val="23"/>
                <w:color w:val="auto"/>
              </w:rPr>
            </w:pPr>
          </w:p>
        </w:tc>
      </w:tr>
      <w:tr>
        <w:trPr>
          <w:trHeight w:val="48"/>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156,042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42,808</w:t>
            </w: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6,232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29,324</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(166,518)</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Warrant transaction costs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right-of-use asset</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Transaction related bonus expense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Legal settlement</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fees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3,394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Reduction in force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4,202</w:t>
            </w:r>
          </w:p>
        </w:tc>
        <w:tc>
          <w:tcPr>
            <w:tcW w:w="80" w:type="dxa"/>
            <w:vAlign w:val="bottom"/>
          </w:tcPr>
          <w:p>
            <w:pPr>
              <w:spacing w:after="0"/>
              <w:rPr>
                <w:sz w:val="23"/>
                <w:szCs w:val="23"/>
                <w:color w:val="auto"/>
              </w:rPr>
            </w:pPr>
          </w:p>
        </w:tc>
      </w:tr>
      <w:tr>
        <w:trPr>
          <w:trHeight w:val="48"/>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31,698</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42,808</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13,828</w:t>
            </w:r>
          </w:p>
        </w:tc>
      </w:tr>
      <w:tr>
        <w:trPr>
          <w:trHeight w:val="27"/>
        </w:trPr>
        <w:tc>
          <w:tcPr>
            <w:tcW w:w="44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-3316605</wp:posOffset>
            </wp:positionV>
            <wp:extent cx="222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-3316605</wp:posOffset>
            </wp:positionV>
            <wp:extent cx="2228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49530</wp:posOffset>
            </wp:positionV>
            <wp:extent cx="13290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6" w:lineRule="exact"/>
        <w:rPr>
          <w:sz w:val="20"/>
          <w:szCs w:val="20"/>
          <w:color w:val="auto"/>
        </w:rPr>
      </w:pPr>
    </w:p>
    <w:p>
      <w:pPr>
        <w:ind w:left="6720"/>
        <w:spacing w:after="0"/>
        <w:tabs>
          <w:tab w:leader="none" w:pos="750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49530</wp:posOffset>
            </wp:positionV>
            <wp:extent cx="1885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49530</wp:posOffset>
            </wp:positionV>
            <wp:extent cx="1885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49530</wp:posOffset>
            </wp:positionV>
            <wp:extent cx="93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7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7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16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$3,711</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w:t>
            </w:r>
          </w:p>
        </w:tc>
      </w:tr>
      <w:tr>
        <w:trPr>
          <w:trHeight w:val="54"/>
        </w:trPr>
        <w:tc>
          <w:tcPr>
            <w:tcW w:w="472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86"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71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171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49530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6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7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$3,781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$3,609</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$2,888</w:t>
            </w:r>
          </w:p>
        </w:tc>
      </w:tr>
      <w:tr>
        <w:trPr>
          <w:trHeight w:val="54"/>
        </w:trPr>
        <w:tc>
          <w:tcPr>
            <w:tcW w:w="6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 Average monthly paying clients for the year ended December 31, 2021 increased approximately 5% to 4,337 average monthly paying clients from 4,140 average monthly paying clients in the same period in 2020. The increase in average monthly paying clients in 2021 was primarily due to an increase in WM Business subscription clients and an increase in premium listing clients, offset by the impact related to the removal of clients who failed to provide valid licensing information in Canada in 2020 as described above.</w:t>
      </w: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88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49530</wp:posOffset>
            </wp:positionV>
            <wp:extent cx="188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49530</wp:posOffset>
            </wp:positionV>
            <wp:extent cx="93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paying clients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4,337</w:t>
            </w:r>
          </w:p>
        </w:tc>
        <w:tc>
          <w:tcPr>
            <w:tcW w:w="3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4,140</w:t>
            </w:r>
          </w:p>
        </w:tc>
        <w:tc>
          <w:tcPr>
            <w:tcW w:w="2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4,699</w:t>
            </w:r>
          </w:p>
        </w:tc>
      </w:tr>
      <w:tr>
        <w:trPr>
          <w:trHeight w:val="54"/>
        </w:trPr>
        <w:tc>
          <w:tcPr>
            <w:tcW w:w="63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86"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885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49530</wp:posOffset>
            </wp:positionV>
            <wp:extent cx="1885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49530</wp:posOffset>
            </wp:positionV>
            <wp:extent cx="93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Paying clients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4,870</w:t>
            </w:r>
          </w:p>
        </w:tc>
        <w:tc>
          <w:tcPr>
            <w:tcW w:w="3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3,786</w:t>
            </w:r>
          </w:p>
        </w:tc>
        <w:tc>
          <w:tcPr>
            <w:tcW w:w="2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4,644</w:t>
            </w:r>
          </w:p>
        </w:tc>
      </w:tr>
      <w:tr>
        <w:trPr>
          <w:trHeight w:val="54"/>
        </w:trPr>
        <w:tc>
          <w:tcPr>
            <w:tcW w:w="63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319" w:hanging="348"/>
        <w:spacing w:after="0" w:line="255" w:lineRule="auto"/>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Monthly Active Users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As our business has grown, our MAUs increased each year from 2018 through 2021.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growth. We cannot determine what, if any, impact the pandemic had on our MAU growth in 2020. As of December 31, 2021, we grew our MAUs by 57% year-over-year through increased organic traffic and more effective marketing campaigns.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the beginning of the pandemic, we have continued to grow our MAUs, reaching 15.7 million at December 31, 2021. While we believe, like other industries, the pandemic accelerated existing trends towards consumer adoption of online platforms, we cannot be certain to what impact, if any, the end of the pandemic will have on our MAUs or MAU growth.</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as we increase MAUs, we increase the value of our bundled SaaS solutions to business customers.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7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49530</wp:posOffset>
            </wp:positionV>
            <wp:extent cx="8915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16" w:lineRule="exact"/>
        <w:rPr>
          <w:sz w:val="20"/>
          <w:szCs w:val="20"/>
          <w:color w:val="auto"/>
        </w:rPr>
      </w:pPr>
    </w:p>
    <w:p>
      <w:pPr>
        <w:ind w:left="7440"/>
        <w:spacing w:after="0"/>
        <w:tabs>
          <w:tab w:leader="none" w:pos="82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1885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93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0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7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15,73410,000</w:t>
            </w:r>
          </w:p>
        </w:tc>
      </w:tr>
      <w:tr>
        <w:trPr>
          <w:trHeight w:val="54"/>
        </w:trPr>
        <w:tc>
          <w:tcPr>
            <w:tcW w:w="70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8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49530</wp:posOffset>
            </wp:positionV>
            <wp:extent cx="8915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16" w:lineRule="exact"/>
        <w:rPr>
          <w:sz w:val="20"/>
          <w:szCs w:val="20"/>
          <w:color w:val="auto"/>
        </w:rPr>
      </w:pPr>
    </w:p>
    <w:p>
      <w:pPr>
        <w:ind w:left="7440"/>
        <w:spacing w:after="0"/>
        <w:tabs>
          <w:tab w:leader="none" w:pos="82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1885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0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7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14,90410,000</w:t>
            </w:r>
          </w:p>
        </w:tc>
      </w:tr>
      <w:tr>
        <w:trPr>
          <w:trHeight w:val="54"/>
        </w:trPr>
        <w:tc>
          <w:tcPr>
            <w:tcW w:w="70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319" w:hanging="348"/>
        <w:spacing w:after="0" w:line="238"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Quarterly Key Operating Metrics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7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39370</wp:posOffset>
            </wp:positionV>
            <wp:extent cx="9347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6"/>
                <w:szCs w:val="16"/>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r>
      <w:tr>
        <w:trPr>
          <w:trHeight w:val="53"/>
        </w:trPr>
        <w:tc>
          <w:tcPr>
            <w:tcW w:w="69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$3,789</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$3,825</w:t>
            </w: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Average monthly paying clients</w:t>
            </w:r>
          </w:p>
        </w:tc>
        <w:tc>
          <w:tcPr>
            <w:tcW w:w="620" w:type="dxa"/>
            <w:vAlign w:val="bottom"/>
          </w:tcPr>
          <w:p>
            <w:pPr>
              <w:jc w:val="right"/>
              <w:spacing w:after="0"/>
              <w:rPr>
                <w:sz w:val="20"/>
                <w:szCs w:val="20"/>
                <w:color w:val="auto"/>
              </w:rPr>
            </w:pPr>
            <w:r>
              <w:rPr>
                <w:rFonts w:ascii="Arial" w:cs="Arial" w:eastAsia="Arial" w:hAnsi="Arial"/>
                <w:sz w:val="18"/>
                <w:szCs w:val="18"/>
                <w:color w:val="auto"/>
              </w:rPr>
              <w:t>4,766</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486"/>
        </w:trPr>
        <w:tc>
          <w:tcPr>
            <w:tcW w:w="6940" w:type="dxa"/>
            <w:vAlign w:val="bottom"/>
          </w:tcPr>
          <w:p>
            <w:pPr>
              <w:ind w:left="360"/>
              <w:spacing w:after="0"/>
              <w:rPr>
                <w:sz w:val="20"/>
                <w:szCs w:val="20"/>
                <w:color w:val="auto"/>
              </w:rPr>
            </w:pPr>
            <w:r>
              <w:rPr>
                <w:rFonts w:ascii="Arial" w:cs="Arial" w:eastAsia="Arial" w:hAnsi="Arial"/>
                <w:sz w:val="18"/>
                <w:szCs w:val="18"/>
                <w:i w:val="1"/>
                <w:iCs w:val="1"/>
                <w:color w:val="auto"/>
              </w:rPr>
              <w:t>Prior definition:</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1"/>
        </w:trPr>
        <w:tc>
          <w:tcPr>
            <w:tcW w:w="6940" w:type="dxa"/>
            <w:vAlign w:val="bottom"/>
          </w:tcPr>
          <w:p>
            <w:pPr>
              <w:spacing w:after="0"/>
              <w:rPr>
                <w:sz w:val="24"/>
                <w:szCs w:val="24"/>
                <w:color w:val="auto"/>
              </w:rPr>
            </w:pPr>
          </w:p>
        </w:tc>
        <w:tc>
          <w:tcPr>
            <w:tcW w:w="14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8"/>
              </w:rPr>
              <w:t>Three Months Ended</w:t>
            </w:r>
          </w:p>
        </w:tc>
      </w:tr>
      <w:tr>
        <w:trPr>
          <w:trHeight w:val="186"/>
        </w:trPr>
        <w:tc>
          <w:tcPr>
            <w:tcW w:w="6940" w:type="dxa"/>
            <w:vAlign w:val="bottom"/>
          </w:tcPr>
          <w:p>
            <w:pPr>
              <w:spacing w:after="0"/>
              <w:rPr>
                <w:sz w:val="16"/>
                <w:szCs w:val="16"/>
                <w:color w:val="auto"/>
              </w:rPr>
            </w:pPr>
          </w:p>
        </w:tc>
        <w:tc>
          <w:tcPr>
            <w:tcW w:w="148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694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5"/>
        </w:trPr>
        <w:tc>
          <w:tcPr>
            <w:tcW w:w="69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r>
      <w:tr>
        <w:trPr>
          <w:trHeight w:val="53"/>
        </w:trPr>
        <w:tc>
          <w:tcPr>
            <w:tcW w:w="69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$3,781</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$3,609</w:t>
            </w: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Paying clients</w:t>
            </w:r>
          </w:p>
        </w:tc>
        <w:tc>
          <w:tcPr>
            <w:tcW w:w="620" w:type="dxa"/>
            <w:vAlign w:val="bottom"/>
          </w:tcPr>
          <w:p>
            <w:pPr>
              <w:jc w:val="right"/>
              <w:spacing w:after="0"/>
              <w:rPr>
                <w:sz w:val="20"/>
                <w:szCs w:val="20"/>
                <w:color w:val="auto"/>
              </w:rPr>
            </w:pPr>
            <w:r>
              <w:rPr>
                <w:rFonts w:ascii="Arial" w:cs="Arial" w:eastAsia="Arial" w:hAnsi="Arial"/>
                <w:sz w:val="18"/>
                <w:szCs w:val="18"/>
                <w:color w:val="auto"/>
              </w:rPr>
              <w:t>4,870</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-1628140</wp:posOffset>
            </wp:positionV>
            <wp:extent cx="154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-1628140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-393700</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-393700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Our Two-Sided Weedmaps Marketplace</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benefits of participating in our two-sided marketplace and leveraging our software solutions. Our monthly net dollar retention, which is defined as total revenue from clients in a given month who were paying clients in the immediately preceding month, averaged at 101% in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intend to continue to make focused organic and inorganic investments to grow our revenue and scale operations to support that growth.</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third quarter of 2021, we completed two acquisitions.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As operating expenses and capital expenditures fluctuate over time, we may accordingly experience short-term, negative impacts to our operating results and cash flows.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generate revenue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 Other income consists of change in fair value of warrant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21"/>
          </w:tcPr>
          <w:p>
            <w:pPr>
              <w:jc w:val="center"/>
              <w:ind w:right="440"/>
              <w:spacing w:after="0"/>
              <w:rPr>
                <w:sz w:val="20"/>
                <w:szCs w:val="20"/>
                <w:color w:val="auto"/>
              </w:rPr>
            </w:pPr>
            <w:r>
              <w:rPr>
                <w:rFonts w:ascii="Arial" w:cs="Arial" w:eastAsia="Arial" w:hAnsi="Arial"/>
                <w:sz w:val="14"/>
                <w:szCs w:val="14"/>
                <w:b w:val="1"/>
                <w:bCs w:val="1"/>
                <w:color w:val="auto"/>
                <w:w w:val="91"/>
              </w:rPr>
              <w:t>Years Ended December 31,</w:t>
            </w: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4"/>
        </w:trPr>
        <w:tc>
          <w:tcPr>
            <w:tcW w:w="4920" w:type="dxa"/>
            <w:vAlign w:val="bottom"/>
          </w:tcPr>
          <w:p>
            <w:pPr>
              <w:spacing w:after="0"/>
              <w:rPr>
                <w:sz w:val="19"/>
                <w:szCs w:val="19"/>
                <w:color w:val="auto"/>
              </w:rPr>
            </w:pPr>
          </w:p>
        </w:tc>
        <w:tc>
          <w:tcPr>
            <w:tcW w:w="144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6"/>
          </w:tcPr>
          <w:p>
            <w:pPr>
              <w:jc w:val="center"/>
              <w:ind w:left="1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4"/>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w w:val="98"/>
              </w:rPr>
              <w:t>$144,232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324"/>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7,938</w:t>
            </w:r>
          </w:p>
        </w:tc>
        <w:tc>
          <w:tcPr>
            <w:tcW w:w="120" w:type="dxa"/>
            <w:vAlign w:val="bottom"/>
          </w:tcPr>
          <w:p>
            <w:pPr>
              <w:spacing w:after="0"/>
              <w:rPr>
                <w:sz w:val="23"/>
                <w:szCs w:val="23"/>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7,630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7,074</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4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56,119</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39,746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35,395</w:t>
            </w:r>
          </w:p>
        </w:tc>
        <w:tc>
          <w:tcPr>
            <w:tcW w:w="120" w:type="dxa"/>
            <w:vAlign w:val="bottom"/>
          </w:tcPr>
          <w:p>
            <w:pPr>
              <w:spacing w:after="0"/>
              <w:rPr>
                <w:sz w:val="23"/>
                <w:szCs w:val="23"/>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27,142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29,497</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97,447</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56,466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4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4,425</w:t>
            </w:r>
          </w:p>
        </w:tc>
        <w:tc>
          <w:tcPr>
            <w:tcW w:w="120" w:type="dxa"/>
            <w:vAlign w:val="bottom"/>
          </w:tcPr>
          <w:p>
            <w:pPr>
              <w:spacing w:after="0"/>
              <w:rPr>
                <w:sz w:val="22"/>
                <w:szCs w:val="22"/>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3,978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5,162</w:t>
            </w:r>
          </w:p>
        </w:tc>
        <w:tc>
          <w:tcPr>
            <w:tcW w:w="60" w:type="dxa"/>
            <w:vAlign w:val="bottom"/>
          </w:tcPr>
          <w:p>
            <w:pPr>
              <w:spacing w:after="0"/>
              <w:rPr>
                <w:sz w:val="22"/>
                <w:szCs w:val="22"/>
                <w:color w:val="auto"/>
              </w:rPr>
            </w:pPr>
          </w:p>
        </w:tc>
      </w:tr>
      <w:tr>
        <w:trPr>
          <w:trHeight w:val="61"/>
        </w:trPr>
        <w:tc>
          <w:tcPr>
            <w:tcW w:w="4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4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201,324</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137,945</w:t>
            </w:r>
          </w:p>
        </w:tc>
        <w:tc>
          <w:tcPr>
            <w:tcW w:w="60" w:type="dxa"/>
            <w:vAlign w:val="bottom"/>
            <w:shd w:val="clear" w:color="auto" w:fill="CCEEFF"/>
          </w:tcPr>
          <w:p>
            <w:pPr>
              <w:spacing w:after="0"/>
              <w:rPr>
                <w:sz w:val="23"/>
                <w:szCs w:val="23"/>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540"/>
              <w:spacing w:after="0"/>
              <w:rPr>
                <w:sz w:val="20"/>
                <w:szCs w:val="20"/>
                <w:color w:val="auto"/>
              </w:rPr>
            </w:pPr>
            <w:r>
              <w:rPr>
                <w:rFonts w:ascii="Arial" w:cs="Arial" w:eastAsia="Arial" w:hAnsi="Arial"/>
                <w:sz w:val="18"/>
                <w:szCs w:val="18"/>
                <w:color w:val="auto"/>
              </w:rPr>
              <w:t>Operating (loss) income</w:t>
            </w:r>
          </w:p>
        </w:tc>
        <w:tc>
          <w:tcPr>
            <w:tcW w:w="1600" w:type="dxa"/>
            <w:vAlign w:val="bottom"/>
            <w:gridSpan w:val="8"/>
          </w:tcPr>
          <w:p>
            <w:pPr>
              <w:jc w:val="right"/>
              <w:ind w:right="100"/>
              <w:spacing w:after="0"/>
              <w:rPr>
                <w:sz w:val="20"/>
                <w:szCs w:val="20"/>
                <w:color w:val="auto"/>
              </w:rPr>
            </w:pPr>
            <w:r>
              <w:rPr>
                <w:rFonts w:ascii="Arial" w:cs="Arial" w:eastAsia="Arial" w:hAnsi="Arial"/>
                <w:sz w:val="18"/>
                <w:szCs w:val="18"/>
                <w:color w:val="auto"/>
              </w:rPr>
              <w:t>(8,178)</w:t>
            </w: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41,198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6,287</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166,518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gridSpan w:val="4"/>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60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(6,723)</w:t>
            </w:r>
          </w:p>
        </w:tc>
        <w:tc>
          <w:tcPr>
            <w:tcW w:w="1060" w:type="dxa"/>
            <w:vAlign w:val="bottom"/>
            <w:gridSpan w:val="9"/>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8"/>
              </w:rPr>
              <w:t>(5,341)</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540"/>
              <w:spacing w:after="0"/>
              <w:rPr>
                <w:sz w:val="20"/>
                <w:szCs w:val="20"/>
                <w:color w:val="auto"/>
              </w:rPr>
            </w:pPr>
            <w:r>
              <w:rPr>
                <w:rFonts w:ascii="Arial" w:cs="Arial" w:eastAsia="Arial" w:hAnsi="Arial"/>
                <w:sz w:val="18"/>
                <w:szCs w:val="18"/>
                <w:color w:val="auto"/>
              </w:rPr>
              <w:t>Income before income taxes</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151,617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60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1,321</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152,218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6"/>
          </w:tcPr>
          <w:p>
            <w:pPr>
              <w:jc w:val="right"/>
              <w:ind w:right="20"/>
              <w:spacing w:after="0"/>
              <w:rPr>
                <w:sz w:val="20"/>
                <w:szCs w:val="20"/>
                <w:color w:val="auto"/>
              </w:rPr>
            </w:pPr>
            <w:r>
              <w:rPr>
                <w:rFonts w:ascii="Arial" w:cs="Arial" w:eastAsia="Arial" w:hAnsi="Arial"/>
                <w:sz w:val="18"/>
                <w:szCs w:val="18"/>
                <w:color w:val="auto"/>
              </w:rPr>
              <w:t>(375)</w:t>
            </w: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91,835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780" w:type="dxa"/>
            <w:vAlign w:val="bottom"/>
          </w:tcPr>
          <w:p>
            <w:pPr>
              <w:spacing w:after="0"/>
              <w:rPr>
                <w:sz w:val="23"/>
                <w:szCs w:val="23"/>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$ 60,383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w w:val="94"/>
              </w:rPr>
              <w:t>$ 38,830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6"/>
          </w:tcPr>
          <w:p>
            <w:pPr>
              <w:jc w:val="right"/>
              <w:ind w:right="20"/>
              <w:spacing w:after="0"/>
              <w:rPr>
                <w:sz w:val="20"/>
                <w:szCs w:val="20"/>
                <w:color w:val="auto"/>
              </w:rPr>
            </w:pPr>
            <w:r>
              <w:rPr>
                <w:rFonts w:ascii="Arial" w:cs="Arial" w:eastAsia="Arial" w:hAnsi="Arial"/>
                <w:sz w:val="18"/>
                <w:szCs w:val="18"/>
                <w:color w:val="auto"/>
              </w:rPr>
              <w:t>(375)</w:t>
            </w:r>
          </w:p>
        </w:tc>
      </w:tr>
      <w:tr>
        <w:trPr>
          <w:trHeight w:val="20"/>
        </w:trPr>
        <w:tc>
          <w:tcPr>
            <w:tcW w:w="4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6"/>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21"/>
          </w:tcPr>
          <w:p>
            <w:pPr>
              <w:jc w:val="right"/>
              <w:ind w:right="500"/>
              <w:spacing w:after="0"/>
              <w:rPr>
                <w:sz w:val="20"/>
                <w:szCs w:val="20"/>
                <w:color w:val="auto"/>
              </w:rPr>
            </w:pPr>
            <w:r>
              <w:rPr>
                <w:rFonts w:ascii="Arial" w:cs="Arial" w:eastAsia="Arial" w:hAnsi="Arial"/>
                <w:sz w:val="14"/>
                <w:szCs w:val="14"/>
                <w:b w:val="1"/>
                <w:bCs w:val="1"/>
                <w:color w:val="auto"/>
                <w:w w:val="97"/>
              </w:rPr>
              <w:t>Years Ended December 31,</w:t>
            </w:r>
          </w:p>
        </w:tc>
      </w:tr>
      <w:tr>
        <w:trPr>
          <w:trHeight w:val="53"/>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4920" w:type="dxa"/>
            <w:vAlign w:val="bottom"/>
          </w:tcPr>
          <w:p>
            <w:pPr>
              <w:spacing w:after="0"/>
              <w:rPr>
                <w:sz w:val="19"/>
                <w:szCs w:val="19"/>
                <w:color w:val="auto"/>
              </w:rPr>
            </w:pPr>
          </w:p>
        </w:tc>
        <w:tc>
          <w:tcPr>
            <w:tcW w:w="144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324"/>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4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r>
      <w:tr>
        <w:trPr>
          <w:trHeight w:val="61"/>
        </w:trPr>
        <w:tc>
          <w:tcPr>
            <w:tcW w:w="4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23"/>
                <w:szCs w:val="23"/>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540"/>
              <w:spacing w:after="0"/>
              <w:rPr>
                <w:sz w:val="20"/>
                <w:szCs w:val="20"/>
                <w:color w:val="auto"/>
              </w:rPr>
            </w:pPr>
            <w:r>
              <w:rPr>
                <w:rFonts w:ascii="Arial" w:cs="Arial" w:eastAsia="Arial" w:hAnsi="Arial"/>
                <w:sz w:val="18"/>
                <w:szCs w:val="18"/>
                <w:color w:val="auto"/>
              </w:rPr>
              <w:t>Operating (loss) income</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540"/>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r>
      <w:tr>
        <w:trPr>
          <w:trHeight w:val="21"/>
        </w:trPr>
        <w:tc>
          <w:tcPr>
            <w:tcW w:w="4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-8220075</wp:posOffset>
            </wp:positionV>
            <wp:extent cx="154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-8220075</wp:posOffset>
            </wp:positionV>
            <wp:extent cx="154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-3796665</wp:posOffset>
            </wp:positionV>
            <wp:extent cx="274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-3796665</wp:posOffset>
            </wp:positionV>
            <wp:extent cx="274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-3796665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019"/>
          </w:cols>
          <w:pgMar w:left="1440" w:top="265" w:right="1440" w:bottom="682"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82" w:gutter="0" w:footer="0" w:header="0"/>
          <w:type w:val="continuous"/>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Years Ended December 31, 2021, 2020 and 2019</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400" w:type="dxa"/>
            <w:vAlign w:val="bottom"/>
            <w:gridSpan w:val="3"/>
          </w:tcPr>
          <w:p>
            <w:pPr>
              <w:ind w:left="3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640" w:type="dxa"/>
            <w:vAlign w:val="bottom"/>
          </w:tcPr>
          <w:p>
            <w:pPr>
              <w:jc w:val="center"/>
              <w:ind w:right="4"/>
              <w:spacing w:after="0"/>
              <w:rPr>
                <w:sz w:val="20"/>
                <w:szCs w:val="20"/>
                <w:color w:val="auto"/>
              </w:rPr>
            </w:pPr>
            <w:r>
              <w:rPr>
                <w:rFonts w:ascii="Arial" w:cs="Arial" w:eastAsia="Arial" w:hAnsi="Arial"/>
                <w:sz w:val="14"/>
                <w:szCs w:val="14"/>
                <w:b w:val="1"/>
                <w:bCs w:val="1"/>
                <w:color w:val="auto"/>
                <w:w w:val="88"/>
              </w:rPr>
              <w:t>2021 vs.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2020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2021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4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$193,146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$144,232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$31,355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$17,559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-402590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-402590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-402590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-402590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-402590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-402590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Total revenues increased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$31.4 million, or 19% for the year ended December 31, 2021 compared to the same period in 2020. The increase was driven by a 14% increase in average monthly revenue per paying client and a 5%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year ended December 31, 2021, Featured Listing product, WM Business subscription offering and other ad solutions represented 55%, 22% and 23% of our total revenues, respectively.</w:t>
      </w:r>
    </w:p>
    <w:p>
      <w:pPr>
        <w:spacing w:after="0" w:line="5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$193.1 million for the year ended December 31, 2021 compared $130.4 million in the same period in 2020. The increase of approximately $62.8 million, or 48% in total revenue excluding Canada was primarily driven by a 19% increase in the average monthly revenue per paying client and a 25% increase in average monthly paying clients.</w:t>
      </w:r>
    </w:p>
    <w:p>
      <w:pPr>
        <w:spacing w:after="0" w:line="65"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Total revenue increased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$17.6 million, or 12% for the year ended December 31, 2020 compared to the same period in 2019. The increase was driven by a 27% increase in average monthly revenue per paying client, which was partially offset by a 12% decrease in average monthly paying clients as a result of factors described above.</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54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380" w:type="dxa"/>
            <w:vAlign w:val="bottom"/>
            <w:gridSpan w:val="3"/>
          </w:tcPr>
          <w:p>
            <w:pPr>
              <w:ind w:left="28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2020 vs</w:t>
            </w:r>
          </w:p>
        </w:tc>
        <w:tc>
          <w:tcPr>
            <w:tcW w:w="6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2021 vs.</w:t>
            </w:r>
          </w:p>
        </w:tc>
        <w:tc>
          <w:tcPr>
            <w:tcW w:w="62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Arial" w:cs="Arial" w:eastAsia="Arial" w:hAnsi="Arial"/>
                <w:sz w:val="14"/>
                <w:szCs w:val="14"/>
                <w:b w:val="1"/>
                <w:bCs w:val="1"/>
                <w:color w:val="auto"/>
                <w:w w:val="90"/>
              </w:rPr>
              <w:t>(dollars in thousands)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7"/>
              </w:rPr>
              <w:t>$7,938</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$7,630</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$7,074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8"/>
                <w:szCs w:val="18"/>
                <w:color w:val="auto"/>
                <w:w w:val="99"/>
              </w:rPr>
              <w:t>$308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$556</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Gross margin</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96%</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-574040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-574040</wp:posOffset>
            </wp:positionV>
            <wp:extent cx="128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-574040</wp:posOffset>
            </wp:positionV>
            <wp:extent cx="1200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Cost of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$7.9 million for the year ended December 31, 2021 compared to $7.6 million for the same period in 2020. There were no material changes to the drivers of our cost of revenue.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Cost of revenue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or 8%, for the year ended December 31, 2020, compared to the same period in 2019. Credit card processing fees increased by $0.6 million as revenue increased and more clients opted to use credit cards as a form of payment.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2021 vs.</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4"/>
              <w:spacing w:after="0"/>
              <w:rPr>
                <w:sz w:val="20"/>
                <w:szCs w:val="20"/>
                <w:color w:val="auto"/>
              </w:rPr>
            </w:pPr>
            <w:r>
              <w:rPr>
                <w:rFonts w:ascii="Arial" w:cs="Arial" w:eastAsia="Arial" w:hAnsi="Arial"/>
                <w:sz w:val="14"/>
                <w:szCs w:val="14"/>
                <w:b w:val="1"/>
                <w:bCs w:val="1"/>
                <w:color w:val="auto"/>
                <w:w w:val="88"/>
              </w:rPr>
              <w:t>2021 vs.</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86"/>
              </w:rPr>
              <w:t>$56,119</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$30,716</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w w:val="86"/>
              </w:rPr>
              <w:t>$25,403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$(9,030)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83%</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-574040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-574040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-574040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-574040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Sales and marketing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by $25.4 million, or 83% for the year ended December 31, 2021 compared to the same period in 2020. The increase was primarily related to an increase in personnel-related costs of $16.2 million. The $16.2 million includes increases in salaries and wages of $6.3 million, as a result of increased headcount, stock-based compensation expense of $6.0 million and sales incentive plan compensation of $3.2 million due to higher revenues. Also contributing to the increase in sales and marketing was an increase in online advertising of $2.6 million as more advertising options became available in the cannabis industry, an increase in branding and advertising expense of $2.1 million, and an increase in events expense of $2.0 million.</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75"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Sales and marketing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decreased by $9.0 million, or 23%, for the year ended December 31, 2020, compared to the same period in 2019. 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gridSpan w:val="3"/>
          </w:tcPr>
          <w:p>
            <w:pPr>
              <w:ind w:left="34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8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24"/>
              <w:spacing w:after="0"/>
              <w:rPr>
                <w:sz w:val="20"/>
                <w:szCs w:val="20"/>
                <w:color w:val="auto"/>
              </w:rPr>
            </w:pPr>
            <w:r>
              <w:rPr>
                <w:rFonts w:ascii="Arial" w:cs="Arial" w:eastAsia="Arial" w:hAnsi="Arial"/>
                <w:sz w:val="14"/>
                <w:szCs w:val="14"/>
                <w:b w:val="1"/>
                <w:bCs w:val="1"/>
                <w:color w:val="auto"/>
                <w:w w:val="84"/>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86"/>
              </w:rPr>
              <w:t>$35,395</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$27,142</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8"/>
              </w:rPr>
              <w:t>$29,497</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w w:val="87"/>
              </w:rPr>
              <w:t>$8,253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$(2,355)</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-574040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-574040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-574040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-574040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-574040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$8.3 million, or 30% for the year ended December 31, 2021 compared to the same period in 2020. This increase was primarily due to an increase in personnel-related costs of $14.9 million, including an increase in salaries and wages of $5.8 million due to increased headcount and an increase in stock-based compensation of $6.2 million. The personnel-related costs include capitalized software development costs of $7.4 million for the year ended December 31, 2021 related to certain costs we capitalized for the development or enhancement of our Weedmaps platform.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53"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Product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decreased by $2.4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to third-party development services of $0.4 million. The reduction in headcount and third-party development services was to drive operating efficiencies and increase our liquidity position at the time. Travel related expenses also decreased by $0.2 million due to the COVID-19 pandemic.</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5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2021 vs.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gridSpan w:val="3"/>
          </w:tcPr>
          <w:p>
            <w:pPr>
              <w:ind w:left="300"/>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6"/>
              </w:rPr>
              <w:t>$97,447</w:t>
            </w:r>
          </w:p>
        </w:tc>
        <w:tc>
          <w:tcPr>
            <w:tcW w:w="8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5"/>
              </w:rPr>
              <w:t>$51,127</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$56,466</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$46,320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$(5,339)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-574040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-574040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-574040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-574040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-574040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-574040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$46.3 million, or 91% for the year ended December 31, 2021 compared to the same period in 2020. This increase was primarily due to increases in insurance costs of $7.1 million as a result of additional insurance coverage as a public company, allowance for doubtful accounts of $4.2 million, professional fees of $3.8 million, software costs of $2.8 million, and an impairment loss of $2.4 million. General and administrative expenses also increased due to increases in employee related expenses of $23.3 million. This $23.3 million increase includes increases in stock-based compensation expense of $18.2 million recognized in 2021, bonus expense of $2.4 million and salaries and wages of $1.2 million.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55"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provision for doubtful accounts expense of $1.1 million during the year ended December 31, 2020 compared to the same period in 2019 due to higher reserves for past due balances outstanding greater than ninety days.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150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9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2020 vs.</w:t>
            </w:r>
          </w:p>
        </w:tc>
        <w:tc>
          <w:tcPr>
            <w:tcW w:w="62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2021 vs.</w:t>
            </w: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Depreciation and amortization expense</w:t>
            </w:r>
          </w:p>
        </w:tc>
        <w:tc>
          <w:tcPr>
            <w:tcW w:w="9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$4,425</w:t>
            </w:r>
          </w:p>
        </w:tc>
        <w:tc>
          <w:tcPr>
            <w:tcW w:w="8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$3,978</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$5,162</w:t>
            </w: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$447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8"/>
                <w:szCs w:val="18"/>
                <w:color w:val="auto"/>
              </w:rPr>
              <w:t>Percentage of revenue</w:t>
            </w: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-574040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-574040</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-574040</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-574040</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-574040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-574040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increased by $0.4 million, or 11%, for the year ended December 31, 2021, compared to the same period in 2020.</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decreased by $1.2 million, or 23%, for the year ended December 31, 2020, compared to the same period in 2019. The decrease is due to accelerated amortization of $2.5 million related to intangible assets of the Weedmaps Museum of Weed recorded in fiscal year 2019, which was partially offset by additional depreciation of $1.3 million recorded in fiscal year 2020 related capitalized software development cost for our point of sale system that launched in October 2019.</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780" w:type="dxa"/>
            <w:vAlign w:val="bottom"/>
            <w:gridSpan w:val="10"/>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6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2021 vs.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2020 vs.</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2021 vs.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 vs.</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1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w:t>
            </w:r>
          </w:p>
        </w:tc>
        <w:tc>
          <w:tcPr>
            <w:tcW w:w="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$166,518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$166,518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Arial" w:cs="Arial" w:eastAsia="Arial" w:hAnsi="Arial"/>
                <w:sz w:val="18"/>
                <w:szCs w:val="18"/>
                <w:color w:val="auto"/>
              </w:rPr>
              <w:t>Other expense, net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(6,723)</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(2,368)</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(5,341)</w:t>
            </w: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(4,355)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140" w:type="dxa"/>
            <w:vAlign w:val="bottom"/>
          </w:tcPr>
          <w:p>
            <w:pPr>
              <w:spacing w:after="0"/>
              <w:rPr>
                <w:sz w:val="22"/>
                <w:szCs w:val="22"/>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184%</w:t>
            </w:r>
          </w:p>
        </w:tc>
        <w:tc>
          <w:tcPr>
            <w:tcW w:w="640" w:type="dxa"/>
            <w:vAlign w:val="bottom"/>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61"/>
        </w:trPr>
        <w:tc>
          <w:tcPr>
            <w:tcW w:w="28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$159,795</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$(2,368)</w:t>
            </w:r>
          </w:p>
        </w:tc>
        <w:tc>
          <w:tcPr>
            <w:tcW w:w="8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$(5,341)</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$162,163</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$2,973</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Percentage of revenue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-1139825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-1139825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-1139825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-1139825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-1139825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-1139825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N/M - Not meaningful</w:t>
      </w:r>
    </w:p>
    <w:p>
      <w:pPr>
        <w:spacing w:after="0" w:line="96"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Other income, net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by $162.2 million for the year ended December 31, 2021 compared to the same period in 2020. The increase in other income was primarily due to changes in fair value of warrant liability of $166.5 million. The increase in other expense, net of $4.4 million was primarily due to warrant transaction costs of $5.5 million related to the Business Combination included in other expenses in 2021.</w:t>
      </w:r>
    </w:p>
    <w:p>
      <w:pPr>
        <w:spacing w:after="0" w:line="75" w:lineRule="exact"/>
        <w:rPr>
          <w:sz w:val="20"/>
          <w:szCs w:val="20"/>
          <w:color w:val="auto"/>
        </w:rPr>
      </w:pPr>
    </w:p>
    <w:p>
      <w:pPr>
        <w:jc w:val="both"/>
        <w:ind w:left="300" w:right="299" w:firstLine="360"/>
        <w:spacing w:after="0" w:line="292"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Other expenses decreased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As of December 31,</w:t>
            </w:r>
          </w:p>
        </w:tc>
      </w:tr>
      <w:tr>
        <w:trPr>
          <w:trHeight w:val="53"/>
        </w:trPr>
        <w:tc>
          <w:tcPr>
            <w:tcW w:w="7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5"/>
        </w:trPr>
        <w:tc>
          <w:tcPr>
            <w:tcW w:w="706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52"/>
        </w:trPr>
        <w:tc>
          <w:tcPr>
            <w:tcW w:w="706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r>
      <w:tr>
        <w:trPr>
          <w:trHeight w:val="225"/>
        </w:trPr>
        <w:tc>
          <w:tcPr>
            <w:tcW w:w="7060" w:type="dxa"/>
            <w:vAlign w:val="bottom"/>
          </w:tcPr>
          <w:p>
            <w:pPr>
              <w:spacing w:after="0"/>
              <w:rPr>
                <w:sz w:val="19"/>
                <w:szCs w:val="19"/>
                <w:color w:val="auto"/>
              </w:rPr>
            </w:pPr>
          </w:p>
        </w:tc>
        <w:tc>
          <w:tcPr>
            <w:tcW w:w="136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(in thousands)</w:t>
            </w:r>
          </w:p>
        </w:tc>
      </w:tr>
      <w:tr>
        <w:trPr>
          <w:trHeight w:val="53"/>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$67,777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$19,919</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ind w:left="80"/>
              <w:spacing w:after="0"/>
              <w:rPr>
                <w:sz w:val="20"/>
                <w:szCs w:val="20"/>
                <w:color w:val="auto"/>
              </w:rPr>
            </w:pPr>
            <w:r>
              <w:rPr>
                <w:rFonts w:ascii="Arial" w:cs="Arial" w:eastAsia="Arial" w:hAnsi="Arial"/>
                <w:sz w:val="18"/>
                <w:szCs w:val="18"/>
                <w:color w:val="auto"/>
              </w:rPr>
              <w:t>17,550</w:t>
            </w:r>
          </w:p>
        </w:tc>
        <w:tc>
          <w:tcPr>
            <w:tcW w:w="68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61,134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r>
      <w:tr>
        <w:trPr>
          <w:trHeight w:val="54"/>
        </w:trPr>
        <w:tc>
          <w:tcPr>
            <w:tcW w:w="70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-814070</wp:posOffset>
            </wp:positionV>
            <wp:extent cx="1028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we had cash of $67.8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Flows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4"/>
        </w:trPr>
        <w:tc>
          <w:tcPr>
            <w:tcW w:w="4680" w:type="dxa"/>
            <w:vAlign w:val="bottom"/>
          </w:tcPr>
          <w:p>
            <w:pPr>
              <w:spacing w:after="0"/>
              <w:rPr>
                <w:sz w:val="19"/>
                <w:szCs w:val="19"/>
                <w:color w:val="auto"/>
              </w:rPr>
            </w:pPr>
          </w:p>
        </w:tc>
        <w:tc>
          <w:tcPr>
            <w:tcW w:w="18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760" w:type="dxa"/>
            <w:vAlign w:val="bottom"/>
          </w:tcPr>
          <w:p>
            <w:pPr>
              <w:jc w:val="center"/>
              <w:ind w:right="216"/>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9"/>
                <w:szCs w:val="19"/>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4"/>
        </w:trPr>
        <w:tc>
          <w:tcPr>
            <w:tcW w:w="4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18"/>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$ 23,092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0"/>
              </w:rPr>
              <w:t>38,620</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60" w:type="dxa"/>
            <w:vAlign w:val="bottom"/>
            <w:gridSpan w:val="2"/>
          </w:tcPr>
          <w:p>
            <w:pPr>
              <w:ind w:left="1040"/>
              <w:spacing w:after="0"/>
              <w:rPr>
                <w:sz w:val="20"/>
                <w:szCs w:val="20"/>
                <w:color w:val="auto"/>
              </w:rPr>
            </w:pPr>
            <w:r>
              <w:rPr>
                <w:rFonts w:ascii="Arial" w:cs="Arial" w:eastAsia="Arial" w:hAnsi="Arial"/>
                <w:sz w:val="18"/>
                <w:szCs w:val="18"/>
                <w:color w:val="auto"/>
              </w:rPr>
              <w:t>$(30,435)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rPr>
                <w:sz w:val="20"/>
                <w:szCs w:val="20"/>
                <w:color w:val="auto"/>
              </w:rPr>
            </w:pPr>
            <w:r>
              <w:rPr>
                <w:rFonts w:ascii="Arial" w:cs="Arial" w:eastAsia="Arial" w:hAnsi="Arial"/>
                <w:sz w:val="18"/>
                <w:szCs w:val="18"/>
                <w:color w:val="auto"/>
                <w:w w:val="98"/>
              </w:rPr>
              <w:t>(1,311)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(5,129)</w:t>
            </w:r>
          </w:p>
        </w:tc>
      </w:tr>
      <w:tr>
        <w:trPr>
          <w:trHeight w:val="54"/>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r>
      <w:tr>
        <w:trPr>
          <w:trHeight w:val="27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$ 55,201</w:t>
            </w:r>
          </w:p>
        </w:tc>
        <w:tc>
          <w:tcPr>
            <w:tcW w:w="10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$(22,358)</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$(21,969)</w:t>
            </w:r>
          </w:p>
        </w:tc>
      </w:tr>
      <w:tr>
        <w:trPr>
          <w:trHeight w:val="54"/>
        </w:trPr>
        <w:tc>
          <w:tcPr>
            <w:tcW w:w="46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-814070</wp:posOffset>
            </wp:positionV>
            <wp:extent cx="1714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-814070</wp:posOffset>
            </wp:positionV>
            <wp:extent cx="171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Net cash provided by operating activities for the year ended December 31, 2021 was $23.1 million, which resulted from net income of $152.2 million, together with a net cash outflows of $3.4 million from changes in operating assets and liabilities, and non-cash items of $125.8 million, consisting of depreciation and amortization of $4.4 million, fair value of warrant liability of $166.5 million, impairment loss of $2.4 million, stock-based compensation expense of $29.3 million, changes in deferred tax assets of $0.8 million and provision for doubtful accounts of $5.5 million. The net cash outflows from changes in operating assets and liabilities were primarily due to an increase in accounts receivable of $13.6 million, a decrease in accounts payable and accrued expenses of $0.5 million, partially offset by a decrease in prepaid expenses and other assets of $7.9 million, and an increase in deferred revenue of $2.8 million. The changes in operating assets and liabilities are mostly due to fluctuations in timing of cash receipts and payments.</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2020 was $38.6 million, which resulted from net income of $38.8 million, together with net cash outflows of $5.5 million from changes in operating assets and liabilities, and non-cash items of $5.2 million, consisting of depreciation and amortization of $4.0 million and provision for doubtful accounts of $1.3 million. The net cash outflows from changes in operating assets and liabilities were primarily due to an increase in accounts receivables of $6.8 million, a decrease in accounts payable and accrued expenses of $1.0 million and an increase in prepaid expenses and other current assets of $3.0 million. These changes were partially offset by an increase in deferred rent of $3.7 million, an increase in deferred revenue of $0.9 million and a decrease in other assets of $0.7 million. The changes in operating assets and liabilities are mostly due to fluctuations in timing of cash receipts and payments.</w:t>
      </w:r>
    </w:p>
    <w:p>
      <w:pPr>
        <w:spacing w:after="0" w:line="7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2019 was $6.3 million, which resulted from net loss of $0.4 million, together with a net cash inflow of $1.3 million from changes in operating assets and liabilities, and non-cash charges of $5.3 million, consisting of depreciation and amortization expense of $5.2 million and provision for doubtful of accounts of $0.2 million. The net cash inflows from changes in operating assets and liabilities were primarily due to an increase in accounts payable and accrued expenses of $7.4 million, an increase in deferred rent of $0.5 million, together with an increase in deferred revenue of $0.2 million. These changes were partially offset by an increase in accounts receivable of $2.8 million and an increase in prepaid expense and other assets of $4.0 million. The changes in operating assets and liabilities are mostly due to fluctuations in timing of cash receipts and payments.</w:t>
      </w:r>
    </w:p>
    <w:p>
      <w:pPr>
        <w:sectPr>
          <w:pgSz w:w="11900" w:h="16838" w:orient="portrait"/>
          <w:cols w:equalWidth="0" w:num="1">
            <w:col w:w="9019"/>
          </w:cols>
          <w:pgMar w:left="1440" w:top="265"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cash used in investing activities for the year ended December 31, 2021 was $30.4 million, which resulted from $16.0 million cash paid for acquisitions, $7.9 million cash paid for purchases of property and equipment, including certain capitalized software development cost, and $6.5 million cash paid for other investments.</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Net cash used in investing activities for the year ended December 31, 2020 was $1.3 million for purchases of property and equipment.</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$5.1 million, which resulted from purchases of assets related to Weedmaps Museum of Weed as well as other property and equipment and capitalized software development costs related to development of our POS solution.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was $55.2 million, which resulted from net proceeds from the Business Combination of $80.0 million, offset by $19.0 million distribution payments to members, $5.6 million paid for the repurchase of Class B Units and $0.2 million repayment of notes payable to members.</w:t>
      </w:r>
    </w:p>
    <w:p>
      <w:pPr>
        <w:spacing w:after="0" w:line="79"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Net cash used in financing activities for the year ended December 31, 2020 was $22.4 million, which resulted from $22.0 million distributions to members and $0.4 million paid for the repurchase of Class B Units.</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financing activities for the year ended December 31, 2019 was $22.0 million, which was attributable to $15.4 million in distribution payments to members, $5.0 million repayment of the secured line of credit, and $1.6 million for the repurchase of Class B units.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have non-cancellable contractual agreements primarily related to leases. As of December 31, 2021, future payments on our operating leases were $64.5 million. See Note 3 to our consolidated financial statements included in this prospectus.</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of December 31, 2021, our tax receivable agreement liability was $128.6 million. 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 See Note 14 to our consolidated financial statements included in this prospectus.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consolidated financial statements included in this prospectus.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The determination of the performance obligations and recognition of such items as over time or point-in-time requires us to make significant judgement and estimates.</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 Prior to January 1, 2021, we charged a fee for access to our orders functionality and those fees were recognized at a point in time, typically when an order for delivery or pickup was submitted. Starting on January 1, 2021, we eliminated the technology services fees related to the orders functionality.</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6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December 31, 2021, total net deferred tax assets and TRA liability were $152.1 million and $128.6 million, respectively. See Note 14 to our consolidated financial statements included in this prospectus.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measure fair value of employee stock-based compensation awards on the date of grant and allocate the related expense over the requisite service period. The fair value of restricted stock units (“RSU”) and performance-based restricted stock units (“PSU”)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 ended December 31, 2021, we recognized stock-based compensation expense of $29.3 million. See Note 12 to our consolidated financial statements included in this prospectus.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year ended December 31, 2021, we capitalized $7.4 million of costs related to the development of software applications.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5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in this prospectus.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In connection with the Business Combination, we assumed 12,499,993 Public Warrants and 7,000,000 Private Placement Warrants. All of the warrants remained outstanding as of December 31, 2021. The warrants are measured at fair value under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2021, warranty liability was $27.5 million. See Note 5 to our consolidated financial statements included this prospectus.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consolidated financial statements included in this prospectus.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warrants originally issued in a private placement (the “Private Placement Warrants” and together with the Public Warrants,</w:t>
      </w:r>
    </w:p>
    <w:p>
      <w:pPr>
        <w:sectPr>
          <w:pgSz w:w="11900" w:h="16838" w:orient="portrait"/>
          <w:cols w:equalWidth="0" w:num="1">
            <w:col w:w="9019"/>
          </w:cols>
          <w:pgMar w:left="1440" w:top="265"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December 31, 2021, our disclosure controls and procedures were not effective.</w:t>
      </w:r>
    </w:p>
    <w:p>
      <w:pPr>
        <w:spacing w:after="0" w:line="8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completed the Business Combination on June 16, 2021.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323" w:lineRule="exact"/>
        <w:rPr>
          <w:sz w:val="20"/>
          <w:szCs w:val="20"/>
          <w:color w:val="auto"/>
        </w:rPr>
      </w:pPr>
    </w:p>
    <w:p>
      <w:pPr>
        <w:ind w:left="300" w:right="699"/>
        <w:spacing w:after="0" w:line="282" w:lineRule="auto"/>
        <w:rPr>
          <w:sz w:val="20"/>
          <w:szCs w:val="20"/>
          <w:color w:val="auto"/>
        </w:rPr>
      </w:pPr>
      <w:r>
        <w:rPr>
          <w:rFonts w:ascii="Arial" w:cs="Arial" w:eastAsia="Arial" w:hAnsi="Arial"/>
          <w:sz w:val="18"/>
          <w:szCs w:val="18"/>
          <w:b w:val="1"/>
          <w:bCs w:val="1"/>
          <w:color w:val="auto"/>
        </w:rPr>
        <w:t>Limitations on Effectiveness of Disclosure Controls and Procedures and Internal Controls over Financial Reporting</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WM Technology’s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180340</wp:posOffset>
            </wp:positionV>
            <wp:extent cx="4688840" cy="2459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8884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7"/>
          <w:szCs w:val="17"/>
          <w:color w:val="auto"/>
        </w:rPr>
        <w:t>The state-legal cannabis industry in the United States has grown consistently in recent years and is expected to double between 2020 and 2025 (according to Arcview Market Research/BDS Analytics</w:t>
      </w:r>
      <w:r>
        <w:rPr>
          <w:rFonts w:ascii="Arial" w:cs="Arial" w:eastAsia="Arial" w:hAnsi="Arial"/>
          <w:sz w:val="28"/>
          <w:szCs w:val="28"/>
          <w:color w:val="auto"/>
          <w:vertAlign w:val="superscript"/>
        </w:rPr>
        <w:t>12</w:t>
      </w:r>
      <w:r>
        <w:rPr>
          <w:rFonts w:ascii="Arial" w:cs="Arial" w:eastAsia="Arial" w:hAnsi="Arial"/>
          <w:sz w:val="17"/>
          <w:szCs w:val="17"/>
          <w:color w:val="auto"/>
        </w:rPr>
        <w:t>), with 91% of U.S. adults now in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effectively market to cannabis consumers as well as compliantly manage their operations. Cannabis users within the United States represent less than 13% of the adult population as of December 31, 2020, with those consuming at least one time a month representing an even smaller percentage, according to the National Survey on Drug Use and Health estimates. As of December 31, 2021, there were approximately 11,700 retail licenses across U.S. and Canadian markets with medical and/or adult-use regulations in place, which is an effective retail density of approximately one retail license per 22,000 residents across these markets in the aggregate, based on data available from individual governmental cannabis license databases, U.S. Census Bureau estimates and Statistics Canada for both licenses and population.</w:t>
      </w:r>
    </w:p>
    <w:p>
      <w:pPr>
        <w:spacing w:after="0" w:line="8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product discovery and price comparison across multiple channels, and transparency of information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users. Retailers and brands must meet these consumer expectations and provide omni-channel engagement opportunities with the same level of (i)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63"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6"/>
          <w:szCs w:val="16"/>
          <w:color w:val="auto"/>
        </w:rPr>
        <w:t>Although we began as a marketplace, over the past few years, we have developed and launched several SaaS solutions for our retailer and brand clients. These solutions now comprise an integrated platform for retailers and brands, which we call “WM Business”. WM Business is a set of e-commerce enablement tools designed to help our retailer and brand clients get the best out of their Weedmaps experience, while creating labor efficiency and managing their compliance needs, which can include, depending on each state’s regulations, inventory management, separating sales to medical versus recreational users, product dollar limits in delivery vehicles and GPS tracking of delivery fleet.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marketplace), (iii) logistics software such as driver apps and fleet-tracking tools to permit legal compliance with state delivery regulations, (iv) customer relationship management software, (v) access to our application program interface (“API”), and integrations platform for real-time connectivity between WM Business and to a point-of-sale system (“POS”) to streamline workflows, and promoting compliance through accuracy</w:t>
      </w:r>
    </w:p>
    <w:p>
      <w:pPr>
        <w:spacing w:after="0" w:line="11" w:lineRule="exact"/>
        <w:rPr>
          <w:sz w:val="20"/>
          <w:szCs w:val="20"/>
          <w:color w:val="auto"/>
        </w:rPr>
      </w:pPr>
    </w:p>
    <w:p>
      <w:pPr>
        <w:jc w:val="both"/>
        <w:ind w:left="300" w:right="299" w:hanging="8"/>
        <w:spacing w:after="0" w:line="253" w:lineRule="auto"/>
        <w:tabs>
          <w:tab w:leader="none" w:pos="6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analytics dashboards, (vii) a WM-owned point-of-sale system (where available) and (viii) access to our online wholesale exchange marketplace to browse brand catalogs and efficiently identify brands to obtain inventory from (and review license information and certificates of analysis, among other compliance features). We also offer a growing set of offerings for brands to reach consumers and retailers as well as manage their brand catalog information.</w:t>
      </w:r>
    </w:p>
    <w:p>
      <w:pPr>
        <w:spacing w:after="0" w:line="8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WM Business solution is sold as a monthly subscription package. We also offer several upsell and add-on products that allow businesses to have more prominent placement on the Weedmaps marketplace either through featured listings, display ads or promoted deal offerings. Additionally, we have CRM, logistics and fulfillment</w:t>
      </w:r>
    </w:p>
    <w:p>
      <w:pPr>
        <w:ind w:left="460" w:hanging="168"/>
        <w:spacing w:after="0" w:line="233"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software and driver app solutions available as add-on solutions. We sell our WM Business offerings in the United States, currently sell a subset of them in Canada, and we have a limited number of non-monetized listings in several other countries including Austria, Germany, the Netherlands, Spain, and Switzerland. As of December 31, 2021, we actively operated in over 20 U.S. states and territories that have adult-use and/or medical-use regulations in place. We define actively operated markets as those U.S. states or territories with greater than $1,000 monthly recurring revenue.</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we continue to expand the presence and increase the number of consumers on the Weedmaps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Our End-Markets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62"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Cannabis as a regulated industry is still in a nascent stage of development.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Cannabis users are less than 13% of the U.S. adult population today without a “typical” user profile.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Regulations governing cannabis are complex and vary state-by-state and by city and county within states.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Cannabis has wide variance in characteristics that make it complex for consumers to make an informed purchase decision.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Cannabis is a perishable good with a lack of product homogeneity.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Brands are only in the early innings of establishing a consumer presence.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with the illicit market is still an issue, particularly in states like California.</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clients, which include both dispensaries, delivery services and brands. Our current solutions include:</w:t>
      </w:r>
    </w:p>
    <w:p>
      <w:pPr>
        <w:spacing w:after="0" w:line="88" w:lineRule="exact"/>
        <w:rPr>
          <w:sz w:val="20"/>
          <w:szCs w:val="20"/>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WM Business subscription offering. </w:t>
      </w:r>
      <w:r>
        <w:rPr>
          <w:rFonts w:ascii="Arial" w:cs="Arial" w:eastAsia="Arial" w:hAnsi="Arial"/>
          <w:sz w:val="18"/>
          <w:szCs w:val="18"/>
          <w:color w:val="auto"/>
        </w:rPr>
        <w:t>Our WM Business monthly subscription package consists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solutions, the availability of which depends on the client’s market:</w:t>
      </w:r>
    </w:p>
    <w:p>
      <w:pPr>
        <w:spacing w:after="0" w:line="62"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hours of operation, contact information, discount policies, and other information that may be required under applicable state law.</w:t>
      </w:r>
    </w:p>
    <w:p>
      <w:pPr>
        <w:spacing w:after="0" w:line="94" w:lineRule="exact"/>
        <w:rPr>
          <w:rFonts w:ascii="Arial" w:cs="Arial" w:eastAsia="Arial" w:hAnsi="Arial"/>
          <w:sz w:val="22"/>
          <w:szCs w:val="22"/>
          <w:color w:val="auto"/>
          <w:vertAlign w:val="superscript"/>
        </w:rPr>
      </w:pPr>
    </w:p>
    <w:p>
      <w:pPr>
        <w:jc w:val="both"/>
        <w:ind w:left="1360" w:right="319" w:hanging="348"/>
        <w:spacing w:after="0" w:line="241" w:lineRule="auto"/>
        <w:tabs>
          <w:tab w:leader="none" w:pos="136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Orders. </w:t>
      </w:r>
      <w:r>
        <w:rPr>
          <w:rFonts w:ascii="Arial" w:cs="Arial" w:eastAsia="Arial" w:hAnsi="Arial"/>
          <w:sz w:val="18"/>
          <w:szCs w:val="18"/>
          <w:color w:val="auto"/>
        </w:rPr>
        <w:t>Transmission of requests for reservation of products for pick-up by consumers 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to consumers, allowing retailers to confirm product availability (and to complete orders and process payments - both of which only occur outside the Weedmaps marketplace). Weedmaps serves only as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left="20" w:right="299"/>
        <w:spacing w:after="0" w:line="259" w:lineRule="auto"/>
        <w:rPr>
          <w:sz w:val="20"/>
          <w:szCs w:val="20"/>
          <w:color w:val="auto"/>
        </w:rPr>
      </w:pPr>
      <w:r>
        <w:rPr>
          <w:rFonts w:ascii="Arial" w:cs="Arial" w:eastAsia="Arial" w:hAnsi="Arial"/>
          <w:sz w:val="18"/>
          <w:szCs w:val="18"/>
          <w:color w:val="auto"/>
        </w:rPr>
        <w:t>a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 xml:space="preserve">WM Dispatch. </w:t>
      </w:r>
      <w:r>
        <w:rPr>
          <w:rFonts w:ascii="Arial" w:cs="Arial" w:eastAsia="Arial" w:hAnsi="Arial"/>
          <w:sz w:val="18"/>
          <w:szCs w:val="18"/>
          <w:color w:val="auto"/>
        </w:rPr>
        <w:t>Together with Cannveya (described below), WM Dispatch provides logistics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software and driver apps, which provide tools that can be used for legally compliant delivery and tracking of product reserved online through WM Orders and real-time routing and tracking of the state-licensed delivery fleet.</w:t>
      </w:r>
    </w:p>
    <w:p>
      <w:pPr>
        <w:spacing w:after="0" w:line="79"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i w:val="1"/>
          <w:iCs w:val="1"/>
          <w:color w:val="auto"/>
        </w:rPr>
        <w:t xml:space="preserve">WM Dashboard. </w:t>
      </w:r>
      <w:r>
        <w:rPr>
          <w:rFonts w:ascii="Arial" w:cs="Arial" w:eastAsia="Arial" w:hAnsi="Arial"/>
          <w:sz w:val="18"/>
          <w:szCs w:val="18"/>
          <w:color w:val="auto"/>
        </w:rPr>
        <w:t>Insights dashboard, which provides data and analytics on user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traffic trends to a client’s listing page.</w:t>
      </w:r>
    </w:p>
    <w:p>
      <w:pPr>
        <w:spacing w:after="0" w:line="62" w:lineRule="exact"/>
        <w:rPr>
          <w:sz w:val="20"/>
          <w:szCs w:val="20"/>
          <w:color w:val="auto"/>
        </w:rPr>
      </w:pPr>
    </w:p>
    <w:p>
      <w:pPr>
        <w:jc w:val="both"/>
        <w:ind w:right="319"/>
        <w:spacing w:after="0" w:line="254" w:lineRule="auto"/>
        <w:rPr>
          <w:sz w:val="20"/>
          <w:szCs w:val="20"/>
          <w:color w:val="auto"/>
        </w:rPr>
      </w:pPr>
      <w:r>
        <w:rPr>
          <w:rFonts w:ascii="Arial" w:cs="Arial" w:eastAsia="Arial" w:hAnsi="Arial"/>
          <w:sz w:val="18"/>
          <w:szCs w:val="18"/>
          <w:i w:val="1"/>
          <w:iCs w:val="1"/>
          <w:color w:val="auto"/>
        </w:rPr>
        <w:t xml:space="preserve">WM Store. </w:t>
      </w:r>
      <w:r>
        <w:rPr>
          <w:rFonts w:ascii="Arial" w:cs="Arial" w:eastAsia="Arial" w:hAnsi="Arial"/>
          <w:sz w:val="18"/>
          <w:szCs w:val="18"/>
          <w:color w:val="auto"/>
        </w:rPr>
        <w:t>Orders and menu embed, which allows retailers and brands to import their Weedmaps</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menu or 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marketplace.</w:t>
      </w:r>
    </w:p>
    <w:p>
      <w:pPr>
        <w:spacing w:after="0" w:line="87"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 xml:space="preserve">Integrations and APIs. </w:t>
      </w:r>
      <w:r>
        <w:rPr>
          <w:rFonts w:ascii="Arial" w:cs="Arial" w:eastAsia="Arial" w:hAnsi="Arial"/>
          <w:sz w:val="18"/>
          <w:szCs w:val="18"/>
          <w:color w:val="auto"/>
        </w:rPr>
        <w:t>A platform of integrations and API tools or bespoke solutioning to integrate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into the WM Technology ecosystem. This creates business efficiencies and improves the accuracy and timeliness of information across Weedmaps, creating a more positive experience for consumers and businesses.</w:t>
      </w:r>
    </w:p>
    <w:p>
      <w:pPr>
        <w:spacing w:after="0" w:line="79" w:lineRule="exact"/>
        <w:rPr>
          <w:sz w:val="20"/>
          <w:szCs w:val="20"/>
          <w:color w:val="auto"/>
        </w:rPr>
      </w:pPr>
    </w:p>
    <w:p>
      <w:pPr>
        <w:jc w:val="both"/>
        <w:ind w:right="319"/>
        <w:spacing w:after="0" w:line="270" w:lineRule="auto"/>
        <w:rPr>
          <w:sz w:val="20"/>
          <w:szCs w:val="20"/>
          <w:color w:val="auto"/>
        </w:rPr>
      </w:pPr>
      <w:r>
        <w:rPr>
          <w:rFonts w:ascii="Arial" w:cs="Arial" w:eastAsia="Arial" w:hAnsi="Arial"/>
          <w:sz w:val="17"/>
          <w:szCs w:val="17"/>
          <w:color w:val="auto"/>
        </w:rPr>
        <w:t>In a limited number of U.S. markets, we offer WM Retail, our retail POS system, which provides inventory management and track-and-trace compliance reporting functionality along with built-in integrations with the listing page product menu and digital product reservation functionality to stream-line workflows, and WM Exchange, our wholesale online exchange, which allows retailers to browse brand catalogs and identify brands to obtain inventory from and brands to manage their customer relationships and wholesale operations.. We no longer plan to expand the availability of these products into additional states, but instead plan to focus POS-related and B2B-related efforts on our API integrations with third-party POS providers, which we believe make the Weedmaps marketplace more attractive for retailers who use a third party POS.</w:t>
      </w:r>
    </w:p>
    <w:p>
      <w:pPr>
        <w:spacing w:after="0" w:line="73"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offerings for subscription clients. </w:t>
      </w:r>
      <w:r>
        <w:rPr>
          <w:rFonts w:ascii="Arial" w:cs="Arial" w:eastAsia="Arial" w:hAnsi="Arial"/>
          <w:sz w:val="18"/>
          <w:szCs w:val="18"/>
          <w:color w:val="auto"/>
        </w:rPr>
        <w:t>We offer several add-on and upsell solutions only to paying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clients, including:</w:t>
      </w:r>
    </w:p>
    <w:p>
      <w:pPr>
        <w:sectPr>
          <w:pgSz w:w="11900" w:h="16838" w:orient="portrait"/>
          <w:cols w:equalWidth="0" w:num="1">
            <w:col w:w="9019"/>
          </w:cols>
          <w:pgMar w:left="1440" w:top="265" w:right="1440" w:bottom="1440" w:gutter="0" w:footer="0" w:header="0"/>
          <w:type w:val="continuous"/>
        </w:sectPr>
      </w:pPr>
    </w:p>
    <w:p>
      <w:pPr>
        <w:spacing w:after="0" w:line="6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Featured listings on our weedmaps.com marketplace; and</w:t>
      </w:r>
    </w:p>
    <w:p>
      <w:pPr>
        <w:spacing w:after="0" w:line="11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1000" w:hanging="348"/>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Additional a la carte products.</w:t>
      </w:r>
    </w:p>
    <w:p>
      <w:pPr>
        <w:sectPr>
          <w:pgSz w:w="11900" w:h="16838" w:orient="portrait"/>
          <w:cols w:equalWidth="0" w:num="1">
            <w:col w:w="9019"/>
          </w:cols>
          <w:pgMar w:left="1440" w:top="265" w:right="1440" w:bottom="1440" w:gutter="0" w:footer="0" w:header="0"/>
          <w:type w:val="continuous"/>
        </w:sectPr>
      </w:pPr>
    </w:p>
    <w:p>
      <w:pPr>
        <w:spacing w:after="0" w:line="145"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i w:val="1"/>
          <w:iCs w:val="1"/>
          <w:color w:val="auto"/>
        </w:rPr>
        <w:t xml:space="preserve">Advertising solutions. </w:t>
      </w:r>
      <w:r>
        <w:rPr>
          <w:rFonts w:ascii="Arial" w:cs="Arial" w:eastAsia="Arial" w:hAnsi="Arial"/>
          <w:sz w:val="18"/>
          <w:szCs w:val="18"/>
          <w:color w:val="auto"/>
        </w:rPr>
        <w:t>We also provide several a la carte advertising solutions including banner ads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promotion tile cards on our Weedmaps marketplace, as well as banner ads that can be tied to keyword searches. These products provide clients with targeted ad solutions in highly visible slots across our digital surfaces. Additionally, in the fourth quarter of 2021, we began testing a multi-channel media offering product to our clients and the development of this product will continue into 2022.</w:t>
      </w:r>
    </w:p>
    <w:p>
      <w:pPr>
        <w:spacing w:after="0" w:line="84" w:lineRule="exact"/>
        <w:rPr>
          <w:sz w:val="20"/>
          <w:szCs w:val="20"/>
          <w:color w:val="auto"/>
        </w:rPr>
      </w:pPr>
    </w:p>
    <w:p>
      <w:pPr>
        <w:jc w:val="both"/>
        <w:ind w:right="319"/>
        <w:spacing w:after="0" w:line="311" w:lineRule="auto"/>
        <w:rPr>
          <w:sz w:val="20"/>
          <w:szCs w:val="20"/>
          <w:color w:val="auto"/>
        </w:rPr>
      </w:pPr>
      <w:r>
        <w:rPr>
          <w:rFonts w:ascii="Arial" w:cs="Arial" w:eastAsia="Arial" w:hAnsi="Arial"/>
          <w:sz w:val="16"/>
          <w:szCs w:val="16"/>
          <w:i w:val="1"/>
          <w:iCs w:val="1"/>
          <w:color w:val="auto"/>
        </w:rPr>
        <w:t xml:space="preserve">Sprout. </w:t>
      </w:r>
      <w:r>
        <w:rPr>
          <w:rFonts w:ascii="Arial" w:cs="Arial" w:eastAsia="Arial" w:hAnsi="Arial"/>
          <w:sz w:val="16"/>
          <w:szCs w:val="16"/>
          <w:color w:val="auto"/>
        </w:rPr>
        <w:t>In September 2021, we acquired certain assets of the Sprout business (“Sprout”). Sprout is a</w:t>
      </w:r>
      <w:r>
        <w:rPr>
          <w:rFonts w:ascii="Arial" w:cs="Arial" w:eastAsia="Arial" w:hAnsi="Arial"/>
          <w:sz w:val="16"/>
          <w:szCs w:val="16"/>
          <w:i w:val="1"/>
          <w:iCs w:val="1"/>
          <w:color w:val="auto"/>
        </w:rPr>
        <w:t xml:space="preserve"> </w:t>
      </w:r>
      <w:r>
        <w:rPr>
          <w:rFonts w:ascii="Arial" w:cs="Arial" w:eastAsia="Arial" w:hAnsi="Arial"/>
          <w:sz w:val="16"/>
          <w:szCs w:val="16"/>
          <w:color w:val="auto"/>
        </w:rPr>
        <w:t>cloud-based customer relationship management (“CRM”) and marketing platform with the ability to run text messaging, email, and loyalty campaigns to retarget and reengage cannabis consumers.</w:t>
      </w:r>
    </w:p>
    <w:p>
      <w:pPr>
        <w:spacing w:after="0" w:line="41"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360" w:right="319" w:hanging="348"/>
        <w:spacing w:after="0" w:line="243" w:lineRule="auto"/>
        <w:tabs>
          <w:tab w:leader="none" w:pos="13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Cannveya. </w:t>
      </w:r>
      <w:r>
        <w:rPr>
          <w:rFonts w:ascii="Arial" w:cs="Arial" w:eastAsia="Arial" w:hAnsi="Arial"/>
          <w:sz w:val="18"/>
          <w:szCs w:val="18"/>
          <w:color w:val="auto"/>
        </w:rPr>
        <w:t>In September 2021, we acquired Transport Logistics Holding Company, LLC, which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company to Cannveya. Together with WM Dispatch, these services provide logistics and fulfillment software and driver apps, which provide tools that can be used for legally compliant delivery and tracking of product reserved online through WM Orders and real-time routing and tracking of the state-licensed delivery fleet.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and established relationships with cannabis businesses and consumers across the United States.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7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b w:val="1"/>
          <w:bCs w:val="1"/>
          <w:i w:val="1"/>
          <w:iCs w:val="1"/>
          <w:color w:val="auto"/>
        </w:rPr>
        <w:t xml:space="preserve">Largest Two-Sided Platform for Cannabis Businesses and Consumers. </w:t>
      </w:r>
      <w:r>
        <w:rPr>
          <w:rFonts w:ascii="Arial" w:cs="Arial" w:eastAsia="Arial" w:hAnsi="Arial"/>
          <w:sz w:val="16"/>
          <w:szCs w:val="16"/>
          <w:color w:val="auto"/>
        </w:rPr>
        <w:t>We estimate that approximately 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licensed cannabis retailers across the U.S. markets are our paying clients on the platform as of December 31, 2021.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5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i w:val="1"/>
          <w:iCs w:val="1"/>
          <w:color w:val="auto"/>
        </w:rPr>
        <w:t xml:space="preserve">The Only Fully-Integrated Business-in-a-Box SaaS Solution Specific to the Cannabis Industry.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WM Business is the industry’s only comprehensive business-in-a-box solution and incorporates embedded compliance functionality so that our clients comply with state law through integrated software solutions ranging from live menus, logistics and fulfillment, CRM, POS integrations, inventory management, and data and analytics. We believe we are the only platform servicing cannabis that combines both marketplace and software - most other technology providers offer single-point software solutions without the marketplace or marketplace without software. We believe we offer the only comprehensive software platform that allows cannabis retailers to reach their target audience, quickly and cost effectively, addressing a wide range of needs. Our platform also features self-service administrative functionality that enables clients to manage their listings page, including adding images, adjusting their menus, editing product information and responding to reviews as well as analyzing traffic trends.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Unique and Growing Data Asset. </w:t>
      </w:r>
      <w:r>
        <w:rPr>
          <w:rFonts w:ascii="Arial" w:cs="Arial" w:eastAsia="Arial" w:hAnsi="Arial"/>
          <w:sz w:val="18"/>
          <w:szCs w:val="18"/>
          <w:color w:val="auto"/>
        </w:rPr>
        <w:t>Given our established presence, scale, and the breadth of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8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Ability to Innovate Rapidly and Launch New Products Efficiently at Scale. </w:t>
      </w:r>
      <w:r>
        <w:rPr>
          <w:rFonts w:ascii="Arial" w:cs="Arial" w:eastAsia="Arial" w:hAnsi="Arial"/>
          <w:sz w:val="16"/>
          <w:szCs w:val="16"/>
          <w:color w:val="auto"/>
        </w:rPr>
        <w:t>We have an agile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6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Capital-Efficient Business Model with Strong Cashflow Generation. </w:t>
      </w:r>
      <w:r>
        <w:rPr>
          <w:rFonts w:ascii="Arial" w:cs="Arial" w:eastAsia="Arial" w:hAnsi="Arial"/>
          <w:sz w:val="18"/>
          <w:szCs w:val="18"/>
          <w:color w:val="auto"/>
        </w:rPr>
        <w:t>We operate a cloud-based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 xml:space="preserve">Operationally-Focused Management Team with Deep Experience. </w:t>
      </w:r>
      <w:r>
        <w:rPr>
          <w:rFonts w:ascii="Arial" w:cs="Arial" w:eastAsia="Arial" w:hAnsi="Arial"/>
          <w:sz w:val="17"/>
          <w:szCs w:val="17"/>
          <w:color w:val="auto"/>
        </w:rPr>
        <w:t>Our executive leadership team has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 a leading marketplace and software platform, our goal is to not only grow our market share but to grow the entire market by influencing policy promoting wider access to licensed cannabis, educating consumers on how to shop for cannabis and providing licensed operators with the tools they need to access users and grow their businesses. However, given our share of cannabis consumers and businesses, we believe we are well-positioned to capitalize on underlying growth across our end-markets by executing against our strategy as follows:</w:t>
      </w:r>
    </w:p>
    <w:p>
      <w:pPr>
        <w:spacing w:after="0" w:line="53" w:lineRule="exact"/>
        <w:rPr>
          <w:sz w:val="20"/>
          <w:szCs w:val="20"/>
          <w:color w:val="auto"/>
        </w:rPr>
      </w:pPr>
    </w:p>
    <w:p>
      <w:pPr>
        <w:jc w:val="both"/>
        <w:ind w:left="1000" w:right="299" w:hanging="348"/>
        <w:spacing w:after="0" w:line="272"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Two-Sided Marketplace. </w:t>
      </w:r>
      <w:r>
        <w:rPr>
          <w:rFonts w:ascii="Arial" w:cs="Arial" w:eastAsia="Arial" w:hAnsi="Arial"/>
          <w:sz w:val="17"/>
          <w:szCs w:val="17"/>
          <w:color w:val="auto"/>
        </w:rPr>
        <w:t>Our goal is to be the center of commerce for consumers seeking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WM Business services through our WM Business subscription offering and additional offerings.</w:t>
      </w:r>
    </w:p>
    <w:p>
      <w:pPr>
        <w:spacing w:after="0" w:line="69" w:lineRule="exact"/>
        <w:rPr>
          <w:rFonts w:ascii="Arial" w:cs="Arial" w:eastAsia="Arial" w:hAnsi="Arial"/>
          <w:sz w:val="17"/>
          <w:szCs w:val="17"/>
          <w:color w:val="auto"/>
        </w:rPr>
      </w:pPr>
    </w:p>
    <w:p>
      <w:pPr>
        <w:jc w:val="both"/>
        <w:ind w:left="1000" w:right="319" w:hanging="348"/>
        <w:spacing w:after="0" w:line="291"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Existing Markets and Enter New Markets. </w:t>
      </w:r>
      <w:r>
        <w:rPr>
          <w:rFonts w:ascii="Arial" w:cs="Arial" w:eastAsia="Arial" w:hAnsi="Arial"/>
          <w:sz w:val="16"/>
          <w:szCs w:val="16"/>
          <w:color w:val="auto"/>
        </w:rPr>
        <w:t>We have a significant opportunity to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base both within existing markets that are continuing to grow and new markets as they become open to regulated cannabis. Although we are increasingly becoming a more nationally-recognized brand, we are monetizing our platform in over 20 U.S. states and territories, as of December 31, 2021. Based on our internal research, we believe the minimum level of acceptable retail density to have a healthy and functioning licensed market is a minimum of one licensed retailer per 10,000 residents. Many of the U.S. states where we operate today are still under-penetrated with low levels of licensed retail density.</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As of December 31, 2021, there were approximately 11,700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3.2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5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Expand our WM Business SaaS solution and grow Gross Merchandise Value (“GMV”). </w:t>
      </w:r>
      <w:r>
        <w:rPr>
          <w:rFonts w:ascii="Arial" w:cs="Arial" w:eastAsia="Arial" w:hAnsi="Arial"/>
          <w:sz w:val="17"/>
          <w:szCs w:val="17"/>
          <w:color w:val="auto"/>
        </w:rPr>
        <w:t>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expanding the functionality of our WM Business solutions through additional offerings of premium analytics, CRM,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We take a measured approach to acquisition-related growth, preferring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make strategic software acquisitions, such as our recent transactions for Sprout, Cannveya and CannCurrent, that complement our existing offerings. We intend to continue selectively pursuing opportunities to invest in and acquire technology offerings that allow us to accelerate our growth.</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direct competitors for individual components of our platform include cannabis-focused, technology companies like Leafly (for retailer listing pages), Dutchie and Jane Technologies (for menu embed and orders functionality), Leaflink and Leaf Trade (for B2B sales) and a variety of cannabis-focused point-of-sale providers,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6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For additional information about the risks to our business related to competition, see the section entitled “Risk Factors-Risks Related to our Business and Industry—</w:t>
      </w:r>
      <w:r>
        <w:rPr>
          <w:rFonts w:ascii="Arial" w:cs="Arial" w:eastAsia="Arial" w:hAnsi="Arial"/>
          <w:sz w:val="17"/>
          <w:szCs w:val="17"/>
          <w:i w:val="1"/>
          <w:iCs w:val="1"/>
          <w:color w:val="auto"/>
        </w:rPr>
        <w:t>We currently face intense competition in the market, and</w:t>
      </w:r>
      <w:r>
        <w:rPr>
          <w:rFonts w:ascii="Arial" w:cs="Arial" w:eastAsia="Arial" w:hAnsi="Arial"/>
          <w:sz w:val="17"/>
          <w:szCs w:val="17"/>
          <w:color w:val="auto"/>
        </w:rPr>
        <w:t xml:space="preserve"> </w:t>
      </w:r>
      <w:r>
        <w:rPr>
          <w:rFonts w:ascii="Arial" w:cs="Arial" w:eastAsia="Arial" w:hAnsi="Arial"/>
          <w:sz w:val="17"/>
          <w:szCs w:val="17"/>
          <w:i w:val="1"/>
          <w:iCs w:val="1"/>
          <w:color w:val="auto"/>
        </w:rPr>
        <w:t>we expect competition to further intensify as the cannabis industry continues to evolve</w:t>
      </w:r>
      <w:r>
        <w:rPr>
          <w:rFonts w:ascii="Arial" w:cs="Arial" w:eastAsia="Arial" w:hAnsi="Arial"/>
          <w:sz w:val="17"/>
          <w:szCs w:val="17"/>
          <w:color w:val="auto"/>
        </w:rPr>
        <w: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our August 2021 partnership announcement with Kevin Durant and Thirty Five Ventures and sponsorship deal with the Boardroom, our second virtual 4/20 event, “Even Higher Together,” to celebrate the holiday which was hosted by Snoop Dogg, as well as the 2020 sponsorship of the Mike Tyson vs. Roy Jones, Jr. pay-per-view fight, one of the top 10 most purchased combat sports events of all time.</w:t>
      </w:r>
    </w:p>
    <w:p>
      <w:pPr>
        <w:spacing w:after="0" w:line="6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Social Impact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To support the growth of an inclusive cannabis industry, we participate in policy panels and organize educational sessions to educate attendees about the importance of social equity programs and other policy initiatives that are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of December 31, 2021, we have been issued trademark registrations in the United States, Canada, Japan, the European Union, the United Kingdom and Mexico. We have also been issued an international trademark registration with designation in Australia and the European Union for “Weedmaps.” As of December 31,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 store. Our trademarks and domain names are material to our business and brand identity.</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Factors—Risks Related to our Business and Industry.”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As of December 31, 2021, we had 606 full-time employees and 1 part-time employee, including 242 in engineering, product and design, 264 in sales and marketing, and 101 in general and administrative and professional services. Of these employees, 595 are located in the United States, and 12 are located in Canada.</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hanging="8"/>
        <w:spacing w:after="0" w:line="263" w:lineRule="auto"/>
        <w:tabs>
          <w:tab w:leader="none" w:pos="4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seven years.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80"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 (“SAFE”)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last year, legislative efforts to legalize cannabis or cannabis banking at the national level are likely to continue in 2022.</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our business, we are subject to various claims and litigation. Our management believes that the outcome of such claims or litigation will not have a material adverse effect on our financial position, results of operations or cash flow.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the names, ages and positions (as of December 31, 2021) of our directors and executive officers: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Tony Aquila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Anthony Bay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Francis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Justin Hartfield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Fiona Tan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shd w:val="clear" w:color="auto" w:fill="CCEEFF"/>
          </w:tcPr>
          <w:p>
            <w:pPr>
              <w:spacing w:after="0"/>
              <w:rPr>
                <w:sz w:val="23"/>
                <w:szCs w:val="2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1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-3102610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-3102610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Christopher Beals. </w:t>
      </w:r>
      <w:r>
        <w:rPr>
          <w:rFonts w:ascii="Arial" w:cs="Arial" w:eastAsia="Arial" w:hAnsi="Arial"/>
          <w:sz w:val="16"/>
          <w:szCs w:val="16"/>
          <w:color w:val="auto"/>
        </w:rPr>
        <w:t>Mr. Beals has served as our Chief Executive Officer and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June 2021. Mr. Beals served 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Mr. Camire has served as our General Counsel and Secretary since June 2021. Mr. Camire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Mr. Dean has served as our Chief Technology Officer and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2021. 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 xml:space="preserve">Juanjo Feijoo. </w:t>
      </w:r>
      <w:r>
        <w:rPr>
          <w:rFonts w:ascii="Arial" w:cs="Arial" w:eastAsia="Arial" w:hAnsi="Arial"/>
          <w:sz w:val="18"/>
          <w:szCs w:val="18"/>
          <w:color w:val="auto"/>
        </w:rPr>
        <w:t>Mr. Feijoo has served as our Chief Operating Officer since July 2021 and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from June 2021 to July 2021. Mr. Feijoo served as Legacy WMH’s Chief Marketing Officer from May 2019 to June 2021. Previously, Mr. Feijoo served as Senior Director of Customer Engagement for Creative Cloud at Adobe, a publicly-held global technology company, from 2017 to 2019. Prior to that, from 2015 to 2017, Mr. Feijoo served</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has served as a member of our board of directors since June 2021. In June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Aquila founded AFV Partners, an 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7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Mr. Aquila is qualified to serve on our board of directors based on his business experience as a founder, inventor, chief executive officer and director of publicly-listed companies and his investing experience.</w:t>
      </w:r>
    </w:p>
    <w:p>
      <w:pPr>
        <w:spacing w:after="0" w:line="3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Anthony Bay. </w:t>
      </w:r>
      <w:r>
        <w:rPr>
          <w:rFonts w:ascii="Arial" w:cs="Arial" w:eastAsia="Arial" w:hAnsi="Arial"/>
          <w:sz w:val="17"/>
          <w:szCs w:val="17"/>
          <w:color w:val="auto"/>
        </w:rPr>
        <w:t>Mr. Bay has served as a member of our board of directors since March 2022.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2019, Mr. Bay has served as the Founder and Chief Executive Officer of Techquity, a technology advisory firm helping innovative companies leverage software and cloud operations to scale faster with less risk. In addition, from 2013 to 2016, he served as Chief Executive Officer of Rdio, a leading global music subscription streaming service in 85 countries, dramatically expanding its customer base from 15 million to 40 million before it was sold to Pandora. In November 2015, Rdio filed for Chapter 11 bankruptcy relief as a condition of its sale to Pandora. Prior to that, Mr. Bay served as a Vice President for Amazon, as Global head for Digital Video, and in various leadership roles at Microsoft and Apple. Mr. Bay holds an MBA from San Jose State University and undergraduate degree in Economics from the University of California, Los Angeles.</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Mr. Bay was selected to serve on the Board based on his business experience as a founder, chief executive officer and various leadership positions of technology companies, and as a director of private and publicly-listed companies.</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has served as a member of our board of directors since June 2021. Mr. Francis is</w:t>
      </w:r>
      <w:r>
        <w:rPr>
          <w:rFonts w:ascii="Arial" w:cs="Arial" w:eastAsia="Arial" w:hAnsi="Arial"/>
          <w:sz w:val="16"/>
          <w:szCs w:val="16"/>
          <w:i w:val="1"/>
          <w:iCs w:val="1"/>
          <w:color w:val="auto"/>
        </w:rPr>
        <w:t xml:space="preserve"> </w:t>
      </w:r>
      <w:r>
        <w:rPr>
          <w:rFonts w:ascii="Arial" w:cs="Arial" w:eastAsia="Arial" w:hAnsi="Arial"/>
          <w:sz w:val="16"/>
          <w:szCs w:val="16"/>
          <w:color w:val="auto"/>
        </w:rPr>
        <w:t>a co-founder of Legacy WMH, and 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5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Mr. Francis is qualified to serve on our board of directors based on his perspective, experience and institutional knowledge as our co-founder and his long tenure as Legacy WMH's President and Chief Executive Officer.</w:t>
      </w:r>
    </w:p>
    <w:p>
      <w:pPr>
        <w:spacing w:after="0" w:line="1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Brenda Freeman</w:t>
      </w:r>
      <w:r>
        <w:rPr>
          <w:rFonts w:ascii="Arial" w:cs="Arial" w:eastAsia="Arial" w:hAnsi="Arial"/>
          <w:sz w:val="16"/>
          <w:szCs w:val="16"/>
          <w:color w:val="auto"/>
        </w:rPr>
        <w:t>. Ms. Freeman has served as a member of our board of directors since June 2021. Since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2020, Ms. Freeman has served as 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 a virtual reality technology company, and from December 2018 to April 2019 was Senior Advisor to the Chief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Freeman is qualified to serve on our board of directors based on her business experience and technology industry expertise.</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Olga Gonzalez</w:t>
      </w:r>
      <w:r>
        <w:rPr>
          <w:rFonts w:ascii="Arial" w:cs="Arial" w:eastAsia="Arial" w:hAnsi="Arial"/>
          <w:sz w:val="17"/>
          <w:szCs w:val="17"/>
          <w:color w:val="auto"/>
        </w:rPr>
        <w:t>. Ms. Gonzalez has served as a member of our board of directors since June 2021.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2021, Ms. Gonzalez has served as 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Gonzalez is qualified to serve on our board of directors based on her business experience and financial expertise.</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Mr. Gordon has served as a member of our board of directors since June 2021. Mr. Gordon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Mr. Gordon is qualified to serve on our board of directors based on his experience in emerging markets and in the cannabis sector.</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has served as a member of our board of directors since June 2021. Mr. Hartfield</w:t>
      </w:r>
      <w:r>
        <w:rPr>
          <w:rFonts w:ascii="Arial" w:cs="Arial" w:eastAsia="Arial" w:hAnsi="Arial"/>
          <w:sz w:val="17"/>
          <w:szCs w:val="17"/>
          <w:i w:val="1"/>
          <w:iCs w:val="1"/>
          <w:color w:val="auto"/>
        </w:rPr>
        <w:t xml:space="preserve"> </w:t>
      </w:r>
      <w:r>
        <w:rPr>
          <w:rFonts w:ascii="Arial" w:cs="Arial" w:eastAsia="Arial" w:hAnsi="Arial"/>
          <w:sz w:val="17"/>
          <w:szCs w:val="17"/>
          <w:color w:val="auto"/>
        </w:rPr>
        <w:t>is a co-founder of Legacy WMH, and 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Mr. Hartfield is qualified to serve on our board of directors based on his perspective, experience and institutional knowledge as our co-founder and his long tenure as Legacy WMH's President and Chief Executive Officer.</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Fiona Tan</w:t>
      </w:r>
      <w:r>
        <w:rPr>
          <w:rFonts w:ascii="Arial" w:cs="Arial" w:eastAsia="Arial" w:hAnsi="Arial"/>
          <w:sz w:val="16"/>
          <w:szCs w:val="16"/>
          <w:color w:val="auto"/>
        </w:rPr>
        <w:t>. Ms. Tan has served as a member of our board of directors since June 2021. Since September 2020,</w:t>
      </w:r>
      <w:r>
        <w:rPr>
          <w:rFonts w:ascii="Arial" w:cs="Arial" w:eastAsia="Arial" w:hAnsi="Arial"/>
          <w:sz w:val="16"/>
          <w:szCs w:val="16"/>
          <w:i w:val="1"/>
          <w:iCs w:val="1"/>
          <w:color w:val="auto"/>
        </w:rPr>
        <w:t xml:space="preserve"> </w:t>
      </w:r>
      <w:r>
        <w:rPr>
          <w:rFonts w:ascii="Arial" w:cs="Arial" w:eastAsia="Arial" w:hAnsi="Arial"/>
          <w:sz w:val="16"/>
          <w:szCs w:val="16"/>
          <w:color w:val="auto"/>
        </w:rPr>
        <w:t>Ms. Tan has served as Global Head of 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Tan is qualified to serve on our board of directors based on her business experience and technology industry expertise.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5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divided into the following classes: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Class I, which consists of Messrs. Beals and Bay and Ms. Tan, whose terms will expire at our first annual meeting of stockholders to be held after the Business Combination;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Class II, which consists of Mr. Aquila, Mses. Gonzalez and Freeman, whose terms will expire at our second annual meeting of stockholders to be held after the Business Combination;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Class III, which consists of Messrs. Francis, Gordon, and Hartfield, whose terms will expire at our third annual meeting of stockholders to be held after the Business Combination.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board of directors determined that each of the directors on our board of directors other than Messrs. Beals, Hartfield and Mr. Francis are independent directors, as defined under the listing rules of The Nasdaq Stock Market 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Bay has served as Chairman of our board of directors since March 2022. Our board of directors also believes, however, that Mr. Bay's independence is an essential complement to his familiarity with the Company and management representation on our board of directors, helping to foster an environment that is conducive to objective evaluation and oversight of management's performance.</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Mr. Bay has the authority, among other things, to call and preside over our board of directors meetings and set meeting agendas, as well as to preside over and establish agendas for executive sessions of the independent directors, giving him substantial authority to shape the work of our board of directors. Our board of directors believes that his independence, coupled with his substantial business expertise and experience in public company management, enhances the effectiveness of our board of directors as a whole and makes him chairman in the best interests of us, our board of directors and our stockholders.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committee consists of Mses. Gonzalez, Freeman and Messrs. Bay and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approve the hiring, discharging and compensation of our independent registered public accounting firm;</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and approve related party transactions and any exchanges of Units pursuant to the exchange agreement that are proposed to be settled in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compensation committee consists of Messrs. Aquila, Bay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29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our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assess the performance of members of our board of directors and make recommendations regarding committee and chair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our board of directors;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84"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In addition, we entered into separate indemnification agreements with our directors and officers. These agreements, among other things, require us to indemnify our directors and officers for certain expenses, including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believe these provisions in our charter are necessary to attract and retain qualified persons as our directors and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Our named executive officers, including our principal executive officer and the next two most highly compensated executive officers, as of December 31, 2021, were:</w:t>
      </w:r>
    </w:p>
    <w:p>
      <w:pPr>
        <w:spacing w:after="0" w:line="62"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Christopher Beals, Chief Executive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Arden Lee, Chief Financial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Juanjo Feijoo, Chief Operating Officer.</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Summary Compensation Table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December 31, 2021.</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Non-Equity</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020" w:type="dxa"/>
            <w:vAlign w:val="bottom"/>
            <w:gridSpan w:val="2"/>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21"/>
                <w:szCs w:val="21"/>
                <w:color w:val="auto"/>
              </w:rPr>
            </w:pPr>
          </w:p>
        </w:tc>
        <w:tc>
          <w:tcPr>
            <w:tcW w:w="600" w:type="dxa"/>
            <w:vAlign w:val="bottom"/>
          </w:tcPr>
          <w:p>
            <w:pPr>
              <w:jc w:val="right"/>
              <w:ind w:right="58"/>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0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(2)</w:t>
            </w:r>
          </w:p>
        </w:tc>
        <w:tc>
          <w:tcPr>
            <w:tcW w:w="100" w:type="dxa"/>
            <w:vAlign w:val="bottom"/>
          </w:tcPr>
          <w:p>
            <w:pPr>
              <w:spacing w:after="0"/>
              <w:rPr>
                <w:sz w:val="21"/>
                <w:szCs w:val="21"/>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3"/>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14,467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10,614,467</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4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600,000</w:t>
            </w: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Arden Lee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667,081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8,000,000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13,716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9,180,797</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Juanjo Feijoo</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4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436,923</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252,478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6,000,000</w:t>
            </w:r>
          </w:p>
        </w:tc>
        <w:tc>
          <w:tcPr>
            <w:tcW w:w="1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9"/>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6,702,158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-1216660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-1216660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-1216660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-1216660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-1216660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-1216660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-1216660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ind w:left="640" w:right="299" w:hanging="348"/>
        <w:spacing w:after="0" w:line="253"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 and in the case of Mr. Lee, a one-time discretionary cash bonus of $450,000 in connection with the completion of the Business Combination.</w:t>
      </w:r>
    </w:p>
    <w:p>
      <w:pPr>
        <w:spacing w:after="0" w:line="1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reflect the grant date fair value of all service-vesting restricted stock unit (“RSU”) awards and for the performance-vesting restricted stock unit (“PRSU”) awards at the target number of PRSUs granted in 2021, in accordance with ASC 718. The grant date fair value of each RSU award was measured based on the closing price of our shares of our Class A Common Stock on the date prior to the date of grant. Because the PRSU awards are subject to specified company performance metrics, the grant date fair value reported was based upon the probable outcome of such conditions. For information regarding assumptions underlying the value of equity awards, see Note 12 to our financial statements included elsewhere in this prospectus. The actual vesting of the PRSU awards will be between 0% and 200% of the target number of PRSU awards granted. These amounts do not necessarily correspond to the actual value recognized or that may be recognized by our named executive officers. The value of the PRSU awards on the date of grant assuming the highest level of performance conditions will be achieved is $10,000,000 for Mr. Beals, $8,000,000 for Mr. Lee, and $6,000,000 for Mr. Feijoo, which is based on maximum vesting of the PRSU awards multiplied by the closing price of our Class A Common Stock on the date prior to the grant date. For additional information regarding the specific terms of the PRSU awards granted to our named executive officers in 2021, see “Outstanding Equity Awards at December 31, 2021” below.</w:t>
      </w:r>
    </w:p>
    <w:p>
      <w:pPr>
        <w:spacing w:after="0" w:line="19" w:lineRule="exact"/>
        <w:rPr>
          <w:rFonts w:ascii="Arial" w:cs="Arial" w:eastAsia="Arial" w:hAnsi="Arial"/>
          <w:sz w:val="13"/>
          <w:szCs w:val="13"/>
          <w:color w:val="auto"/>
        </w:rPr>
      </w:pPr>
    </w:p>
    <w:p>
      <w:pPr>
        <w:ind w:left="640" w:right="299" w:hanging="348"/>
        <w:spacing w:after="0" w:line="290" w:lineRule="auto"/>
        <w:tabs>
          <w:tab w:leader="none" w:pos="6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amounts includes (i) group term life insurance premiums in excess of the broad-based benefit level of $540, $810 and $486 and (ii) matching contributions under our 401(k) plan of $9,312, $11,883 and $12,248 for Messrs. Beals, Lee and Feijoo, respectively.</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2021, the compensation programs for our named executive officers consisted of base salary and incentive compensation delivered in the form of Plan units.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2021, Mr. Lee and Mr. Feijoo were each eligible for annual discretionary cash bonus awards of up to 50% and 70%, respectively, of their annual salary subject to the attainment of performance goals set by our board of directors and our compensation committee. In addition, Mr. Lee received a one-time discretionary cash bonus of $450,000 in connection with the completion of the Business Combination.</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equity award program is the primary vehicle for offering long-term incentives to our executives. We believe that equity awards provide our executives with a strong link to long-term performance, create an ownership culture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Prior to the Business Combination, all of the equity awards Legacy WMH has granted were made pursuant to the 2018 Plan. The terms of our equity plans are described under the section titled “—Employee Benefit Plans” below.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December 2021, we awarded our named executive officers RSUs and PRSUs under our 2021 Plan.</w:t>
      </w:r>
    </w:p>
    <w:p>
      <w:pPr>
        <w:spacing w:after="0" w:line="12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number of RSUs granted to each of our named executive officers was 781,250, 625,000 and 468,750 for Mr. Beals, Mr. Lee and Mr. Feijoo, respectively. The RSUs vest in equal quarterly installments over three years following the vesting commencement date, and vesting terminates upon the named executive officer’s termination of continuous service with us.</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target number of PRSUs granted to each of our named executive officers was 781,250, 625,000 and 468,750 for Mr. Beals, Mr. Lee and Mr. Feijoo, respectively. The PRSUs vest only if we achieve specified performance goals during the performance period beginning on January 1, 2022 and ending on December 31, 2023. The actual number of PRSUs that vest will be determined based upon the following calculation: (i) the sum of</w:t>
      </w:r>
    </w:p>
    <w:p>
      <w:pPr>
        <w:spacing w:after="0" w:line="1" w:lineRule="exact"/>
        <w:rPr>
          <w:sz w:val="20"/>
          <w:szCs w:val="20"/>
          <w:color w:val="auto"/>
        </w:rPr>
      </w:pPr>
    </w:p>
    <w:p>
      <w:pPr>
        <w:jc w:val="both"/>
        <w:ind w:left="300" w:right="299" w:hanging="8"/>
        <w:spacing w:after="0" w:line="253" w:lineRule="auto"/>
        <w:tabs>
          <w:tab w:leader="none" w:pos="61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85"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number of PRSUs that vest will be determined by our compensation committee within 90 days following the end of the performance period, which is referred to as the determination date. Each named executive officer must remain employed by us through the determination date for the PRSU award to vest.</w:t>
      </w:r>
    </w:p>
    <w:p>
      <w:pPr>
        <w:spacing w:after="0" w:line="5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Threshold achievement of the Revenue CAGR performance metric will result in a 50% Revenue CAGR Percentage, target achievement of the Revenue CAGR performance metric will result in a 100% Revenue CAGR Percentage, and maximum achievement of the Revenue CAGR performance metric will result in a 200% Revenue CAGR Percentage, with the Revenue CAGR Percentage interpolated linearly and rounded up the nearest percentage point between these level after threshold performance is attained.</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Threshold achievement of the Adjusted EBITDA Margin performance metric will result in a 50% Adjusted EBITDA Margin Percentage, target achievement of the Adjusted EBITDA Margin performance metric will result in a 100% Adjusted EBITDA Margin Percentage, and maximum achievement of the Adjusted EBITDA Margin performance metric will result in a 200% Adjusted EBITDA Margin Percentage, with the Adjusted EBITDA Margin Percentage interpolated linearly and rounded up the nearest percentage point between these level after threshold performance is attained.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of our named executive officers have entered into an offer letter with Ghost Management Group, LLC, which provide for employment on an at-will basis, and each of our named executive officers is eligible to receive the severance and change in control benefits described under the section titled “—Potential Payments and Benefits upon Termination or Change in Control” below.</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Pursuant to the terms of the offer letter, Mr. Beals’s current annual base salary is $600,000. Mr. Beals also is eligible to participate in the employee benefit plans generally available to our employees and maintained by us.</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Arden Lee</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Mr. Lee previously entered into an offer letter with Ghost Management Group, LLC, dated February 5, 2019. Pursuant to the terms of the offer letter, Mr. Lee’s current annual base salary is $500,000. Mr. Dean also is eligible to participate in the employee benefit plans generally available to our employees and maintained by us.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Juanjo Feijoo</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Feijoo previously entered into an offer letter with Ghost Management Group, LLC, dated April 30, 2019. Pursuant to the terms of the offer letter, Mr. Feijoo’s annual base salary was $400,000, which increased to $440,000 following his promotion to Chief Operating Officer. Mr. Feijoo also is eligible to participate in the employee benefit plans generally available to our employees and maintained by us.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Potential Payments and Benefits upon Termination or Change in Control</w:t>
      </w:r>
    </w:p>
    <w:p>
      <w:pPr>
        <w:spacing w:after="0" w:line="11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In December 2021, we adopted a Severance and Change in Control Plan (the “Severance Plan”). Each of our named executive officers is eligible to receive certain benefits under the terms of the Severance Plan.</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Severance Plan provides for severance and change in control benefits to our named executive officers upon a “change in control termination” or a “regular termination” (each, as described below). Upon a change in control termination, each of our named executive officers is entitled to (i) a lump sum payment equal to a number of months of his base salary (18 months for Mr. Beals and 12 months for our other named executive officers), (ii) a lump sum payment equal to a percentage of the named executive officer’s annual target cash bonus (150% for Mr. Beals and 100% for our other named executive officers), (iii) full vesting acceleration of all outstanding equity awards (with any performance-based vesting awards deemed achieved at target level), and (iv) payment of group health insurance premiums for a number of months (18 months for Mr. Beals and 12 months for our other named executive officers). Upon a regular termination, each of our named executive officers is entitled to (i) continued payment of the named executive officer’s base salary for a number of months (12 months for Mr. Beals and nine months for our other named executive officers), (ii) a lump sum payment equal to a percentage of the named executive officer’s annual target cash bonus (100% for Mr. Beals and 75% for our other named executive officers), and (iii) payment of group health insurance premiums for a number of months (12 months for Mr. Beals and nine months for our other named executive officers). All benefits under the Severance Plan are subject to the named executive officer’s (or, in the case of the named executive officer’s death or disability, his personal representative’s) execution of an effective release of claims against us.</w:t>
      </w:r>
    </w:p>
    <w:p>
      <w:pPr>
        <w:spacing w:after="0" w:line="7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For purposes of the Severance Plan, a “regular termination” is an involuntary termination, which is termination by us without “cause” (and not as a result of death or disability) or a resignation by the named executive officer for “good reason” (each, as defined in the Severance Plan), that does not occur during the period of time beginning three months before the closing of, and ending 12 months following the closing of, a “change in control” (as defined in our 2021 Plan), which we refer to as the “change in control period.” A “change in control termination” is an involuntary termination that occurs during the change in control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2021.</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Equity Awards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Vesting</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Units that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Have Not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Vested</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4640" w:type="dxa"/>
            <w:vAlign w:val="bottom"/>
            <w:gridSpan w:val="2"/>
            <w:vMerge w:val="continue"/>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8/15/2021</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716,146</w:t>
            </w:r>
            <w:r>
              <w:rPr>
                <w:rFonts w:ascii="Arial" w:cs="Arial" w:eastAsia="Arial" w:hAnsi="Arial"/>
                <w:sz w:val="29"/>
                <w:szCs w:val="29"/>
                <w:color w:val="auto"/>
                <w:vertAlign w:val="superscript"/>
              </w:rPr>
              <w:t>(4)</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w w:val="87"/>
              </w:rPr>
              <w:t>4,282,553</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97,656</w:t>
            </w:r>
            <w:r>
              <w:rPr>
                <w:rFonts w:ascii="Arial" w:cs="Arial" w:eastAsia="Arial" w:hAnsi="Arial"/>
                <w:sz w:val="29"/>
                <w:szCs w:val="29"/>
                <w:color w:val="auto"/>
                <w:w w:val="86"/>
                <w:vertAlign w:val="superscript"/>
              </w:rPr>
              <w:t>(5)</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583,983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Arden Lee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2/25/2019</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1"/>
              </w:rPr>
              <w:t>361,534</w:t>
            </w:r>
            <w:r>
              <w:rPr>
                <w:rFonts w:ascii="Arial" w:cs="Arial" w:eastAsia="Arial" w:hAnsi="Arial"/>
                <w:sz w:val="29"/>
                <w:szCs w:val="29"/>
                <w:color w:val="auto"/>
                <w:w w:val="81"/>
                <w:vertAlign w:val="superscript"/>
              </w:rPr>
              <w:t>(1)(2)</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54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65"/>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8/15/2021</w:t>
            </w:r>
          </w:p>
        </w:tc>
        <w:tc>
          <w:tcPr>
            <w:tcW w:w="3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572,917</w:t>
            </w:r>
            <w:r>
              <w:rPr>
                <w:rFonts w:ascii="Arial" w:cs="Arial" w:eastAsia="Arial" w:hAnsi="Arial"/>
                <w:sz w:val="29"/>
                <w:szCs w:val="29"/>
                <w:color w:val="auto"/>
                <w:vertAlign w:val="superscript"/>
              </w:rPr>
              <w:t>(4)</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w w:val="87"/>
              </w:rPr>
              <w:t>3,426,044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78,125</w:t>
            </w:r>
            <w:r>
              <w:rPr>
                <w:rFonts w:ascii="Arial" w:cs="Arial" w:eastAsia="Arial" w:hAnsi="Arial"/>
                <w:sz w:val="29"/>
                <w:szCs w:val="29"/>
                <w:color w:val="auto"/>
                <w:w w:val="86"/>
                <w:vertAlign w:val="superscript"/>
              </w:rPr>
              <w:t>(5)</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467,188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40" w:type="dxa"/>
            <w:vAlign w:val="bottom"/>
            <w:gridSpan w:val="2"/>
          </w:tcPr>
          <w:p>
            <w:pPr>
              <w:spacing w:after="0"/>
              <w:rPr>
                <w:sz w:val="20"/>
                <w:szCs w:val="20"/>
                <w:color w:val="auto"/>
              </w:rPr>
            </w:pPr>
            <w:r>
              <w:rPr>
                <w:rFonts w:ascii="Arial" w:cs="Arial" w:eastAsia="Arial" w:hAnsi="Arial"/>
                <w:sz w:val="18"/>
                <w:szCs w:val="18"/>
                <w:color w:val="auto"/>
              </w:rPr>
              <w:t>Juanjo Feijoo</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5/28/2019</w:t>
            </w:r>
          </w:p>
        </w:tc>
        <w:tc>
          <w:tcPr>
            <w:tcW w:w="3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w w:val="81"/>
              </w:rPr>
              <w:t>185,931</w:t>
            </w:r>
            <w:r>
              <w:rPr>
                <w:rFonts w:ascii="Arial" w:cs="Arial" w:eastAsia="Arial" w:hAnsi="Arial"/>
                <w:sz w:val="29"/>
                <w:szCs w:val="29"/>
                <w:color w:val="auto"/>
                <w:w w:val="81"/>
                <w:vertAlign w:val="superscript"/>
              </w:rPr>
              <w:t>(1)(2)</w:t>
            </w:r>
          </w:p>
        </w:tc>
        <w:tc>
          <w:tcPr>
            <w:tcW w:w="360" w:type="dxa"/>
            <w:vAlign w:val="bottom"/>
          </w:tcPr>
          <w:p>
            <w:pPr>
              <w:spacing w:after="0"/>
              <w:rPr>
                <w:sz w:val="24"/>
                <w:szCs w:val="24"/>
                <w:color w:val="auto"/>
              </w:rPr>
            </w:pPr>
          </w:p>
        </w:tc>
        <w:tc>
          <w:tcPr>
            <w:tcW w:w="1080" w:type="dxa"/>
            <w:vAlign w:val="bottom"/>
            <w:gridSpan w:val="2"/>
          </w:tcPr>
          <w:p>
            <w:pPr>
              <w:ind w:left="54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6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12/8/2020</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1"/>
              </w:rPr>
              <w:t>139,449</w:t>
            </w:r>
            <w:r>
              <w:rPr>
                <w:rFonts w:ascii="Arial" w:cs="Arial" w:eastAsia="Arial" w:hAnsi="Arial"/>
                <w:sz w:val="29"/>
                <w:szCs w:val="29"/>
                <w:color w:val="auto"/>
                <w:w w:val="81"/>
                <w:vertAlign w:val="superscript"/>
              </w:rPr>
              <w:t>(1)(2)</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54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6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5/15/2021</w:t>
            </w:r>
          </w:p>
        </w:tc>
        <w:tc>
          <w:tcPr>
            <w:tcW w:w="3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390,626</w:t>
            </w:r>
            <w:r>
              <w:rPr>
                <w:rFonts w:ascii="Arial" w:cs="Arial" w:eastAsia="Arial" w:hAnsi="Arial"/>
                <w:sz w:val="29"/>
                <w:szCs w:val="29"/>
                <w:color w:val="auto"/>
                <w:vertAlign w:val="superscript"/>
              </w:rPr>
              <w:t>(4)</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w w:val="87"/>
              </w:rPr>
              <w:t>2,335,943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58,593</w:t>
            </w:r>
            <w:r>
              <w:rPr>
                <w:rFonts w:ascii="Arial" w:cs="Arial" w:eastAsia="Arial" w:hAnsi="Arial"/>
                <w:sz w:val="29"/>
                <w:szCs w:val="29"/>
                <w:color w:val="auto"/>
                <w:w w:val="86"/>
                <w:vertAlign w:val="superscript"/>
              </w:rPr>
              <w:t>(5)</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350,386</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-2099945</wp:posOffset>
            </wp:positionV>
            <wp:extent cx="1117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-2099945</wp:posOffset>
            </wp:positionV>
            <wp:extent cx="2228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-2099945</wp:posOffset>
            </wp:positionV>
            <wp:extent cx="2228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-2099945</wp:posOffset>
            </wp:positionV>
            <wp:extent cx="2228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Class P Units.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Class P Units represent profits interests in WM Holding Company, LLC and no value is realized as a result of vesting of these units.</w:t>
      </w:r>
    </w:p>
    <w:p>
      <w:pPr>
        <w:spacing w:after="0" w:line="53" w:lineRule="exact"/>
        <w:rPr>
          <w:rFonts w:ascii="Arial" w:cs="Arial" w:eastAsia="Arial" w:hAnsi="Arial"/>
          <w:sz w:val="13"/>
          <w:szCs w:val="13"/>
          <w:color w:val="auto"/>
        </w:rPr>
      </w:pPr>
    </w:p>
    <w:p>
      <w:pPr>
        <w:jc w:val="both"/>
        <w:ind w:left="640" w:right="299" w:hanging="348"/>
        <w:spacing w:after="0" w:line="289" w:lineRule="auto"/>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RSUs will vest on a quarterly pro rata basis over three years beginning on the vesting commencement date,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 w:lineRule="exact"/>
        <w:rPr>
          <w:rFonts w:ascii="Arial" w:cs="Arial" w:eastAsia="Arial" w:hAnsi="Arial"/>
          <w:sz w:val="12"/>
          <w:szCs w:val="12"/>
          <w:color w:val="auto"/>
        </w:rPr>
      </w:pPr>
    </w:p>
    <w:p>
      <w:pPr>
        <w:jc w:val="both"/>
        <w:ind w:left="640" w:right="299" w:hanging="348"/>
        <w:spacing w:after="0" w:line="264" w:lineRule="auto"/>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PRSUs will vest in accordance with the performance-based vesting conditions described above under “—Equity-Based Incentive Awards.” The number of shares subject to each named executive officer’s PRSU award assumes threshold achievement, with the Adjusted EBITDA Margin Percentage deemed to equal 50% and Revenue CAGR Percentage deemed to equal 0%.</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2021 Equity Incentive Plan</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June 2021, our board of directors adopted and our stockholders approved the WM Technology, Inc. 2021 Equity Incentive Plan (the “2021 Plan”). The 2021 Plan became effective immediately upon the Closing.</w:t>
      </w:r>
    </w:p>
    <w:p>
      <w:pPr>
        <w:spacing w:after="0" w:line="3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employees, consultants and directors, and employees and consultants of our affiliates,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2021 Plan.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The number of shares of common stock initially reserved for issuance under the equity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is the amount of shares of common stock equal to 11% of the sum of (i) the number of shares of our common stock outstanding as of the consummation of the Business Combination and (ii) the number of shares of our common stock underlying securities convertible into our common stock. The number 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equal to 300% of the number of shares of common stock initially reserved under the equity incentive plan. Shares issued under the equity incentive plan may be authorized but unissued or reacquired</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thereof, will have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administer the equity incentive plan. Our 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28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Tax Limitations on ISOs</w:t>
      </w:r>
      <w:r>
        <w:rPr>
          <w:rFonts w:ascii="Arial" w:cs="Arial" w:eastAsia="Arial" w:hAnsi="Arial"/>
          <w:sz w:val="16"/>
          <w:szCs w:val="16"/>
          <w:color w:val="auto"/>
        </w:rPr>
        <w:t>. The aggregate fair market value, determined at the time of grant,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ISOs that are exercisable 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5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under restricted stock award agreements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Units</w:t>
      </w:r>
      <w:r>
        <w:rPr>
          <w:rFonts w:ascii="Arial" w:cs="Arial" w:eastAsia="Arial" w:hAnsi="Arial"/>
          <w:sz w:val="16"/>
          <w:szCs w:val="16"/>
          <w:color w:val="auto"/>
        </w:rPr>
        <w:t>. The equity incentive plan permits the grant of awards in the form of any class of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interests in WMH LLC, the entity through which we conducts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or shares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common stock, or may be valued by reference to the book value, fair market value or performance of WMH. Awards of Units may be intended to qualify as “profits interests” within the meaning of IRS Revenue Procedure 93-27, as clarified by IRS Revenue Procedure 2001-43, with respect to any participant who is rendering services to or for the benefit of WMH,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7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plan administrator will set the number of shares under the stock award and all other terms and conditions of such awards.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by us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individual for service as a non-employee director with respect to any calendar year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8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following applies to stock awards under the equity incentive plan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transaction, as defined in the 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equity incentive plan,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equity incentive plan will not receive automatic acceleration of vesting and exercisability, although this treatment may be provided for in an award agreement.</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will have the authority to amend, suspend,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incentive plan, provided 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December 31, 2020, the maximum aggregate number of Plan Units authorized for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under the 2018 Plan was 274,822, 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March 31, 2021, 274,780 Plan Units were outstanding under the 2018 Plan.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Prior to the Business Combination, the 2018 Plan was administered by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or one or more of 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Plan Units</w:t>
      </w:r>
      <w:r>
        <w:rPr>
          <w:rFonts w:ascii="Arial" w:cs="Arial" w:eastAsia="Arial" w:hAnsi="Arial"/>
          <w:sz w:val="17"/>
          <w:szCs w:val="17"/>
          <w:color w:val="auto"/>
        </w:rPr>
        <w:t>. Plan Units granted under the 2018 Plan may be subject to various restrictions, including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transferability and forfeiture 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governed by the terms of the Amended Operating Agreement, the 2018 Plan and the applicable award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The outstanding Plan Units are subject to adjustment, exchange, replacement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then unvested, cancellation for no consideration by us, in our capacity as managing member of WMH LLC, 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Amended Operating Agreement.</w:t>
      </w:r>
    </w:p>
    <w:p>
      <w:pPr>
        <w:spacing w:after="0" w:line="5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Amendment, Suspension and Termination</w:t>
      </w:r>
      <w:r>
        <w:rPr>
          <w:rFonts w:ascii="Arial" w:cs="Arial" w:eastAsia="Arial" w:hAnsi="Arial"/>
          <w:sz w:val="18"/>
          <w:szCs w:val="18"/>
          <w:color w:val="auto"/>
        </w:rPr>
        <w:t>. We, in our capacity as managing member of WMH LLC,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amend, suspend or terminate all or any part of the 2018 Plan in our sole discretion, subject to the terms of the 2018 Plan and the Amended Operating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Operating Company Agreement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Rights of the Units</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Restrictions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Class A Units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56"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the Closing Date, Silver Spike Sponsor was paid an aggregate of $79,074 for office space, administrative and support services and was entitled to be reimbursed for any out-of-pocket expenses.</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the Closing Date, Silver Spike Sponsor, and its respective affiliates were paid an aggregate of $88,252.</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the Closing Date.</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PIPE Subscription Agreements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Certain immediate family members of Douglas Francis, Legacy WMH’s former chief executive officer and a current member of our board of managers, provide services to us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Russell Francis was formerly employed as one of our UI/UX developers. Mr. R. Francis, who is a brother of Mr. Francis, earned $198,606 and $15,300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Troy Francis formerly provided services to us as an independent contractor. Mr. T. Francis, who is a brother of Mr. Francis, earned $151,320 and $4,602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Kathleen Joosten was formerly employed as a corporate attorney in our legal department. Ms. Joosten, who is the sister-in-law of Mr. Francis, earned $163,462 and $167,427 in compensation in 2019 and 2020, respectively, and $151,889 in compensation in the year ended December 31, 2021.</w:t>
      </w:r>
    </w:p>
    <w:p>
      <w:pPr>
        <w:spacing w:after="0" w:line="57"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Len Townsend, who is Justin Hartfield’s father-in-law, formerly provided services to us as an independent contractor. Mr. Townsend earned $240,000 in 2019 and no compensation in 2020 and 2021, respectively, and no compensation in the year ended December 31, 2021.</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WCC MGMT, LLC is a business of which each of Messrs. Francis and Hartfield indirectly own a minority interest. WCC MGMT, LLC uses our listing products and has participated in other brand promotion opportunities.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WCC MGMT, LLC paid us a total of $98,495, $536,750 and $507,935 in 2019, 2020 and 2021 respectively, for such products and services. Mr. Beals indirectly owned a minority interest in WCC MGMT, LLC, but relinquished his indirect interest in April 2019.</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a note payable to Mr. Hartfield and that certain Global Securities Purchase, Consulting, and Resignation Agreement dated as of July 31, 2012, by and among Searchcore, Weedmaps Media, Inc. and Justin Hartfield, we paid Mr. Hartfield $0, $0 and $0 in 2019, 2020 and 2021 respectively. All obligations to Mr. Francis and Mr. Hartfield under these arrangements have been paid in full.</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entered into indemnification agreements with our directors and executive officers. For a description of these agreements, see the section entitled “Management—Limitation of Liability and Indemnification.”</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February 18, 2022,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4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beneficial ownership percentages set forth in the table below are based on 135,901,414 shares of our Class A Common Stock and Class V Common Stock issued and outstanding as of February 18, 2022 and do not take into account the issuance of any shares of Class A Common Stock upon (i) the exercise of 19,499,993 Warrants to purchase an aggregate of 19,499,993 shares of Class A Common Stock or (ii) the exchange of 25,660,529 Class P Units for up to 25,660,529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5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Class A</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Class V</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Combined %</w:t>
            </w: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Common</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Class A</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of Class V</w:t>
            </w: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3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243"/>
        </w:trPr>
        <w:tc>
          <w:tcPr>
            <w:tcW w:w="30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(3)</w:t>
            </w:r>
          </w:p>
        </w:tc>
        <w:tc>
          <w:tcPr>
            <w:tcW w:w="0" w:type="dxa"/>
            <w:vAlign w:val="bottom"/>
          </w:tcPr>
          <w:p>
            <w:pPr>
              <w:spacing w:after="0"/>
              <w:rPr>
                <w:sz w:val="1"/>
                <w:szCs w:val="1"/>
                <w:color w:val="auto"/>
              </w:rPr>
            </w:pPr>
          </w:p>
        </w:tc>
      </w:tr>
      <w:tr>
        <w:trPr>
          <w:trHeight w:val="263"/>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w:t>
            </w:r>
          </w:p>
        </w:tc>
        <w:tc>
          <w:tcPr>
            <w:tcW w:w="3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Officers:</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Christopher Beals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130,208</w:t>
            </w:r>
          </w:p>
        </w:tc>
        <w:tc>
          <w:tcPr>
            <w:tcW w:w="26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6,166,819</w:t>
            </w:r>
          </w:p>
        </w:tc>
        <w:tc>
          <w:tcPr>
            <w:tcW w:w="2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Arden Lee</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104,166</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Juan Jose Feijoo-Osorio</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117,186</w:t>
            </w:r>
          </w:p>
        </w:tc>
        <w:tc>
          <w:tcPr>
            <w:tcW w:w="26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3"/>
                <w:szCs w:val="2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Anthony Bay</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26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65"/>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(5)</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27,700,850</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64"/>
        </w:trPr>
        <w:tc>
          <w:tcPr>
            <w:tcW w:w="3020" w:type="dxa"/>
            <w:vAlign w:val="bottom"/>
          </w:tcPr>
          <w:p>
            <w:pPr>
              <w:spacing w:after="0"/>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(6)</w:t>
            </w: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29,328,310</w:t>
            </w:r>
          </w:p>
        </w:tc>
        <w:tc>
          <w:tcPr>
            <w:tcW w:w="28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Scott Gordon</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Fiona Tan</w:t>
            </w:r>
          </w:p>
        </w:tc>
        <w:tc>
          <w:tcPr>
            <w:tcW w:w="30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Olga Gonzalez</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Brenda Freeman</w:t>
            </w:r>
          </w:p>
        </w:tc>
        <w:tc>
          <w:tcPr>
            <w:tcW w:w="30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Directors and Executive Officers of the</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Company as a Group</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02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b w:val="1"/>
                <w:bCs w:val="1"/>
                <w:color w:val="auto"/>
              </w:rPr>
              <w:t>(12 Individuals)</w:t>
            </w:r>
            <w:r>
              <w:rPr>
                <w:rFonts w:ascii="Arial" w:cs="Arial" w:eastAsia="Arial" w:hAnsi="Arial"/>
                <w:sz w:val="29"/>
                <w:szCs w:val="29"/>
                <w:b w:val="1"/>
                <w:bCs w:val="1"/>
                <w:color w:val="auto"/>
                <w:vertAlign w:val="superscript"/>
              </w:rPr>
              <w:t>(7)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5,445,308</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54,726,788</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83.5%</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(5)(6)</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8,469,191</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3"/>
        </w:trPr>
        <w:tc>
          <w:tcPr>
            <w:tcW w:w="3020" w:type="dxa"/>
            <w:vAlign w:val="bottom"/>
          </w:tcPr>
          <w:p>
            <w:pPr>
              <w:spacing w:after="0"/>
              <w:rPr>
                <w:sz w:val="20"/>
                <w:szCs w:val="20"/>
                <w:color w:val="auto"/>
              </w:rPr>
            </w:pPr>
            <w:r>
              <w:rPr>
                <w:rFonts w:ascii="Arial" w:cs="Arial" w:eastAsia="Arial" w:hAnsi="Arial"/>
                <w:sz w:val="18"/>
                <w:szCs w:val="18"/>
                <w:color w:val="auto"/>
              </w:rPr>
              <w:t>Luxor Capital Group, LP</w:t>
            </w:r>
            <w:r>
              <w:rPr>
                <w:rFonts w:ascii="Arial" w:cs="Arial" w:eastAsia="Arial" w:hAnsi="Arial"/>
                <w:sz w:val="29"/>
                <w:szCs w:val="29"/>
                <w:color w:val="auto"/>
                <w:vertAlign w:val="superscript"/>
              </w:rPr>
              <w:t>(8)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7,356,117</w:t>
            </w:r>
          </w:p>
        </w:tc>
        <w:tc>
          <w:tcPr>
            <w:tcW w:w="26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-3917950</wp:posOffset>
            </wp:positionV>
            <wp:extent cx="1714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-3917950</wp:posOffset>
            </wp:positionV>
            <wp:extent cx="1714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-3917950</wp:posOffset>
            </wp:positionV>
            <wp:extent cx="1714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-3917950</wp:posOffset>
            </wp:positionV>
            <wp:extent cx="17145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-3917950</wp:posOffset>
            </wp:positionV>
            <wp:extent cx="1885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9" w:lineRule="exact"/>
        <w:rPr>
          <w:sz w:val="20"/>
          <w:szCs w:val="20"/>
          <w:color w:val="auto"/>
        </w:rPr>
      </w:pPr>
    </w:p>
    <w:p>
      <w:pPr>
        <w:ind w:left="640" w:hanging="348"/>
        <w:spacing w:after="0"/>
        <w:tabs>
          <w:tab w:leader="none" w:pos="6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(together, a “Paired Interest”) is exchangeable for shares of Class A Common Stock on a one-for-one basis from time to time at and after December 13, 2021, unless we determine to pay cash consideration for such Paired Interests.</w:t>
      </w:r>
    </w:p>
    <w:p>
      <w:pPr>
        <w:sectPr>
          <w:pgSz w:w="11900" w:h="16838" w:orient="portrait"/>
          <w:cols w:equalWidth="0" w:num="1">
            <w:col w:w="9019"/>
          </w:cols>
          <w:pgMar w:left="1440" w:top="265"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299" w:hanging="348"/>
        <w:spacing w:after="0" w:line="253"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pacing w:after="0" w:line="11" w:lineRule="exact"/>
        <w:rPr>
          <w:rFonts w:ascii="Arial" w:cs="Arial" w:eastAsia="Arial" w:hAnsi="Arial"/>
          <w:sz w:val="14"/>
          <w:szCs w:val="14"/>
          <w:color w:val="auto"/>
        </w:rPr>
      </w:pPr>
    </w:p>
    <w:p>
      <w:pPr>
        <w:jc w:val="both"/>
        <w:ind w:left="640" w:right="299" w:hanging="348"/>
        <w:spacing w:after="0" w:line="227"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23"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4"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Consists of 54,726,788 shares of Class V Common Stock beneficially owned by our directors and executive officers.</w:t>
      </w:r>
    </w:p>
    <w:p>
      <w:pPr>
        <w:spacing w:after="0" w:line="41"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7,244,585 shares of Class A Common Stock held by Lugard Road Capital Master Fund, LP (“Lugard”) beneficially owned by Luxor Capital Group, LP, the investment manager of Lugard, 36,888 shares of Class A Common Stock held by Luxor Capital Partners Offshore Master Fund, LP (“Luxor Offshore”) beneficially owned by Luxor Capital Group, LP, the investment manager of Luxor Offshore, 60,148 shares of Class A Common Stock held by Luxor Capital Partners, LP (“Luxor Capital”) beneficially owned by Luxor Capital Group, LP, the investment manager of Luxor Capital and 14,496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Securityholders acquired 1,938,798 shares of Class A Common Stock (the “Shares”), consisting of</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  1,244,258  shares  of  Class A  Common  Stock  issued  pursuant  to  the  Asset  Purchase  Agreement  and</w:t>
      </w:r>
    </w:p>
    <w:p>
      <w:pPr>
        <w:spacing w:after="0" w:line="21" w:lineRule="exact"/>
        <w:rPr>
          <w:sz w:val="20"/>
          <w:szCs w:val="20"/>
          <w:color w:val="auto"/>
        </w:rPr>
      </w:pPr>
    </w:p>
    <w:p>
      <w:pPr>
        <w:jc w:val="both"/>
        <w:ind w:left="300" w:right="319" w:hanging="8"/>
        <w:spacing w:after="0" w:line="253" w:lineRule="auto"/>
        <w:tabs>
          <w:tab w:leader="none" w:pos="5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Common Stock were issued to the Selling Securityholders in reliance on the exemption from registration in Section 4(a)(2) under the Securities Act.</w:t>
      </w:r>
    </w:p>
    <w:p>
      <w:pPr>
        <w:spacing w:after="0" w:line="8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these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registered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65,677,361 shares of our Class A Common Stock issued and outstanding as of November 24, 2021.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Information with respect to shares of Class A Common Stock owned beneficially after the offering assumes the sale of all of the shares of Class A Common Stock offered and no other purchases or sales of our Class A Common Stock. The Selling Securityholders may offer and sell some, all or none of their shares of Class A Common Stock, as applicable.</w:t>
      </w:r>
    </w:p>
    <w:p>
      <w:pPr>
        <w:spacing w:after="0" w:line="7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tbl>
      <w:tblPr>
        <w:tblLayout w:type="fixed"/>
        <w:tblInd w:w="300" w:type="dxa"/>
        <w:tblCellMar>
          <w:top w:w="0" w:type="dxa"/>
          <w:left w:w="0" w:type="dxa"/>
          <w:bottom w:w="0" w:type="dxa"/>
          <w:right w:w="0" w:type="dxa"/>
        </w:tblCellMar>
      </w:tblPr>
      <w:tr>
        <w:trPr>
          <w:trHeight w:val="161"/>
        </w:trPr>
        <w:tc>
          <w:tcPr>
            <w:tcW w:w="452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Shares of ClassA</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 of Class A</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right"/>
              <w:ind w:right="151"/>
              <w:spacing w:after="0" w:line="149"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Beneficially Owned</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7"/>
              </w:rPr>
              <w:t>Prior to the Offering</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Being</w:t>
            </w:r>
          </w:p>
        </w:tc>
        <w:tc>
          <w:tcPr>
            <w:tcW w:w="2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Percent</w:t>
            </w:r>
          </w:p>
        </w:tc>
        <w:tc>
          <w:tcPr>
            <w:tcW w:w="1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45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&amp; Ellen Astrove</w:t>
            </w:r>
            <w:r>
              <w:rPr>
                <w:rFonts w:ascii="Arial" w:cs="Arial" w:eastAsia="Arial" w:hAnsi="Arial"/>
                <w:sz w:val="29"/>
                <w:szCs w:val="29"/>
                <w:color w:val="auto"/>
                <w:vertAlign w:val="superscript"/>
              </w:rPr>
              <w:t>(1)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520" w:type="dxa"/>
            <w:vAlign w:val="bottom"/>
            <w:gridSpan w:val="3"/>
          </w:tcPr>
          <w:p>
            <w:pPr>
              <w:spacing w:after="0"/>
              <w:rPr>
                <w:sz w:val="20"/>
                <w:szCs w:val="20"/>
                <w:color w:val="auto"/>
              </w:rPr>
            </w:pPr>
            <w:r>
              <w:rPr>
                <w:rFonts w:ascii="Arial" w:cs="Arial" w:eastAsia="Arial" w:hAnsi="Arial"/>
                <w:sz w:val="18"/>
                <w:szCs w:val="18"/>
                <w:color w:val="auto"/>
              </w:rPr>
              <w:t>Ashwin Surajbali</w:t>
            </w:r>
            <w:r>
              <w:rPr>
                <w:rFonts w:ascii="Arial" w:cs="Arial" w:eastAsia="Arial" w:hAnsi="Arial"/>
                <w:sz w:val="29"/>
                <w:szCs w:val="29"/>
                <w:color w:val="auto"/>
                <w:vertAlign w:val="superscript"/>
              </w:rPr>
              <w:t>(2)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197,843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197,843</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Nathan Albert</w:t>
            </w:r>
            <w:r>
              <w:rPr>
                <w:rFonts w:ascii="Arial" w:cs="Arial" w:eastAsia="Arial" w:hAnsi="Arial"/>
                <w:sz w:val="29"/>
                <w:szCs w:val="29"/>
                <w:color w:val="auto"/>
                <w:vertAlign w:val="superscript"/>
              </w:rPr>
              <w:t>(3)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32,974</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color w:val="auto"/>
              </w:rPr>
              <w:t>Diane Roskind</w:t>
            </w:r>
            <w:r>
              <w:rPr>
                <w:rFonts w:ascii="Arial" w:cs="Arial" w:eastAsia="Arial" w:hAnsi="Arial"/>
                <w:sz w:val="29"/>
                <w:szCs w:val="29"/>
                <w:color w:val="auto"/>
                <w:vertAlign w:val="superscript"/>
              </w:rPr>
              <w:t>(4)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14,184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14,184</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DJK Morris Investments, LLC</w:t>
            </w:r>
            <w:r>
              <w:rPr>
                <w:rFonts w:ascii="Arial" w:cs="Arial" w:eastAsia="Arial" w:hAnsi="Arial"/>
                <w:sz w:val="29"/>
                <w:szCs w:val="29"/>
                <w:color w:val="auto"/>
                <w:vertAlign w:val="superscript"/>
              </w:rPr>
              <w:t>(5)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395,760</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color w:val="auto"/>
              </w:rPr>
              <w:t>Farzin Arsanjani</w:t>
            </w:r>
            <w:r>
              <w:rPr>
                <w:rFonts w:ascii="Arial" w:cs="Arial" w:eastAsia="Arial" w:hAnsi="Arial"/>
                <w:sz w:val="29"/>
                <w:szCs w:val="29"/>
                <w:color w:val="auto"/>
                <w:vertAlign w:val="superscript"/>
              </w:rPr>
              <w:t>(6)</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Ian Cohen</w:t>
            </w:r>
            <w:r>
              <w:rPr>
                <w:rFonts w:ascii="Arial" w:cs="Arial" w:eastAsia="Arial" w:hAnsi="Arial"/>
                <w:sz w:val="29"/>
                <w:szCs w:val="29"/>
                <w:color w:val="auto"/>
                <w:vertAlign w:val="superscript"/>
              </w:rPr>
              <w:t>(7)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color w:val="auto"/>
              </w:rPr>
              <w:t>Jennifer Goldman-Brisman</w:t>
            </w:r>
            <w:r>
              <w:rPr>
                <w:rFonts w:ascii="Arial" w:cs="Arial" w:eastAsia="Arial" w:hAnsi="Arial"/>
                <w:sz w:val="29"/>
                <w:szCs w:val="29"/>
                <w:color w:val="auto"/>
                <w:vertAlign w:val="superscript"/>
              </w:rPr>
              <w:t>(8)</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LCP Group, L.P.</w:t>
            </w:r>
            <w:r>
              <w:rPr>
                <w:rFonts w:ascii="Arial" w:cs="Arial" w:eastAsia="Arial" w:hAnsi="Arial"/>
                <w:sz w:val="29"/>
                <w:szCs w:val="29"/>
                <w:color w:val="auto"/>
                <w:vertAlign w:val="superscript"/>
              </w:rPr>
              <w:t>(9)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520" w:type="dxa"/>
            <w:vAlign w:val="bottom"/>
            <w:gridSpan w:val="3"/>
          </w:tcPr>
          <w:p>
            <w:pPr>
              <w:spacing w:after="0"/>
              <w:rPr>
                <w:sz w:val="20"/>
                <w:szCs w:val="20"/>
                <w:color w:val="auto"/>
              </w:rPr>
            </w:pPr>
            <w:r>
              <w:rPr>
                <w:rFonts w:ascii="Arial" w:cs="Arial" w:eastAsia="Arial" w:hAnsi="Arial"/>
                <w:sz w:val="18"/>
                <w:szCs w:val="18"/>
                <w:color w:val="auto"/>
              </w:rPr>
              <w:t>LeRoy Robinson</w:t>
            </w:r>
            <w:r>
              <w:rPr>
                <w:rFonts w:ascii="Arial" w:cs="Arial" w:eastAsia="Arial" w:hAnsi="Arial"/>
                <w:sz w:val="29"/>
                <w:szCs w:val="29"/>
                <w:color w:val="auto"/>
                <w:vertAlign w:val="superscript"/>
              </w:rPr>
              <w:t>(10)</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3,175</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M&amp;S Investment Group, LLC</w:t>
            </w:r>
            <w:r>
              <w:rPr>
                <w:rFonts w:ascii="Arial" w:cs="Arial" w:eastAsia="Arial" w:hAnsi="Arial"/>
                <w:sz w:val="29"/>
                <w:szCs w:val="29"/>
                <w:color w:val="auto"/>
                <w:vertAlign w:val="superscript"/>
              </w:rPr>
              <w:t>(11)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color w:val="auto"/>
              </w:rPr>
              <w:t>MembersRSVP, LLC</w:t>
            </w:r>
            <w:r>
              <w:rPr>
                <w:rFonts w:ascii="Arial" w:cs="Arial" w:eastAsia="Arial" w:hAnsi="Arial"/>
                <w:sz w:val="29"/>
                <w:szCs w:val="29"/>
                <w:color w:val="auto"/>
                <w:vertAlign w:val="superscript"/>
              </w:rPr>
              <w:t>(12)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1,244,258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1,244,258</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65"/>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Schlaefer</w:t>
            </w:r>
            <w:r>
              <w:rPr>
                <w:rFonts w:ascii="Arial" w:cs="Arial" w:eastAsia="Arial" w:hAnsi="Arial"/>
                <w:sz w:val="29"/>
                <w:szCs w:val="29"/>
                <w:color w:val="auto"/>
                <w:vertAlign w:val="superscript"/>
              </w:rPr>
              <w:t>(13)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4520" w:type="dxa"/>
            <w:vAlign w:val="bottom"/>
            <w:gridSpan w:val="3"/>
          </w:tcPr>
          <w:p>
            <w:pPr>
              <w:spacing w:after="0"/>
              <w:rPr>
                <w:sz w:val="20"/>
                <w:szCs w:val="20"/>
                <w:color w:val="auto"/>
              </w:rPr>
            </w:pPr>
            <w:r>
              <w:rPr>
                <w:rFonts w:ascii="Arial" w:cs="Arial" w:eastAsia="Arial" w:hAnsi="Arial"/>
                <w:sz w:val="18"/>
                <w:szCs w:val="18"/>
                <w:color w:val="auto"/>
              </w:rPr>
              <w:t>Yael Morris</w:t>
            </w:r>
            <w:r>
              <w:rPr>
                <w:rFonts w:ascii="Arial" w:cs="Arial" w:eastAsia="Arial" w:hAnsi="Arial"/>
                <w:sz w:val="29"/>
                <w:szCs w:val="29"/>
                <w:color w:val="auto"/>
                <w:vertAlign w:val="superscript"/>
              </w:rPr>
              <w:t>(14)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-3300730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-3300730</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-3300730</wp:posOffset>
            </wp:positionV>
            <wp:extent cx="1289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-3300730</wp:posOffset>
            </wp:positionV>
            <wp:extent cx="120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-3300730</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144780</wp:posOffset>
            </wp:positionV>
            <wp:extent cx="8229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7" w:lineRule="exact"/>
        <w:rPr>
          <w:sz w:val="20"/>
          <w:szCs w:val="20"/>
          <w:color w:val="auto"/>
        </w:rPr>
      </w:pPr>
    </w:p>
    <w:p>
      <w:pPr>
        <w:ind w:left="640" w:hanging="348"/>
        <w:spacing w:after="0"/>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Each of Andrew Astrove and Ellen Astrove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Ashwin Surajbali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Bradley Nathan Albert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Diane Roskind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Keith E. Morris is deemed to have power to vote or dispose of the Registrable Securities. Keith E. Morris is our Vice President.</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Farzin Arsanjani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Ian Cohen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Jennifer Goldman-Brisman is deemed to have power to vote or dispose of the Registrable Securities.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 Robert Roskind, in his capacity as Founder and Chairman of LCP Group, L.P., is deemed to have investment discretion and voting power over the Registrable Securities held by LCP Group, L.P.</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LeRoy Robinson is deemed to have power to vote or dispose of the Registrable Securities.</w:t>
      </w:r>
    </w:p>
    <w:p>
      <w:pPr>
        <w:spacing w:after="0" w:line="4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38"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ind w:left="640" w:hanging="348"/>
        <w:spacing w:after="0" w:line="181" w:lineRule="auto"/>
        <w:tabs>
          <w:tab w:leader="none" w:pos="640" w:val="left"/>
        </w:tabs>
        <w:numPr>
          <w:ilvl w:val="0"/>
          <w:numId w:val="57"/>
        </w:numPr>
        <w:rPr>
          <w:rFonts w:ascii="Arial" w:cs="Arial" w:eastAsia="Arial" w:hAnsi="Arial"/>
          <w:sz w:val="28"/>
          <w:szCs w:val="28"/>
          <w:color w:val="auto"/>
          <w:vertAlign w:val="superscript"/>
        </w:rPr>
      </w:pPr>
      <w:r>
        <w:rPr>
          <w:rFonts w:ascii="Arial" w:cs="Arial" w:eastAsia="Arial" w:hAnsi="Arial"/>
          <w:sz w:val="14"/>
          <w:szCs w:val="14"/>
          <w:color w:val="auto"/>
        </w:rPr>
        <w:t>Michael Schlaefer is deemed to have power to vote or dispose of the Registrable Securities.</w:t>
      </w:r>
    </w:p>
    <w:p>
      <w:pPr>
        <w:spacing w:after="0" w:line="32" w:lineRule="exact"/>
        <w:rPr>
          <w:rFonts w:ascii="Arial" w:cs="Arial" w:eastAsia="Arial" w:hAnsi="Arial"/>
          <w:sz w:val="28"/>
          <w:szCs w:val="28"/>
          <w:color w:val="auto"/>
          <w:vertAlign w:val="superscript"/>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Yael Morris is deemed to have power to vote or dispose of the Registrable Securities.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Certificate of Incorporation authorizes the issuance of 2,075,000,000 shares of capital stock, consisting of (x) 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February 18, 2022, there were (1) 70,399,067 shares of Class A Common Stock, (2) 65,502,347 shares of Class V Common Stock and no shares of preferred stock outstanding.</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6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12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80"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6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7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w:t>
      </w:r>
    </w:p>
    <w:p>
      <w:pPr>
        <w:spacing w:after="0" w:line="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6"/>
          <w:szCs w:val="16"/>
          <w:color w:val="auto"/>
        </w:rPr>
        <w:t>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w:t>
      </w:r>
    </w:p>
    <w:p>
      <w:pPr>
        <w:spacing w:after="0" w:line="1"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6"/>
          <w:szCs w:val="16"/>
          <w:color w:val="auto"/>
        </w:rPr>
        <w:t>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9"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4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76" w:lineRule="exact"/>
        <w:rPr>
          <w:sz w:val="20"/>
          <w:szCs w:val="20"/>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discussion, a “non-U.S. Holder” is a beneficial owner of our securities that is neither a U.S.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Holder nor a partnership or an entity or arrangement treated as a partnership for U.S. federal income tax purposes.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below. In addition, if we determine that we are likely to be classified as a “United States real property holding corporation” (see the section entitled “Non-U.S. Holders—Gain on Sale, Exchange or Other Taxable Disposition of Class A Common Stock” below), we will withhold 15% of any distribution that exceeds our current and accumulated earnings and profits.</w:t>
      </w:r>
    </w:p>
    <w:p>
      <w:pPr>
        <w:spacing w:after="0" w:line="7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A non-U.S. Holder generally will not be subject to U.S. federal income or withholding tax in respect of gain recognized on a sale, taxable exchange or other taxable disposition of our Class A Common Stock, unless:</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7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67" w:lineRule="auto"/>
        <w:tabs>
          <w:tab w:leader="none" w:pos="562"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Selling Securityholders may sell their securities by one or more of, or a combination of, the following methods:</w:t>
      </w:r>
    </w:p>
    <w:p>
      <w:pPr>
        <w:spacing w:after="0" w:line="49" w:lineRule="exact"/>
        <w:rPr>
          <w:sz w:val="20"/>
          <w:szCs w:val="20"/>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03"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51"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distribution to employees, members, limited partners or stockholders of the Selling Securityholders;</w:t>
      </w:r>
    </w:p>
    <w:p>
      <w:pPr>
        <w:spacing w:after="0" w:line="115"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90"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5"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any securities offered by this prospectus will be passed upon for us by Cooley LLP.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r>
        <w:rPr>
          <w:rFonts w:ascii="Arial" w:cs="Arial" w:eastAsia="Arial" w:hAnsi="Arial"/>
          <w:sz w:val="29"/>
          <w:szCs w:val="29"/>
          <w:b w:val="1"/>
          <w:bCs w:val="1"/>
          <w:color w:val="auto"/>
          <w:vertAlign w:val="superscript"/>
        </w:rPr>
        <w:t>21</w:t>
      </w:r>
    </w:p>
    <w:p>
      <w:pPr>
        <w:spacing w:after="0" w:line="47"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The consolidated financial statements of the Company as of December 31, 2021, 2020 and 2019 and for each of the years in periods ended December 31, 2021,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WMTI operates, have been included in this prospectus in reliance upon such reports and upon the authority of such firm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8229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 w:lineRule="exact"/>
        <w:rPr>
          <w:sz w:val="20"/>
          <w:szCs w:val="20"/>
          <w:color w:val="auto"/>
        </w:rPr>
      </w:pPr>
    </w:p>
    <w:p>
      <w:pPr>
        <w:ind w:left="460" w:hanging="168"/>
        <w:spacing w:after="0"/>
        <w:tabs>
          <w:tab w:leader="none" w:pos="46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BT to review.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4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300" w:type="dxa"/>
            <w:vAlign w:val="bottom"/>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31"/>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w:t>
              </w:r>
            </w:hyperlink>
          </w:p>
        </w:tc>
        <w:tc>
          <w:tcPr>
            <w:tcW w:w="1880" w:type="dxa"/>
            <w:vAlign w:val="bottom"/>
          </w:tcPr>
          <w:p>
            <w:pPr>
              <w:spacing w:after="0"/>
              <w:rPr>
                <w:sz w:val="19"/>
                <w:szCs w:val="19"/>
                <w:color w:val="auto"/>
              </w:rPr>
            </w:pPr>
          </w:p>
        </w:tc>
        <w:tc>
          <w:tcPr>
            <w:tcW w:w="1640" w:type="dxa"/>
            <w:vAlign w:val="bottom"/>
            <w:gridSpan w:val="3"/>
          </w:tcPr>
          <w:p>
            <w:pPr>
              <w:jc w:val="right"/>
              <w:ind w:right="1320"/>
              <w:spacing w:after="0"/>
              <w:rPr>
                <w:rFonts w:ascii="Arial" w:cs="Arial" w:eastAsia="Arial" w:hAnsi="Arial"/>
                <w:sz w:val="18"/>
                <w:szCs w:val="18"/>
                <w:color w:val="0000EE"/>
              </w:rPr>
            </w:pPr>
            <w:hyperlink w:anchor="page128">
              <w:r>
                <w:rPr>
                  <w:rFonts w:ascii="Arial" w:cs="Arial" w:eastAsia="Arial" w:hAnsi="Arial"/>
                  <w:sz w:val="18"/>
                  <w:szCs w:val="18"/>
                  <w:color w:val="0000EE"/>
                </w:rPr>
                <w:t>F-2</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Consolidated Balance Sheets</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132">
              <w:r>
                <w:rPr>
                  <w:rFonts w:ascii="Arial" w:cs="Arial" w:eastAsia="Arial" w:hAnsi="Arial"/>
                  <w:sz w:val="18"/>
                  <w:szCs w:val="18"/>
                  <w:color w:val="0000EE"/>
                </w:rPr>
                <w:t>F-6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Operations</w:t>
              </w:r>
            </w:hyperlink>
          </w:p>
        </w:tc>
        <w:tc>
          <w:tcPr>
            <w:tcW w:w="1880" w:type="dxa"/>
            <w:vAlign w:val="bottom"/>
          </w:tcPr>
          <w:p>
            <w:pPr>
              <w:spacing w:after="0"/>
              <w:rPr>
                <w:sz w:val="19"/>
                <w:szCs w:val="19"/>
                <w:color w:val="auto"/>
              </w:rPr>
            </w:pPr>
          </w:p>
        </w:tc>
        <w:tc>
          <w:tcPr>
            <w:tcW w:w="1640" w:type="dxa"/>
            <w:vAlign w:val="bottom"/>
            <w:gridSpan w:val="3"/>
          </w:tcPr>
          <w:p>
            <w:pPr>
              <w:jc w:val="right"/>
              <w:ind w:right="1320"/>
              <w:spacing w:after="0"/>
              <w:rPr>
                <w:rFonts w:ascii="Arial" w:cs="Arial" w:eastAsia="Arial" w:hAnsi="Arial"/>
                <w:sz w:val="18"/>
                <w:szCs w:val="18"/>
                <w:color w:val="0000EE"/>
              </w:rPr>
            </w:pPr>
            <w:hyperlink w:anchor="page134">
              <w:r>
                <w:rPr>
                  <w:rFonts w:ascii="Arial" w:cs="Arial" w:eastAsia="Arial" w:hAnsi="Arial"/>
                  <w:sz w:val="18"/>
                  <w:szCs w:val="18"/>
                  <w:color w:val="0000EE"/>
                </w:rPr>
                <w:t>F-7</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Consolidated Statements of Equity</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135">
              <w:r>
                <w:rPr>
                  <w:rFonts w:ascii="Arial" w:cs="Arial" w:eastAsia="Arial" w:hAnsi="Arial"/>
                  <w:sz w:val="18"/>
                  <w:szCs w:val="18"/>
                  <w:color w:val="0000EE"/>
                </w:rPr>
                <w:t>F-8</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Consolidated Statements of Cash Flows</w:t>
              </w:r>
            </w:hyperlink>
          </w:p>
        </w:tc>
        <w:tc>
          <w:tcPr>
            <w:tcW w:w="3520" w:type="dxa"/>
            <w:vAlign w:val="bottom"/>
            <w:gridSpan w:val="4"/>
          </w:tcPr>
          <w:p>
            <w:pPr>
              <w:ind w:left="1880"/>
              <w:spacing w:after="0"/>
              <w:rPr>
                <w:rFonts w:ascii="Arial" w:cs="Arial" w:eastAsia="Arial" w:hAnsi="Arial"/>
                <w:sz w:val="18"/>
                <w:szCs w:val="18"/>
                <w:color w:val="0000EE"/>
              </w:rPr>
            </w:pPr>
            <w:hyperlink w:anchor="page136">
              <w:r>
                <w:rPr>
                  <w:rFonts w:ascii="Arial" w:cs="Arial" w:eastAsia="Arial" w:hAnsi="Arial"/>
                  <w:sz w:val="18"/>
                  <w:szCs w:val="18"/>
                  <w:color w:val="0000EE"/>
                </w:rPr>
                <w:t>F-10</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Notes to Consolidated Financial Statements</w:t>
              </w:r>
            </w:hyperlink>
          </w:p>
        </w:tc>
        <w:tc>
          <w:tcPr>
            <w:tcW w:w="222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38">
              <w:r>
                <w:rPr>
                  <w:rFonts w:ascii="Arial" w:cs="Arial" w:eastAsia="Arial" w:hAnsi="Arial"/>
                  <w:sz w:val="18"/>
                  <w:szCs w:val="18"/>
                  <w:color w:val="0000EE"/>
                </w:rPr>
                <w:t>F-11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2"/>
          </w:tcPr>
          <w:p>
            <w:pPr>
              <w:ind w:left="940"/>
              <w:spacing w:after="0"/>
              <w:rPr>
                <w:sz w:val="20"/>
                <w:szCs w:val="20"/>
                <w:color w:val="auto"/>
              </w:rPr>
            </w:pPr>
            <w:r>
              <w:rPr>
                <w:rFonts w:ascii="Arial" w:cs="Arial" w:eastAsia="Arial" w:hAnsi="Arial"/>
                <w:sz w:val="18"/>
                <w:szCs w:val="18"/>
                <w:color w:val="auto"/>
              </w:rPr>
              <w:t>F-1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-1859280</wp:posOffset>
            </wp:positionV>
            <wp:extent cx="34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 The Stockholders and Board of Directors of WM Technology, Inc.</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have audited the accompanying consolidated balance sheets of WM Technology, Inc. (the Company) as of December 31, 2021 and 2020, the related consolidated statements of operations, changes in stockholders’ equity and cash flows for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Adoption of ASU No. 2016-02</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effective January 1, 2021, the Company adopted Accounting Standards Codification Topic 842, Leases (Topic 842).</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5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2" w:lineRule="exact"/>
        <w:rPr>
          <w:sz w:val="20"/>
          <w:szCs w:val="20"/>
          <w:color w:val="auto"/>
        </w:rPr>
      </w:pPr>
    </w:p>
    <w:p>
      <w:pPr>
        <w:jc w:val="both"/>
        <w:ind w:left="300" w:right="319" w:hanging="8"/>
        <w:spacing w:after="0" w:line="253" w:lineRule="auto"/>
        <w:tabs>
          <w:tab w:leader="none" w:pos="5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 Recognition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discussed in Note 2 to the consolidated financial statements, the Company generates revenue derived primarily from monthly subscriptions and additional offerings for access to the Company’s software platform and other software as a service solutions. The Company’s contracts with customers can involve multiple performance obligations and rights. The Company recognized $193.1 million of revenue for the year ended December 31, 2021 related to such contracts.</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identified the evaluation of the Company’s analysis of terms and conditions in contracts with customers and their effect on revenue recognition as a critical audit matter. Complex auditor judgment was required to assess the Company’s determination of the performance obligations in such contracts and recognition of such items as over time or point-in-time.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Obtaining an understanding of the Company’s revenue recognition policy and evaluated for appropriateness.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Evaluating the design and implementation of certain internal controls related to the Company’s revenue recognition process, including controls related to the Company’s analysis of terms and conditions review of contracts with customers and their effect on revenue recognition.</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Inquiring of personnel outside of the accounting function to corroborate our understanding of certain terms and conditions for a selection of revenue transactions.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Testing a sample of revenue transactions by inspecting the underlying customer agreements and invoices, and evaluating the Company’s recognition in accordance with revenue recognition policies.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Tested a sample of revenue contracts to ensure appropriate identification of performance obligations and recognition of either point-in-time or over-time.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Valuation of Intangible Assets in the Sprout and Transportation Logistics Holding Acquisitions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discussed in Note 7 to the consolidated financial statements, on September 3, 2021 and September 29, 2021, the Company acquired certain businesses of Sprout and Transportation Logistics Holding, LLC, respectively. The transactions were accounted for as business combinations and the assets acquired and liabilities assumed have been recorded based on preliminary estimates of fair value and are subject to change based on the finalization of their fair values of the assets acquired and liabilities assumed.</w:t>
      </w:r>
    </w:p>
    <w:p>
      <w:pPr>
        <w:spacing w:after="0" w:line="6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Auditing management’s preliminary valuation of the software technology assets in the acquisitions was complex and judgmental due to the significant estimation uncertainty in the Company’s determination of the preliminary fair values of software technology assets. In addition, a large portion of the consideration transferred was allocated to goodwill and thus the identification of other potential intangible assets in the acquisition requires complex judgment. The significant estimation uncertainty was primarily due to the sensitivity of the fair value to underlying assumptions including forecasted revenue growth rates, forecasted profit margin, and the discount rate. These significant assumptions are forward looking and could be affected by future economic and market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the Company's controls over its estimation process supporting the recognition and measurement of the customer and vendor relationships intangible assets, including controls over management’s evaluation of the methodology and underlying assumptions used in determining the fair value.</w:t>
      </w:r>
    </w:p>
    <w:p>
      <w:pPr>
        <w:spacing w:after="0" w:line="78" w:lineRule="exact"/>
        <w:rPr>
          <w:rFonts w:ascii="Arial" w:cs="Arial" w:eastAsia="Arial" w:hAnsi="Arial"/>
          <w:sz w:val="18"/>
          <w:szCs w:val="18"/>
          <w:color w:val="auto"/>
        </w:rPr>
      </w:pPr>
    </w:p>
    <w:p>
      <w:pPr>
        <w:jc w:val="both"/>
        <w:ind w:left="1000" w:right="299" w:hanging="348"/>
        <w:spacing w:after="0" w:line="275" w:lineRule="auto"/>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Evaluated the Company's selection of the valuation methodology and significant assumptions used by the Company in the valuation of the intangible assets, and the reasonableness of significant assumptions and estimates. For example, we performed analyses to evaluate the sensitivity of changes in assumptions to the fair value of the customer relationships intangible asset and compared the significant assumptions to current industry and market and economic trends.</w:t>
      </w:r>
    </w:p>
    <w:p>
      <w:pPr>
        <w:spacing w:after="0" w:line="6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Involved auditor engaged valuation specialist to assist with our evaluation of the methodologies used by the Company and significant assumptions included in the preliminary fair value estimates.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Tested the clerical accuracy of the models.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Measurement of the Tax Receivable Agreement Asset and Liability</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in Note 2 and Note 14 of the consolidated financial statements, the Company entered into a Tax Receivable Agreement (the “TRA”) with certain current and historical holders of LLC units of WM Holding Company, LLC (“WMH LLC”), which is a contractual commitment to distribute 85% of any tax benefits (the “TRA liability”), realized or deemed to be realized by the Company to the parties to the TRA. In connection with such potential future tax benefits, the Company has established a deferred tax asset for the additional tax basis and a corresponding TRA liability for 85% of the expected benefit. The TRA payments are contingent upon, among other things, the generation of future taxable income over the term of the TRA and future changes in tax laws. At December 31, 2021, the Company’s deferred tax asset associated with the TRA is approximately $151.3 million (the “TRA asset”), which is included as a component of the overall deferred tax asset of approximately $152.1 million. The liability due to the holders of WMH LLC interests under the TRA was approximately $128.6 million as of December 31, 2021.</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Auditing management’s accounting for the TRA asset and liability is especially complex and judgmental as the Company’s calculation of the TRA asset and liability requires estimates of its future qualified taxable income over the term of the TRA as a basis to determine if the related tax benefits are expected to be realized. Significant changes in estimates could have a material effect on the Company’s results of operations.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controls over the Company’s process for determining the measurement of the TRA asset and liability.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Tested the completeness and accuracy of the deferred tax asset related to the basis difference in the investment in WMH LLC.</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Recalculated the change in tax basis resulting from the transaction, including the determination of fair value.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Tested the measurement of the Company’s TRA liability by recalculating the Company’s share of the tax basis in the net assets of WMH LLC.</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Tested the Company’s position that there will be sufficient future taxable income to realize the tax benefits related to the redemptions discussed above, and we evaluated the assumptions used by management to develop the projections of future taxable income. For example, we compared management’s projections of future taxable income with the actual results of prior periods, as well as management’s consideration of current industry and economic trends.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also assessed the historical accuracy of management’s projections and reconciled the projections of future taxable income with other forecasted financial information prepared by the Company.</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Recalculated the TRA liability and verified the calculation of the TRA liability was in accordance with the terms set out in the TRA.</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Involved auditor engaged tax specialists to assist with the performance of such audit procedures listed above.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49530</wp:posOffset>
            </wp:positionV>
            <wp:extent cx="10718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66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53"/>
        </w:trPr>
        <w:tc>
          <w:tcPr>
            <w:tcW w:w="68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$ 67,777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$ 19,919</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17,550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13,607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70"/>
        </w:trPr>
        <w:tc>
          <w:tcPr>
            <w:tcW w:w="6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98,934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34,167</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13,283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60" w:type="dxa"/>
            <w:vAlign w:val="bottom"/>
            <w:shd w:val="clear" w:color="auto" w:fill="CCEEFF"/>
          </w:tcPr>
          <w:p>
            <w:pPr>
              <w:spacing w:after="0"/>
              <w:rPr>
                <w:sz w:val="22"/>
                <w:szCs w:val="22"/>
                <w:color w:val="auto"/>
              </w:rPr>
            </w:pP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45,295</w:t>
            </w:r>
          </w:p>
        </w:tc>
        <w:tc>
          <w:tcPr>
            <w:tcW w:w="520" w:type="dxa"/>
            <w:vAlign w:val="bottom"/>
          </w:tcPr>
          <w:p>
            <w:pPr>
              <w:jc w:val="right"/>
              <w:spacing w:after="0"/>
              <w:rPr>
                <w:sz w:val="20"/>
                <w:szCs w:val="20"/>
                <w:color w:val="auto"/>
              </w:rPr>
            </w:pPr>
            <w:r>
              <w:rPr>
                <w:rFonts w:ascii="Arial" w:cs="Arial" w:eastAsia="Arial" w:hAnsi="Arial"/>
                <w:sz w:val="18"/>
                <w:szCs w:val="18"/>
                <w:color w:val="auto"/>
              </w:rPr>
              <w:t>3,961</w:t>
            </w:r>
          </w:p>
        </w:tc>
        <w:tc>
          <w:tcPr>
            <w:tcW w:w="60" w:type="dxa"/>
            <w:vAlign w:val="bottom"/>
          </w:tcPr>
          <w:p>
            <w:pPr>
              <w:spacing w:after="0"/>
              <w:rPr>
                <w:sz w:val="24"/>
                <w:szCs w:val="24"/>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Right-of-use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36,549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152,097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10,687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3,874</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58"/>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$ 365,144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$ 53,894</w:t>
            </w:r>
          </w:p>
        </w:tc>
      </w:tr>
      <w:tr>
        <w:trPr>
          <w:trHeight w:val="311"/>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Equity</w:t>
            </w: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$ 23,155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$ 12,651</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Notes payable to members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r>
      <w:tr>
        <w:trPr>
          <w:trHeight w:val="284"/>
        </w:trPr>
        <w:tc>
          <w:tcPr>
            <w:tcW w:w="68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37,800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23,249</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39,377</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Tax receivable agreement liability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128,567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27,460</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1,374</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18"/>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233,204</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24,623</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equity/Members’ equity</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w w:val="96"/>
              </w:rPr>
              <w:t>Preferred Stock - $0.0001 par value; 75,000,000 shares authorized; no shares issued</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and outstanding at December 31, 2021 and December 31, 2020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Common Stock - $0.0001 par value; 1,500,000,000 shares authorized;</w:t>
            </w:r>
          </w:p>
        </w:tc>
        <w:tc>
          <w:tcPr>
            <w:tcW w:w="6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16"/>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65,677,361 shares issued and outstanding at December 31, 2021 and no shares</w:t>
            </w:r>
          </w:p>
        </w:tc>
        <w:tc>
          <w:tcPr>
            <w:tcW w:w="6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4"/>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rPr>
              <w:t>Class V Common Stock - $0.0001 par value; 500,000,000 shares authorized,</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w w:val="99"/>
              </w:rPr>
              <w:t>65,502,347 shares issued and outstanding at December 31, 2021 and no shares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61,369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18"/>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63,556</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68,384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Members’ equity</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29,271</w:t>
            </w: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r>
      <w:tr>
        <w:trPr>
          <w:trHeight w:val="270"/>
        </w:trPr>
        <w:tc>
          <w:tcPr>
            <w:tcW w:w="680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131,940</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29,271</w:t>
            </w:r>
          </w:p>
        </w:tc>
        <w:tc>
          <w:tcPr>
            <w:tcW w:w="60" w:type="dxa"/>
            <w:vAlign w:val="bottom"/>
          </w:tcPr>
          <w:p>
            <w:pPr>
              <w:spacing w:after="0"/>
              <w:rPr>
                <w:sz w:val="23"/>
                <w:szCs w:val="23"/>
                <w:color w:val="auto"/>
              </w:rPr>
            </w:pP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90"/>
        </w:trPr>
        <w:tc>
          <w:tcPr>
            <w:tcW w:w="68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equity/members’ equity</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$ 365,144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$ 53,894</w:t>
            </w:r>
          </w:p>
        </w:tc>
      </w:tr>
      <w:tr>
        <w:trPr>
          <w:trHeight w:val="27"/>
        </w:trPr>
        <w:tc>
          <w:tcPr>
            <w:tcW w:w="68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right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-8897620</wp:posOffset>
            </wp:positionV>
            <wp:extent cx="2057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-8897620</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11"/>
          </w:tcPr>
          <w:p>
            <w:pPr>
              <w:jc w:val="right"/>
              <w:ind w:right="49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5600" w:type="dxa"/>
            <w:vAlign w:val="bottom"/>
          </w:tcPr>
          <w:p>
            <w:pPr>
              <w:spacing w:after="0"/>
              <w:rPr>
                <w:sz w:val="19"/>
                <w:szCs w:val="19"/>
                <w:color w:val="auto"/>
              </w:rPr>
            </w:pPr>
          </w:p>
        </w:tc>
        <w:tc>
          <w:tcPr>
            <w:tcW w:w="10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53"/>
        </w:trPr>
        <w:tc>
          <w:tcPr>
            <w:tcW w:w="56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$ 193,146</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2"/>
              </w:rPr>
              <w:t>$ 161,791</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$ 144,232</w:t>
            </w:r>
          </w:p>
        </w:tc>
      </w:tr>
      <w:tr>
        <w:trPr>
          <w:trHeight w:val="324"/>
        </w:trPr>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7,938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7,630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7,074</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56,119</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30,716</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39,746</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35,395</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27,142</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29,497</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97,447</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51,127</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56,466</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4,425</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3,978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5,162</w:t>
            </w:r>
          </w:p>
        </w:tc>
      </w:tr>
      <w:tr>
        <w:trPr>
          <w:trHeight w:val="61"/>
        </w:trPr>
        <w:tc>
          <w:tcPr>
            <w:tcW w:w="5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201,324</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120,593</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137,945</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(8,178)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41,198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6,287</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166,518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(6,723)</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3"/>
        </w:trPr>
        <w:tc>
          <w:tcPr>
            <w:tcW w:w="56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151,617</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946</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4"/>
        </w:trPr>
        <w:tc>
          <w:tcPr>
            <w:tcW w:w="56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152,218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(375)</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91,835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$ 60,383</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$ 38,830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(375)</w:t>
            </w:r>
          </w:p>
        </w:tc>
      </w:tr>
      <w:tr>
        <w:trPr>
          <w:trHeight w:val="20"/>
        </w:trPr>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5"/>
        </w:trPr>
        <w:tc>
          <w:tcPr>
            <w:tcW w:w="5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Class A Common Stock:</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5"/>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income per share</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$ 0.93</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65"/>
        </w:trPr>
        <w:tc>
          <w:tcPr>
            <w:tcW w:w="5600" w:type="dxa"/>
            <w:vAlign w:val="bottom"/>
          </w:tcPr>
          <w:p>
            <w:pPr>
              <w:ind w:left="180"/>
              <w:spacing w:after="0"/>
              <w:rPr>
                <w:sz w:val="20"/>
                <w:szCs w:val="20"/>
                <w:color w:val="auto"/>
              </w:rPr>
            </w:pPr>
            <w:r>
              <w:rPr>
                <w:rFonts w:ascii="Arial" w:cs="Arial" w:eastAsia="Arial" w:hAnsi="Arial"/>
                <w:sz w:val="18"/>
                <w:szCs w:val="18"/>
                <w:color w:val="auto"/>
              </w:rPr>
              <w:t>Diluted loss per share</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 (0.18)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24"/>
        </w:trPr>
        <w:tc>
          <w:tcPr>
            <w:tcW w:w="5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Class A Common Stock:</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basic shares outstanding</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65,013,517</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433"/>
        </w:trPr>
        <w:tc>
          <w:tcPr>
            <w:tcW w:w="5600" w:type="dxa"/>
            <w:vAlign w:val="bottom"/>
          </w:tcPr>
          <w:p>
            <w:pPr>
              <w:ind w:left="180"/>
              <w:spacing w:after="0"/>
              <w:rPr>
                <w:sz w:val="20"/>
                <w:szCs w:val="20"/>
                <w:color w:val="auto"/>
              </w:rPr>
            </w:pPr>
            <w:r>
              <w:rPr>
                <w:rFonts w:ascii="Arial" w:cs="Arial" w:eastAsia="Arial" w:hAnsi="Arial"/>
                <w:sz w:val="18"/>
                <w:szCs w:val="18"/>
                <w:color w:val="auto"/>
              </w:rPr>
              <w:t>Weighted average diluted shares outstanding</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66,813,417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-5649595</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-5649595</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-5649595</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both"/>
        <w:ind w:left="640" w:right="299" w:hanging="348"/>
        <w:spacing w:after="0" w:line="204" w:lineRule="auto"/>
        <w:tabs>
          <w:tab w:leader="none" w:pos="6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-427355</wp:posOffset>
            </wp:positionV>
            <wp:extent cx="8229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36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Total WM</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gridSpan w:val="6"/>
            <w:vMerge w:val="continue"/>
          </w:tcPr>
          <w:p>
            <w:pPr>
              <w:spacing w:after="0"/>
              <w:rPr>
                <w:sz w:val="7"/>
                <w:szCs w:val="7"/>
                <w:color w:val="auto"/>
              </w:rPr>
            </w:pPr>
          </w:p>
        </w:tc>
        <w:tc>
          <w:tcPr>
            <w:tcW w:w="136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Technology,</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36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Class V</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6"/>
            <w:vMerge w:val="continue"/>
          </w:tcPr>
          <w:p>
            <w:pPr>
              <w:spacing w:after="0"/>
              <w:rPr>
                <w:sz w:val="10"/>
                <w:szCs w:val="10"/>
                <w:color w:val="auto"/>
              </w:rPr>
            </w:pPr>
          </w:p>
        </w:tc>
        <w:tc>
          <w:tcPr>
            <w:tcW w:w="1360" w:type="dxa"/>
            <w:vAlign w:val="bottom"/>
            <w:gridSpan w:val="6"/>
            <w:vMerge w:val="continue"/>
          </w:tcPr>
          <w:p>
            <w:pPr>
              <w:spacing w:after="0"/>
              <w:rPr>
                <w:sz w:val="10"/>
                <w:szCs w:val="10"/>
                <w:color w:val="auto"/>
              </w:rPr>
            </w:pPr>
          </w:p>
        </w:tc>
        <w:tc>
          <w:tcPr>
            <w:tcW w:w="720" w:type="dxa"/>
            <w:vAlign w:val="bottom"/>
            <w:gridSpan w:val="5"/>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Inc.</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2940" w:type="dxa"/>
            <w:vAlign w:val="bottom"/>
            <w:gridSpan w:val="20"/>
            <w:vMerge w:val="restart"/>
          </w:tcPr>
          <w:p>
            <w:pPr>
              <w:spacing w:after="0" w:line="149" w:lineRule="exact"/>
              <w:rPr>
                <w:sz w:val="20"/>
                <w:szCs w:val="20"/>
                <w:color w:val="auto"/>
              </w:rPr>
            </w:pPr>
            <w:r>
              <w:rPr>
                <w:rFonts w:ascii="Arial" w:cs="Arial" w:eastAsia="Arial" w:hAnsi="Arial"/>
                <w:sz w:val="14"/>
                <w:szCs w:val="14"/>
                <w:b w:val="1"/>
                <w:bCs w:val="1"/>
                <w:color w:val="auto"/>
                <w:w w:val="97"/>
              </w:rPr>
              <w:t>Retained Stockholders' controlling Members’</w:t>
            </w: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jc w:val="right"/>
              <w:ind w:right="6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Par Value</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0"/>
              </w:rPr>
              <w:t>Par Value</w:t>
            </w:r>
          </w:p>
        </w:tc>
        <w:tc>
          <w:tcPr>
            <w:tcW w:w="720" w:type="dxa"/>
            <w:vAlign w:val="bottom"/>
            <w:gridSpan w:val="5"/>
            <w:vMerge w:val="continue"/>
          </w:tcPr>
          <w:p>
            <w:pPr>
              <w:spacing w:after="0"/>
              <w:rPr>
                <w:sz w:val="9"/>
                <w:szCs w:val="9"/>
                <w:color w:val="auto"/>
              </w:rPr>
            </w:pPr>
          </w:p>
        </w:tc>
        <w:tc>
          <w:tcPr>
            <w:tcW w:w="2940" w:type="dxa"/>
            <w:vAlign w:val="bottom"/>
            <w:gridSpan w:val="20"/>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7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620" w:type="dxa"/>
            <w:vAlign w:val="bottom"/>
            <w:gridSpan w:val="6"/>
          </w:tcPr>
          <w:p>
            <w:pPr>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720" w:type="dxa"/>
            <w:vAlign w:val="bottom"/>
            <w:gridSpan w:val="5"/>
          </w:tcPr>
          <w:p>
            <w:pPr>
              <w:ind w:left="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5"/>
                <w:szCs w:val="15"/>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5"/>
                <w:szCs w:val="15"/>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$ 30,124</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$ 30,124</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CCEEFF"/>
            </w:tcBorders>
            <w:gridSpan w:val="3"/>
            <w:vMerge w:val="continue"/>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gridSpan w:val="4"/>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gridSpan w:val="2"/>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(15,382)</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(15,382)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(1,567)</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(375)</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$ 12,800</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$ 12,800</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CCEEFF"/>
            </w:tcBorders>
            <w:gridSpan w:val="3"/>
            <w:vMerge w:val="continue"/>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gridSpan w:val="4"/>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gridSpan w:val="2"/>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(21,953)</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(21,953)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(406)</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38,830</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38,830</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 —</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$ 29,271</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$ 29,271</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Stock-based</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9,570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9,570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20,853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30,423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(888)</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(18,110)</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(18,998)</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(5,565)</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(5,565)</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and</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6"/>
              </w:rPr>
              <w:t>shares issued in</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the Business</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Combination</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(Note 6)</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4"/>
              </w:rPr>
              <w:t>63,738,563</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65,502,347</w:t>
            </w:r>
          </w:p>
        </w:tc>
        <w:tc>
          <w:tcPr>
            <w:tcW w:w="6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(20,118)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986</w:t>
            </w:r>
          </w:p>
        </w:tc>
        <w:tc>
          <w:tcPr>
            <w:tcW w:w="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(19,119)</w:t>
            </w:r>
          </w:p>
        </w:tc>
        <w:tc>
          <w:tcPr>
            <w:tcW w:w="7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(44,928)</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(20,674)</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(84,721)</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for acquisitions</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(Note 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1,938,798</w:t>
            </w:r>
          </w:p>
        </w:tc>
        <w:tc>
          <w:tcPr>
            <w:tcW w:w="80" w:type="dxa"/>
            <w:vAlign w:val="bottom"/>
          </w:tcPr>
          <w:p>
            <w:pPr>
              <w:spacing w:after="0"/>
              <w:rPr>
                <w:sz w:val="15"/>
                <w:szCs w:val="15"/>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12,721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12,722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16,590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29,312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gridSpan w:val="6"/>
            <w:shd w:val="clear" w:color="auto" w:fill="CCEEFF"/>
          </w:tcPr>
          <w:p>
            <w:pPr>
              <w:jc w:val="right"/>
              <w:ind w:right="60"/>
              <w:spacing w:after="0"/>
              <w:rPr>
                <w:sz w:val="20"/>
                <w:szCs w:val="20"/>
                <w:color w:val="auto"/>
              </w:rPr>
            </w:pPr>
            <w:r>
              <w:rPr>
                <w:rFonts w:ascii="Arial" w:cs="Arial" w:eastAsia="Arial" w:hAnsi="Arial"/>
                <w:sz w:val="14"/>
                <w:szCs w:val="14"/>
                <w:color w:val="auto"/>
              </w:rPr>
              <w:t>60,383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60,383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76,757</w:t>
            </w: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15,078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152,218</w:t>
            </w:r>
          </w:p>
        </w:tc>
        <w:tc>
          <w:tcPr>
            <w:tcW w:w="0" w:type="dxa"/>
            <w:vAlign w:val="bottom"/>
          </w:tcPr>
          <w:p>
            <w:pPr>
              <w:spacing w:after="0"/>
              <w:rPr>
                <w:sz w:val="1"/>
                <w:szCs w:val="1"/>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65,677,361</w:t>
            </w:r>
          </w:p>
        </w:tc>
        <w:tc>
          <w:tcPr>
            <w:tcW w:w="80" w:type="dxa"/>
            <w:vAlign w:val="bottom"/>
          </w:tcPr>
          <w:p>
            <w:pPr>
              <w:spacing w:after="0"/>
              <w:rPr>
                <w:sz w:val="16"/>
                <w:szCs w:val="16"/>
                <w:color w:val="auto"/>
              </w:rPr>
            </w:pPr>
          </w:p>
        </w:tc>
        <w:tc>
          <w:tcPr>
            <w:tcW w:w="400" w:type="dxa"/>
            <w:vAlign w:val="bottom"/>
            <w:vMerge w:val="restart"/>
          </w:tcPr>
          <w:p>
            <w:pPr>
              <w:spacing w:after="0"/>
              <w:rPr>
                <w:sz w:val="16"/>
                <w:szCs w:val="16"/>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$ 7</w:t>
            </w:r>
          </w:p>
        </w:tc>
        <w:tc>
          <w:tcPr>
            <w:tcW w:w="80" w:type="dxa"/>
            <w:vAlign w:val="bottom"/>
            <w:vMerge w:val="restart"/>
          </w:tcPr>
          <w:p>
            <w:pPr>
              <w:spacing w:after="0"/>
              <w:rPr>
                <w:sz w:val="16"/>
                <w:szCs w:val="16"/>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8"/>
              </w:rPr>
              <w:t>65,502,347</w:t>
            </w: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$ 7</w:t>
            </w:r>
          </w:p>
        </w:tc>
        <w:tc>
          <w:tcPr>
            <w:tcW w:w="72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$ 2,173</w:t>
            </w:r>
          </w:p>
        </w:tc>
        <w:tc>
          <w:tcPr>
            <w:tcW w:w="62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9"/>
              </w:rPr>
              <w:t>$ 61,369</w:t>
            </w:r>
          </w:p>
        </w:tc>
        <w:tc>
          <w:tcPr>
            <w:tcW w:w="9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$ 63,556</w:t>
            </w:r>
          </w:p>
        </w:tc>
        <w:tc>
          <w:tcPr>
            <w:tcW w:w="72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$ 68,384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7"/>
              </w:rPr>
              <w:t>$— $ 131,940</w:t>
            </w:r>
          </w:p>
        </w:tc>
        <w:tc>
          <w:tcPr>
            <w:tcW w:w="0" w:type="dxa"/>
            <w:vAlign w:val="bottom"/>
          </w:tcPr>
          <w:p>
            <w:pPr>
              <w:spacing w:after="0"/>
              <w:rPr>
                <w:sz w:val="1"/>
                <w:szCs w:val="1"/>
                <w:color w:val="auto"/>
              </w:rPr>
            </w:pPr>
          </w:p>
        </w:tc>
      </w:tr>
      <w:tr>
        <w:trPr>
          <w:trHeight w:val="171"/>
        </w:trPr>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620" w:type="dxa"/>
            <w:vAlign w:val="bottom"/>
            <w:gridSpan w:val="6"/>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-4079875</wp:posOffset>
            </wp:positionV>
            <wp:extent cx="342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-4079875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-4079875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-4079875</wp:posOffset>
            </wp:positionV>
            <wp:extent cx="254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-4079875</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-4079875</wp:posOffset>
            </wp:positionV>
            <wp:extent cx="342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-4079875</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-4079875</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-4079875</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-4079875</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11"/>
          </w:tcPr>
          <w:p>
            <w:pPr>
              <w:jc w:val="right"/>
              <w:ind w:right="39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8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5820" w:type="dxa"/>
            <w:vAlign w:val="bottom"/>
          </w:tcPr>
          <w:p>
            <w:pPr>
              <w:spacing w:after="0"/>
              <w:rPr>
                <w:sz w:val="19"/>
                <w:szCs w:val="19"/>
                <w:color w:val="auto"/>
              </w:rPr>
            </w:pPr>
          </w:p>
        </w:tc>
        <w:tc>
          <w:tcPr>
            <w:tcW w:w="800" w:type="dxa"/>
            <w:vAlign w:val="bottom"/>
            <w:gridSpan w:val="3"/>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53"/>
        </w:trPr>
        <w:tc>
          <w:tcPr>
            <w:tcW w:w="58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$ 152,218</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$ 38,830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(375)</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 by operating</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6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4,425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3,978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5,162</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warrant liability</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(166,518)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Impairment loss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2,372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29,324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5,487</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(13,609)</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(6,770)</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8,235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(3,036)</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(611)</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(480)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(960)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7,374</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3,693</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56"/>
        </w:trPr>
        <w:tc>
          <w:tcPr>
            <w:tcW w:w="58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2,793</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935</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165</w:t>
            </w:r>
          </w:p>
        </w:tc>
      </w:tr>
      <w:tr>
        <w:trPr>
          <w:trHeight w:val="61"/>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23,092</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38,620</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(7,935)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(1,311)</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acquisitions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tcPr>
          <w:p>
            <w:pPr>
              <w:ind w:left="180"/>
              <w:spacing w:after="0"/>
              <w:rPr>
                <w:sz w:val="20"/>
                <w:szCs w:val="20"/>
                <w:color w:val="auto"/>
              </w:rPr>
            </w:pPr>
            <w:r>
              <w:rPr>
                <w:rFonts w:ascii="Arial" w:cs="Arial" w:eastAsia="Arial" w:hAnsi="Arial"/>
                <w:sz w:val="18"/>
                <w:szCs w:val="18"/>
                <w:color w:val="auto"/>
              </w:rPr>
              <w:t>Cash paid for other investments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1"/>
        </w:trPr>
        <w:tc>
          <w:tcPr>
            <w:tcW w:w="5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(30,435)</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(1,311)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Proceeds from business combination</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79,969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repayments of secured line of credit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Payment of note payable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(18,998)</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(21,952)</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(15,382)</w:t>
            </w:r>
          </w:p>
        </w:tc>
      </w:tr>
      <w:tr>
        <w:trPr>
          <w:trHeight w:val="257"/>
        </w:trPr>
        <w:tc>
          <w:tcPr>
            <w:tcW w:w="582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(5,565)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(406)</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(1,567)</w:t>
            </w:r>
          </w:p>
        </w:tc>
      </w:tr>
      <w:tr>
        <w:trPr>
          <w:trHeight w:val="61"/>
        </w:trPr>
        <w:tc>
          <w:tcPr>
            <w:tcW w:w="5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55,201</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(22,358)</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(21,969)</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47,858</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14,951</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(20,803)</w:t>
            </w: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19,919</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4,968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25,771</w:t>
            </w:r>
          </w:p>
        </w:tc>
      </w:tr>
      <w:tr>
        <w:trPr>
          <w:trHeight w:val="61"/>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9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 end of period</w:t>
            </w:r>
          </w:p>
        </w:tc>
        <w:tc>
          <w:tcPr>
            <w:tcW w:w="160" w:type="dxa"/>
            <w:vAlign w:val="bottom"/>
            <w:gridSpan w:val="2"/>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$ 67,777</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$ 19,919</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$ 4,968</w:t>
            </w:r>
          </w:p>
        </w:tc>
      </w:tr>
      <w:tr>
        <w:trPr>
          <w:trHeight w:val="27"/>
        </w:trPr>
        <w:tc>
          <w:tcPr>
            <w:tcW w:w="5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-7474585</wp:posOffset>
            </wp:positionV>
            <wp:extent cx="102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-7474585</wp:posOffset>
            </wp:positionV>
            <wp:extent cx="1028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-7474585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600" w:hanging="30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w w:val="92"/>
              </w:rPr>
              <w:t>Years Ended December 31,</w:t>
            </w:r>
          </w:p>
        </w:tc>
        <w:tc>
          <w:tcPr>
            <w:tcW w:w="440" w:type="dxa"/>
            <w:vAlign w:val="bottom"/>
          </w:tcPr>
          <w:p>
            <w:pPr>
              <w:spacing w:after="0"/>
              <w:rPr>
                <w:sz w:val="16"/>
                <w:szCs w:val="16"/>
                <w:color w:val="auto"/>
              </w:rPr>
            </w:pPr>
          </w:p>
        </w:tc>
      </w:tr>
      <w:tr>
        <w:trPr>
          <w:trHeight w:val="53"/>
        </w:trPr>
        <w:tc>
          <w:tcPr>
            <w:tcW w:w="58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4"/>
        </w:trPr>
        <w:tc>
          <w:tcPr>
            <w:tcW w:w="586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2019</w:t>
            </w:r>
          </w:p>
        </w:tc>
      </w:tr>
      <w:tr>
        <w:trPr>
          <w:trHeight w:val="53"/>
        </w:trPr>
        <w:tc>
          <w:tcPr>
            <w:tcW w:w="58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$ 157</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$ 242</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$ 1,336</w:t>
            </w: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$ 118</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24"/>
        </w:trPr>
        <w:tc>
          <w:tcPr>
            <w:tcW w:w="58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 assumed from the Business Combination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$ 193,978</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5860" w:type="dxa"/>
            <w:vAlign w:val="bottom"/>
          </w:tcPr>
          <w:p>
            <w:pPr>
              <w:ind w:left="180"/>
              <w:spacing w:after="0"/>
              <w:rPr>
                <w:sz w:val="20"/>
                <w:szCs w:val="20"/>
                <w:color w:val="auto"/>
              </w:rPr>
            </w:pPr>
            <w:r>
              <w:rPr>
                <w:rFonts w:ascii="Arial" w:cs="Arial" w:eastAsia="Arial" w:hAnsi="Arial"/>
                <w:sz w:val="18"/>
                <w:szCs w:val="18"/>
                <w:color w:val="auto"/>
              </w:rPr>
              <w:t>Tax receivable agreement liability recognized in connection with the</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Business Combination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$ 128,567</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 recognized in connection with the Business</w:t>
            </w: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Combination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$ 151,255</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Other assets assumed from the Business Combination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$ 1,053</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equity for acquisitions</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$ 29,312</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Holdback liability recognized in connection with acquisition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$ 1,000</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 assumed in connection with acquisition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$ 100</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Stock-based compensation capitalized for software development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$ 1,099</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-3136900</wp:posOffset>
            </wp:positionV>
            <wp:extent cx="2228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-3136900</wp:posOffset>
            </wp:positionV>
            <wp:extent cx="2228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-3136900</wp:posOffset>
            </wp:positionV>
            <wp:extent cx="1111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40" w:hanging="348"/>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(the “Company”) is one of the oldest and largest marketplace and technology solutions providers exclusively servicing the cannabis industry, primarily consumers, retailers and brands in the United States state-legal and Canadian cannabis markets. The Company’s business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Retail and WM Exchange products, where available. The Company charges a monthly fee to clients for access to its WM Business subscription package and then offer other add-on products for additional fees, including our featured listings and our Sprout (customer relationship management) and Cannveya (delivery and logistics software)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88" w:lineRule="exact"/>
        <w:rPr>
          <w:sz w:val="20"/>
          <w:szCs w:val="20"/>
          <w:color w:val="auto"/>
        </w:rPr>
      </w:pPr>
    </w:p>
    <w:p>
      <w:pPr>
        <w:ind w:left="640" w:hanging="348"/>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6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62" w:lineRule="exact"/>
        <w:rPr>
          <w:sz w:val="20"/>
          <w:szCs w:val="20"/>
          <w:color w:val="auto"/>
        </w:rPr>
      </w:pPr>
    </w:p>
    <w:p>
      <w:pPr>
        <w:ind w:left="1000" w:right="319" w:hanging="348"/>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Legacy WMH senior management is the senior management of the Company;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Legacy WMH is the larger entity based on historical operating activity and has the larger employee base.</w:t>
      </w:r>
    </w:p>
    <w:p>
      <w:pPr>
        <w:spacing w:after="0" w:line="14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years ended December 31, 2021, 2020 and 2019.</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is recorded at the invoiced amount and does not bear interest.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credit loss model, lifetime expected credit losses are measured and recognized at each reporting date based on historical, current and forecast information. The adoption of this guidance did not have a material impact on the Company’s consolidated financial statements.</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Prior to the accounting adoption, the Company reserved an allowance for all balances outstanding in excess of ninety days.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Account balances are written off against the allowance when it is determined that it is probable that the receivable will not be recovered. The Company recorded a provision for doubtful accounts of $5.2 million and $0.9 million as of December 31, 2021 and 2020,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doubtful accounts: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9"/>
          </w:tcPr>
          <w:p>
            <w:pPr>
              <w:jc w:val="right"/>
              <w:ind w:right="21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5"/>
        </w:trPr>
        <w:tc>
          <w:tcPr>
            <w:tcW w:w="6160" w:type="dxa"/>
            <w:vAlign w:val="bottom"/>
          </w:tcPr>
          <w:p>
            <w:pPr>
              <w:spacing w:after="0"/>
              <w:rPr>
                <w:sz w:val="19"/>
                <w:szCs w:val="19"/>
                <w:color w:val="auto"/>
              </w:rPr>
            </w:pPr>
          </w:p>
        </w:tc>
        <w:tc>
          <w:tcPr>
            <w:tcW w:w="6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r>
      <w:tr>
        <w:trPr>
          <w:trHeight w:val="53"/>
        </w:trPr>
        <w:tc>
          <w:tcPr>
            <w:tcW w:w="6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beginning of year</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$ 857</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$ 914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$ 734</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Addition to allowance</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5,487</w:t>
            </w:r>
          </w:p>
        </w:tc>
        <w:tc>
          <w:tcPr>
            <w:tcW w:w="300" w:type="dxa"/>
            <w:vAlign w:val="bottom"/>
          </w:tcPr>
          <w:p>
            <w:pPr>
              <w:spacing w:after="0"/>
              <w:rPr>
                <w:sz w:val="23"/>
                <w:szCs w:val="23"/>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1,271</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180</w:t>
            </w:r>
          </w:p>
        </w:tc>
      </w:tr>
      <w:tr>
        <w:trPr>
          <w:trHeight w:val="54"/>
        </w:trPr>
        <w:tc>
          <w:tcPr>
            <w:tcW w:w="6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Write-off, net of recoveries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Allowance, end of year</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$ 5,169</w:t>
            </w:r>
          </w:p>
        </w:tc>
        <w:tc>
          <w:tcPr>
            <w:tcW w:w="300" w:type="dxa"/>
            <w:vAlign w:val="bottom"/>
          </w:tcPr>
          <w:p>
            <w:pPr>
              <w:spacing w:after="0"/>
              <w:rPr>
                <w:sz w:val="23"/>
                <w:szCs w:val="23"/>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$ 857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$ 914</w:t>
            </w:r>
          </w:p>
        </w:tc>
      </w:tr>
      <w:tr>
        <w:trPr>
          <w:trHeight w:val="21"/>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-847725</wp:posOffset>
            </wp:positionV>
            <wp:extent cx="1885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-847725</wp:posOffset>
            </wp:positionV>
            <wp:extent cx="1885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-847725</wp:posOffset>
            </wp:positionV>
            <wp:extent cx="93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 in Equity Security</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are accounted for at cost, less any impairment, plus or minus changes resulting from observable price changes in orderly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transactions for an identical or similar investment of the same issuer. As December 31, 2021, the carrying value of the Company’s investments in equity securities without a readily determinable fair value was $6.5 million, which is recorded within Other assets on the Company’s consolidated balance sheets.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results of operations.</w:t>
      </w:r>
    </w:p>
    <w:p>
      <w:pPr>
        <w:spacing w:after="0" w:line="8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6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Effective January 1, 2021, the Company accounts for its leases under ASC 842 - </w:t>
      </w:r>
      <w:r>
        <w:rPr>
          <w:rFonts w:ascii="Arial" w:cs="Arial" w:eastAsia="Arial" w:hAnsi="Arial"/>
          <w:sz w:val="17"/>
          <w:szCs w:val="17"/>
          <w:i w:val="1"/>
          <w:iCs w:val="1"/>
          <w:color w:val="auto"/>
        </w:rPr>
        <w:t>Leases</w:t>
      </w:r>
      <w:r>
        <w:rPr>
          <w:rFonts w:ascii="Arial" w:cs="Arial" w:eastAsia="Arial" w:hAnsi="Arial"/>
          <w:sz w:val="17"/>
          <w:szCs w:val="17"/>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10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xml:space="preserve">The Company continues to account for leases in the prior period financial statements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assumed 12,499,993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December 31,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Own Equity</w:t>
      </w:r>
      <w:r>
        <w:rPr>
          <w:rFonts w:ascii="Arial" w:cs="Arial" w:eastAsia="Arial" w:hAnsi="Arial"/>
          <w:sz w:val="16"/>
          <w:szCs w:val="16"/>
          <w:color w:val="auto"/>
        </w:rPr>
        <w:t>, and concluded they do not meet the criteria to be classified in stockholders’ equity. Specifically,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Prior to January 1, 2021, the Company charged a fee for access to the Company’s orders functionality and those fees were recognized at a point in time, typically when an order for delivery or pickup was submitted. Starting on January 1, 2021, the Company eliminated the technology services fee charge related to the Company’s orders functionality.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Deferred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revenue as of December 31, 2020 and 2019 was $5.3 million and $4.3 million, respectively, and the balances were fully recognized in the first quarter of the following fiscal year. The deferred revenue balance as of December 31, 2021 was $8.1 million and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disaggregated net revenue information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34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53"/>
        </w:trPr>
        <w:tc>
          <w:tcPr>
            <w:tcW w:w="60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58"/>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$ 155,363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$ 143,490</w:t>
            </w:r>
          </w:p>
        </w:tc>
      </w:tr>
      <w:tr>
        <w:trPr>
          <w:trHeight w:val="297"/>
        </w:trPr>
        <w:tc>
          <w:tcPr>
            <w:tcW w:w="6080" w:type="dxa"/>
            <w:vAlign w:val="bottom"/>
          </w:tcPr>
          <w:p>
            <w:pPr>
              <w:spacing w:after="0" w:line="296"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6,428</w:t>
            </w:r>
          </w:p>
        </w:tc>
        <w:tc>
          <w:tcPr>
            <w:tcW w:w="6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61"/>
        </w:trPr>
        <w:tc>
          <w:tcPr>
            <w:tcW w:w="60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291"/>
        </w:trPr>
        <w:tc>
          <w:tcPr>
            <w:tcW w:w="60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$ 161,791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$ 144,232</w:t>
            </w:r>
          </w:p>
        </w:tc>
      </w:tr>
      <w:tr>
        <w:trPr>
          <w:trHeight w:val="27"/>
        </w:trPr>
        <w:tc>
          <w:tcPr>
            <w:tcW w:w="60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-693420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-693420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-693420</wp:posOffset>
            </wp:positionV>
            <wp:extent cx="342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U.S. and foreign revenues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34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53"/>
        </w:trPr>
        <w:tc>
          <w:tcPr>
            <w:tcW w:w="60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8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$ 130,373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$ 132,077</w:t>
            </w:r>
          </w:p>
        </w:tc>
      </w:tr>
      <w:tr>
        <w:trPr>
          <w:trHeight w:val="256"/>
        </w:trPr>
        <w:tc>
          <w:tcPr>
            <w:tcW w:w="6080" w:type="dxa"/>
            <w:vAlign w:val="bottom"/>
          </w:tcPr>
          <w:p>
            <w:pPr>
              <w:spacing w:after="0"/>
              <w:rPr>
                <w:sz w:val="20"/>
                <w:szCs w:val="20"/>
                <w:color w:val="auto"/>
              </w:rPr>
            </w:pPr>
            <w:r>
              <w:rPr>
                <w:rFonts w:ascii="Arial" w:cs="Arial" w:eastAsia="Arial" w:hAnsi="Arial"/>
                <w:sz w:val="18"/>
                <w:szCs w:val="18"/>
                <w:color w:val="auto"/>
              </w:rPr>
              <w:t>Foreign revenues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31,418</w:t>
            </w:r>
          </w:p>
        </w:tc>
        <w:tc>
          <w:tcPr>
            <w:tcW w:w="68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61"/>
        </w:trPr>
        <w:tc>
          <w:tcPr>
            <w:tcW w:w="60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291"/>
        </w:trPr>
        <w:tc>
          <w:tcPr>
            <w:tcW w:w="60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$ 161,791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$ 144,232</w:t>
            </w:r>
          </w:p>
        </w:tc>
      </w:tr>
      <w:tr>
        <w:trPr>
          <w:trHeight w:val="27"/>
        </w:trPr>
        <w:tc>
          <w:tcPr>
            <w:tcW w:w="60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-650875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-650875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-650875</wp:posOffset>
            </wp:positionV>
            <wp:extent cx="342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expenses the cost of advertising in the period incurred. Advertising expense totaled $17.7 million, $10.6 million and $20.6 million for the years ended December 31, 2021, 2020 and 2019, respectively, and are included in sales and marketing expense in the accompanying consolidated statements of operations.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When awards include a performance condition that impacts the vesting of the award, the Company records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cost when it becomes probable that the performance condition will be met and the expense will be attributed over the performance period. The expected volatility is based on the historical volatility and implied volatilities for comparable companies, the expected life of the award is based on the simplified method.</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income (loss) per share is computed by dividing net income (loss) attributable to WM Technology, Inc.</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the weighted-average number of shares of Class A Common Stock outstanding during the period.</w:t>
      </w:r>
    </w:p>
    <w:p>
      <w:pPr>
        <w:spacing w:after="0" w:line="10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w:t>
      </w:r>
    </w:p>
    <w:p>
      <w:pPr>
        <w:spacing w:after="0" w:line="5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December 31, 2021, the Company was an “emerging growth company” (EGC) as defined in the Jumpstart Our Business Startups Act, (JOBS Act), and elected to take advantage of certain exemptions from various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reporting requirements that are applicable to other public companies until the Company is no longer an EGC, including using the extended transition period for complying with new or revised accounting standards. As of December 31, 2021, the Company has become a large accelerated filer under the rules of the SEC and is no longer classified as an EGC.</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6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June 2016, the FASB issued ASU 2016-13, Financial Instruments—Credit Losses: Measurement of Credit Losses on Financial Instruments (Topic 326). This update modifies measurement of credit losses. The new standard requires that entities estimate credit losses based upon an “expected credit loss” approach rather than the historical “incurred loss” approach. The new approach requires entities to measure all expected credit losses for financial assets based on historical experience, current conditions and reasonable forecasts of collectability. The change in approach impacts the timing of recognition of credit losses.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The new standard aligns the requirements for capitalizing implementation costs incurred in a cloud computing arrangement that is a service contract with the requirements for capitalizing implementation costs incurred to develop or obtain internal-use software (and hosting arrangements that include an internal-use software license).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December 2019, the FASB issued ASU 2019-12, Income Taxes (ASC 740): Simplifying the Accounting for Income Taxes. The standard eliminates the need for an organization to analyze whether the following apply in a given period: (1) the exception to the incremental approach for intraperiod tax allocation; (2) the exceptions to accounting for basis differences when there are ownership changes in foreign investments; and (3) the exception in interim periods income tax accounting for year-to-date losses that exceed anticipated losses. The ASU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(4) enacted changes in tax laws in interim periods and (5) certain income tax accounting for employee stock ownership plans and affordable housing projects. The Company adopted ASU 2019-12 on January 1, 2021 on a prospective basis. The adoption did not have a material impact on the Company’s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Effective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related costs, net for the year ended December 31, 2021 are as follows (in thousands):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31, 2021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60" w:type="dxa"/>
            <w:vAlign w:val="bottom"/>
            <w:tcBorders>
              <w:bottom w:val="single" w:sz="8" w:color="CCEEFF"/>
            </w:tcBorders>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$ 9,229</w:t>
            </w:r>
          </w:p>
        </w:tc>
      </w:tr>
      <w:tr>
        <w:trPr>
          <w:trHeight w:val="256"/>
        </w:trPr>
        <w:tc>
          <w:tcPr>
            <w:tcW w:w="6960" w:type="dxa"/>
            <w:vAlign w:val="bottom"/>
          </w:tcPr>
          <w:p>
            <w:pPr>
              <w:spacing w:after="0"/>
              <w:rPr>
                <w:sz w:val="20"/>
                <w:szCs w:val="20"/>
                <w:color w:val="auto"/>
              </w:rPr>
            </w:pPr>
            <w:r>
              <w:rPr>
                <w:rFonts w:ascii="Arial" w:cs="Arial" w:eastAsia="Arial" w:hAnsi="Arial"/>
                <w:sz w:val="18"/>
                <w:szCs w:val="18"/>
                <w:color w:val="auto"/>
              </w:rPr>
              <w:t>Variable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2,217</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11,446</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18"/>
                <w:szCs w:val="18"/>
                <w:color w:val="auto"/>
              </w:rPr>
              <w:t>Short-term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 net</w:t>
            </w:r>
          </w:p>
        </w:tc>
        <w:tc>
          <w:tcPr>
            <w:tcW w:w="4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$ 11,534</w:t>
            </w:r>
          </w:p>
        </w:tc>
        <w:tc>
          <w:tcPr>
            <w:tcW w:w="4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-1079500</wp:posOffset>
            </wp:positionV>
            <wp:extent cx="15430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During the year ended December 31, 2021, the Company made cash payments of $8.2 million on its operating leases, all of which were included in cash flows from operating activities within the consolidated statements of cash flows. During the year ended December 31, 2021, ROU assets obtained in exchange for operating lease liabilities were $43.3 million. Net rent expense for the years ended December 31, 2021, 2020 and 2019 amounted to $11.5 million, $11.1 million, and $5.6 million, respectively, and is included in general and administrative expense in the accompanying consolidated statements of operations. Sublease rental income is recognized as a reduction to the related lease expense on a straight-line basis over the sublease term. For the year ended December 31, 2021, the Company recorded contra rent expense related to a sublease of $0.2 million.</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December 31, 2021, future minimum payments for the next five years and thereafter are as follows (in thousands):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Operating</w:t>
            </w:r>
          </w:p>
        </w:tc>
      </w:tr>
      <w:tr>
        <w:trPr>
          <w:trHeight w:val="186"/>
        </w:trPr>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Leases</w:t>
            </w:r>
          </w:p>
        </w:tc>
      </w:tr>
      <w:tr>
        <w:trPr>
          <w:trHeight w:val="53"/>
        </w:trPr>
        <w:tc>
          <w:tcPr>
            <w:tcW w:w="7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311"/>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$ 9,597</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9,898</w:t>
            </w: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2024</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9,405</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2026</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5,408</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8"/>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gridSpan w:val="2"/>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24,325</w:t>
            </w:r>
          </w:p>
        </w:tc>
      </w:tr>
      <w:tr>
        <w:trPr>
          <w:trHeight w:val="284"/>
        </w:trPr>
        <w:tc>
          <w:tcPr>
            <w:tcW w:w="770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$ 64,463</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8"/>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(19,623)</w:t>
            </w:r>
          </w:p>
        </w:tc>
      </w:tr>
      <w:tr>
        <w:trPr>
          <w:trHeight w:val="270"/>
        </w:trPr>
        <w:tc>
          <w:tcPr>
            <w:tcW w:w="77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$ 44,840</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-2099310</wp:posOffset>
            </wp:positionV>
            <wp:extent cx="274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the Company’s operating leases had a weighted average remaining lease term of 7.4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year ended December 31,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80" w:lineRule="exact"/>
        <w:rPr>
          <w:sz w:val="20"/>
          <w:szCs w:val="20"/>
          <w:color w:val="auto"/>
        </w:rPr>
      </w:pPr>
    </w:p>
    <w:p>
      <w:pPr>
        <w:ind w:left="640" w:hanging="348"/>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December 31, 2021, and indicates the fair value hierarchy of the valuation inputs the Company utilized to determine such fair value (in thousands):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64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$ 16,750</w:t>
            </w:r>
          </w:p>
        </w:tc>
      </w:tr>
      <w:tr>
        <w:trPr>
          <w:trHeight w:val="54"/>
        </w:trPr>
        <w:tc>
          <w:tcPr>
            <w:tcW w:w="6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10,710</w:t>
            </w: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6480" w:type="dxa"/>
            <w:vAlign w:val="bottom"/>
          </w:tcPr>
          <w:p>
            <w:pPr>
              <w:ind w:left="180"/>
              <w:spacing w:after="0"/>
              <w:rPr>
                <w:sz w:val="20"/>
                <w:szCs w:val="20"/>
                <w:color w:val="auto"/>
              </w:rPr>
            </w:pPr>
            <w:r>
              <w:rPr>
                <w:rFonts w:ascii="Arial" w:cs="Arial" w:eastAsia="Arial" w:hAnsi="Arial"/>
                <w:sz w:val="18"/>
                <w:szCs w:val="18"/>
                <w:color w:val="auto"/>
              </w:rPr>
              <w:t>Total warrant liability</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$ 27,460</w:t>
            </w:r>
          </w:p>
        </w:tc>
      </w:tr>
      <w:tr>
        <w:trPr>
          <w:trHeight w:val="21"/>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-848360</wp:posOffset>
            </wp:positionV>
            <wp:extent cx="26543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-848360</wp:posOffset>
            </wp:positionV>
            <wp:extent cx="137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8"/>
          </w:tcPr>
          <w:p>
            <w:pPr>
              <w:jc w:val="right"/>
              <w:ind w:right="49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53"/>
        </w:trPr>
        <w:tc>
          <w:tcPr>
            <w:tcW w:w="53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Private</w:t>
            </w:r>
          </w:p>
        </w:tc>
        <w:tc>
          <w:tcPr>
            <w:tcW w:w="20" w:type="dxa"/>
            <w:vAlign w:val="bottom"/>
          </w:tcPr>
          <w:p>
            <w:pPr>
              <w:spacing w:after="0"/>
              <w:rPr>
                <w:sz w:val="16"/>
                <w:szCs w:val="16"/>
                <w:color w:val="auto"/>
              </w:rPr>
            </w:pPr>
          </w:p>
        </w:tc>
        <w:tc>
          <w:tcPr>
            <w:tcW w:w="7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3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3"/>
              </w:rPr>
              <w:t>Public Warrants</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Placement</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6"/>
                <w:szCs w:val="16"/>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3"/>
        </w:trPr>
        <w:tc>
          <w:tcPr>
            <w:tcW w:w="53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Warrant liability acquired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100,750</w:t>
            </w:r>
          </w:p>
        </w:tc>
        <w:tc>
          <w:tcPr>
            <w:tcW w:w="280" w:type="dxa"/>
            <w:vAlign w:val="bottom"/>
          </w:tcPr>
          <w:p>
            <w:pPr>
              <w:spacing w:after="0"/>
              <w:rPr>
                <w:sz w:val="23"/>
                <w:szCs w:val="2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93,228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8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(82,518)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(166,518)</w:t>
            </w:r>
          </w:p>
        </w:tc>
        <w:tc>
          <w:tcPr>
            <w:tcW w:w="0" w:type="dxa"/>
            <w:vAlign w:val="bottom"/>
          </w:tcPr>
          <w:p>
            <w:pPr>
              <w:spacing w:after="0"/>
              <w:rPr>
                <w:sz w:val="1"/>
                <w:szCs w:val="1"/>
                <w:color w:val="auto"/>
              </w:rPr>
            </w:pPr>
          </w:p>
        </w:tc>
      </w:tr>
      <w:tr>
        <w:trPr>
          <w:trHeight w:val="61"/>
        </w:trPr>
        <w:tc>
          <w:tcPr>
            <w:tcW w:w="5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80"/>
              <w:spacing w:after="0"/>
              <w:rPr>
                <w:sz w:val="20"/>
                <w:szCs w:val="20"/>
                <w:color w:val="auto"/>
              </w:rPr>
            </w:pPr>
            <w:r>
              <w:rPr>
                <w:rFonts w:ascii="Arial" w:cs="Arial" w:eastAsia="Arial" w:hAnsi="Arial"/>
                <w:sz w:val="18"/>
                <w:szCs w:val="18"/>
                <w:color w:val="auto"/>
              </w:rPr>
              <w:t>Fair value, end of period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$ 16,750</w:t>
            </w:r>
          </w:p>
        </w:tc>
        <w:tc>
          <w:tcPr>
            <w:tcW w:w="280" w:type="dxa"/>
            <w:vAlign w:val="bottom"/>
          </w:tcPr>
          <w:p>
            <w:pPr>
              <w:spacing w:after="0"/>
              <w:rPr>
                <w:sz w:val="23"/>
                <w:szCs w:val="2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$ 10,710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$ 27,460</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-847725</wp:posOffset>
            </wp:positionV>
            <wp:extent cx="1714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-847725</wp:posOffset>
            </wp:positionV>
            <wp:extent cx="1714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-847725</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$16.8 million and $100.8 million as of December 31, 2021 and June 16, 2021, respectively.</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90"/>
              </w:rPr>
              <w:t>June 16, 2021</w:t>
            </w:r>
          </w:p>
        </w:tc>
      </w:tr>
      <w:tr>
        <w:trPr>
          <w:trHeight w:val="53"/>
        </w:trPr>
        <w:tc>
          <w:tcPr>
            <w:tcW w:w="6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3"/>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$ 11.50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Stock price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$ 20.55</w:t>
            </w:r>
          </w:p>
        </w:tc>
      </w:tr>
      <w:tr>
        <w:trPr>
          <w:trHeight w:val="54"/>
        </w:trPr>
        <w:tc>
          <w:tcPr>
            <w:tcW w:w="6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4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52.4%</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60.0%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Term (years)</w:t>
            </w:r>
          </w:p>
        </w:tc>
        <w:tc>
          <w:tcPr>
            <w:tcW w:w="46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3"/>
                <w:szCs w:val="23"/>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5.00</w:t>
            </w:r>
          </w:p>
        </w:tc>
      </w:tr>
      <w:tr>
        <w:trPr>
          <w:trHeight w:val="54"/>
        </w:trPr>
        <w:tc>
          <w:tcPr>
            <w:tcW w:w="6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0.89%</w:t>
            </w:r>
          </w:p>
        </w:tc>
      </w:tr>
      <w:tr>
        <w:trPr>
          <w:trHeight w:val="54"/>
        </w:trPr>
        <w:tc>
          <w:tcPr>
            <w:tcW w:w="62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-1045210</wp:posOffset>
            </wp:positionV>
            <wp:extent cx="1028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-1045210</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valuations of the Private Placement Warrants use assumptions and estimates the Company believes would be made by a market participant in making the same valuation. The Company assess these assumptions and estimates on an on-going basis as additional data impacting the assumptions and estimates are obtained. Changes in the fair value of the Private Placement Warrants related to updated assumptions and estimates are recognized within the consolidated statements of operations.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the Company’s results of operations in future periods.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fair value of the Private Placement Warrants was $10.7 million and $93.2 million as of December 31, 2021 and June 16, 2021, respectively.</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The Warrants were accounted for as liabilities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presented within warrant liability on the accompanying consolidated balance sheets. The warrant liabilities are measured at fair value at inception and on a recurring basis, with changes in fair value presented within change in fair value of warrant liability in the consolidated statements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discussed in Note 1, on June 16, 2021, the Company consummated the Business Combination pursuant to the Merger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consummated the sale of 32,500,000 shares of Class A Common Stock for a purchase price of $10 per share (together, the “PIPE Financing”) pursuant to certain subscription agreements dated as of December 10, 2020, for an aggregate price of $325.0 million.</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contributed approximately $80.3 million of cash to WMH LLC, representing (a) the net amount held in the Company’s trust account following the redemption of 10,012 shares of Class A Common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2020" w:right="1300"/>
        <w:spacing w:after="0" w:line="259" w:lineRule="auto"/>
        <w:rPr>
          <w:sz w:val="20"/>
          <w:szCs w:val="20"/>
          <w:color w:val="auto"/>
        </w:rPr>
      </w:pPr>
      <w:r>
        <w:rPr>
          <w:rFonts w:ascii="Arial" w:cs="Arial" w:eastAsia="Arial" w:hAnsi="Arial"/>
          <w:sz w:val="18"/>
          <w:szCs w:val="18"/>
          <w:color w:val="auto"/>
        </w:rPr>
        <w:t>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sz w:val="20"/>
          <w:szCs w:val="20"/>
          <w:color w:val="auto"/>
        </w:rPr>
      </w:pPr>
    </w:p>
    <w:p>
      <w:pPr>
        <w:ind w:left="2000" w:hanging="348"/>
        <w:spacing w:after="0"/>
        <w:tabs>
          <w:tab w:leader="none" w:pos="2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117"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62"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62" w:lineRule="exact"/>
        <w:rPr>
          <w:rFonts w:ascii="Arial" w:cs="Arial" w:eastAsia="Arial" w:hAnsi="Arial"/>
          <w:sz w:val="18"/>
          <w:szCs w:val="18"/>
          <w:color w:val="auto"/>
        </w:rPr>
      </w:pPr>
    </w:p>
    <w:p>
      <w:pPr>
        <w:jc w:val="both"/>
        <w:ind w:left="2000" w:right="1300" w:hanging="348"/>
        <w:spacing w:after="0" w:line="254" w:lineRule="auto"/>
        <w:tabs>
          <w:tab w:leader="none" w:pos="2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84"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1300" w:right="1320" w:firstLine="360"/>
        <w:spacing w:after="0" w:line="308" w:lineRule="auto"/>
        <w:rPr>
          <w:sz w:val="20"/>
          <w:szCs w:val="20"/>
          <w:color w:val="auto"/>
        </w:rPr>
      </w:pPr>
      <w:r>
        <w:rPr>
          <w:rFonts w:ascii="Arial" w:cs="Arial" w:eastAsia="Arial" w:hAnsi="Arial"/>
          <w:sz w:val="17"/>
          <w:szCs w:val="17"/>
          <w:color w:val="auto"/>
        </w:rPr>
        <w:t>The following table reconciles the elements of the Business Combination to the consolidated statements of cash flows and the consolidated statements of equity for the year ended December 31, 2021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Business Combination</w:t>
            </w:r>
          </w:p>
        </w:tc>
      </w:tr>
      <w:tr>
        <w:trPr>
          <w:trHeight w:val="53"/>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Silver Spike trust and cash, net of redemptions</w:t>
            </w:r>
          </w:p>
        </w:tc>
        <w:tc>
          <w:tcPr>
            <w:tcW w:w="140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$ 254,203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 PIPE Financing</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325,000</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cash consideration paid to Legacy WMH equity holders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(455,182)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transaction costs and advisory fees</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(44,052)</w:t>
            </w: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the Business Combination</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79,969</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initial fair value of warrant liability recognized in the Business Combination</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(193,978)</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transaction costs allocated to Warrants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non-cash assets assumed from Silver Spike</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1,053</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deferred tax asset</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151,255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tax receivable agreement liability</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(128,567)</w:t>
            </w: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adjustment to total equity from the Business Combination</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(84,721)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02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F-22</w:t>
            </w:r>
          </w:p>
        </w:tc>
        <w:tc>
          <w:tcPr>
            <w:tcW w:w="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-2725420</wp:posOffset>
            </wp:positionV>
            <wp:extent cx="1714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of common stock issued immediately following the Closing:</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Number of Shares</w:t>
            </w:r>
          </w:p>
        </w:tc>
      </w:tr>
      <w:tr>
        <w:trPr>
          <w:trHeight w:val="53"/>
        </w:trPr>
        <w:tc>
          <w:tcPr>
            <w:tcW w:w="7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9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the Business Combination</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24,998,575</w:t>
            </w:r>
          </w:p>
        </w:tc>
      </w:tr>
      <w:tr>
        <w:trPr>
          <w:trHeight w:val="256"/>
        </w:trPr>
        <w:tc>
          <w:tcPr>
            <w:tcW w:w="7280" w:type="dxa"/>
            <w:vAlign w:val="bottom"/>
          </w:tcPr>
          <w:p>
            <w:pPr>
              <w:spacing w:after="0"/>
              <w:rPr>
                <w:sz w:val="20"/>
                <w:szCs w:val="20"/>
                <w:color w:val="auto"/>
              </w:rPr>
            </w:pPr>
            <w:r>
              <w:rPr>
                <w:rFonts w:ascii="Arial" w:cs="Arial" w:eastAsia="Arial" w:hAnsi="Arial"/>
                <w:sz w:val="18"/>
                <w:szCs w:val="18"/>
                <w:color w:val="auto"/>
              </w:rPr>
              <w:t>Less: redemption of shares of Silver Spike’s Class A common stock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10,012</w:t>
            </w:r>
          </w:p>
        </w:tc>
      </w:tr>
      <w:tr>
        <w:trPr>
          <w:trHeight w:val="48"/>
        </w:trPr>
        <w:tc>
          <w:tcPr>
            <w:tcW w:w="7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of Silver Spike’s Class A common stock</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24,988,563</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Shares of Class A Common Stock held by Silver Spike’s Sponsor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6,250,000</w:t>
            </w:r>
          </w:p>
        </w:tc>
      </w:tr>
      <w:tr>
        <w:trPr>
          <w:trHeight w:val="41"/>
        </w:trPr>
        <w:tc>
          <w:tcPr>
            <w:tcW w:w="7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A Common Stock issued in the PIPE Financing</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32,500,000</w:t>
            </w:r>
          </w:p>
        </w:tc>
      </w:tr>
      <w:tr>
        <w:trPr>
          <w:trHeight w:val="284"/>
        </w:trPr>
        <w:tc>
          <w:tcPr>
            <w:tcW w:w="7280" w:type="dxa"/>
            <w:vAlign w:val="bottom"/>
          </w:tcPr>
          <w:p>
            <w:pPr>
              <w:ind w:left="180"/>
              <w:spacing w:after="0"/>
              <w:rPr>
                <w:sz w:val="20"/>
                <w:szCs w:val="20"/>
                <w:color w:val="auto"/>
              </w:rPr>
            </w:pPr>
            <w:r>
              <w:rPr>
                <w:rFonts w:ascii="Arial" w:cs="Arial" w:eastAsia="Arial" w:hAnsi="Arial"/>
                <w:sz w:val="18"/>
                <w:szCs w:val="18"/>
                <w:color w:val="auto"/>
              </w:rPr>
              <w:t>Shares of Class A Common Stock issued in the Business Combination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63,738,563</w:t>
            </w:r>
          </w:p>
        </w:tc>
      </w:tr>
      <w:tr>
        <w:trPr>
          <w:trHeight w:val="40"/>
        </w:trPr>
        <w:tc>
          <w:tcPr>
            <w:tcW w:w="7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V Common Stock issued to Legacy WMH equity holders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65,502,347</w:t>
            </w:r>
          </w:p>
        </w:tc>
      </w:tr>
      <w:tr>
        <w:trPr>
          <w:trHeight w:val="270"/>
        </w:trPr>
        <w:tc>
          <w:tcPr>
            <w:tcW w:w="7280" w:type="dxa"/>
            <w:vAlign w:val="bottom"/>
          </w:tcPr>
          <w:p>
            <w:pPr>
              <w:ind w:left="180"/>
              <w:spacing w:after="0"/>
              <w:rPr>
                <w:sz w:val="20"/>
                <w:szCs w:val="20"/>
                <w:color w:val="auto"/>
              </w:rPr>
            </w:pPr>
            <w:r>
              <w:rPr>
                <w:rFonts w:ascii="Arial" w:cs="Arial" w:eastAsia="Arial" w:hAnsi="Arial"/>
                <w:sz w:val="18"/>
                <w:szCs w:val="18"/>
                <w:color w:val="auto"/>
              </w:rPr>
              <w:t>Total shares of common stock issued in the Business Combination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129,240,910</w:t>
            </w:r>
          </w:p>
        </w:tc>
      </w:tr>
      <w:tr>
        <w:trPr>
          <w:trHeight w:val="21"/>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-1636395</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accompanying consolidated statements of operations.</w:t>
      </w:r>
    </w:p>
    <w:p>
      <w:pPr>
        <w:spacing w:after="0" w:line="153" w:lineRule="exact"/>
        <w:rPr>
          <w:sz w:val="20"/>
          <w:szCs w:val="20"/>
          <w:color w:val="auto"/>
        </w:rPr>
      </w:pPr>
    </w:p>
    <w:p>
      <w:pPr>
        <w:ind w:left="640" w:hanging="348"/>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Sprout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317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$ 12,000</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84"/>
        </w:trPr>
        <w:tc>
          <w:tcPr>
            <w:tcW w:w="778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19,186</w:t>
            </w:r>
          </w:p>
        </w:tc>
      </w:tr>
      <w:tr>
        <w:trPr>
          <w:trHeight w:val="61"/>
        </w:trPr>
        <w:tc>
          <w:tcPr>
            <w:tcW w:w="7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$ 31,186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4"/>
        </w:trPr>
        <w:tc>
          <w:tcPr>
            <w:tcW w:w="77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38"/>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57"/>
        </w:trPr>
        <w:tc>
          <w:tcPr>
            <w:tcW w:w="7780" w:type="dxa"/>
            <w:vAlign w:val="bottom"/>
          </w:tcPr>
          <w:p>
            <w:pPr>
              <w:spacing w:after="0"/>
              <w:rPr>
                <w:sz w:val="20"/>
                <w:szCs w:val="20"/>
                <w:color w:val="auto"/>
              </w:rPr>
            </w:pPr>
            <w:r>
              <w:rPr>
                <w:rFonts w:ascii="Arial" w:cs="Arial" w:eastAsia="Arial" w:hAnsi="Arial"/>
                <w:sz w:val="18"/>
                <w:szCs w:val="18"/>
                <w:b w:val="1"/>
                <w:bCs w:val="1"/>
                <w:color w:val="auto"/>
              </w:rPr>
              <w:t>Estimated Assets Acquired and Liabilities Assumed:</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acquired:</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57"/>
        </w:trPr>
        <w:tc>
          <w:tcPr>
            <w:tcW w:w="7780" w:type="dxa"/>
            <w:vAlign w:val="bottom"/>
          </w:tcPr>
          <w:p>
            <w:pPr>
              <w:ind w:left="180"/>
              <w:spacing w:after="0"/>
              <w:rPr>
                <w:sz w:val="20"/>
                <w:szCs w:val="20"/>
                <w:color w:val="auto"/>
              </w:rPr>
            </w:pPr>
            <w:r>
              <w:rPr>
                <w:rFonts w:ascii="Arial" w:cs="Arial" w:eastAsia="Arial" w:hAnsi="Arial"/>
                <w:sz w:val="18"/>
                <w:szCs w:val="18"/>
                <w:color w:val="auto"/>
              </w:rPr>
              <w:t>Software technology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$ 2,973</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56"/>
        </w:trPr>
        <w:tc>
          <w:tcPr>
            <w:tcW w:w="77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1,410</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26,686</w:t>
            </w:r>
          </w:p>
        </w:tc>
      </w:tr>
      <w:tr>
        <w:trPr>
          <w:trHeight w:val="61"/>
        </w:trPr>
        <w:tc>
          <w:tcPr>
            <w:tcW w:w="7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84"/>
        </w:trPr>
        <w:tc>
          <w:tcPr>
            <w:tcW w:w="7780" w:type="dxa"/>
            <w:vAlign w:val="bottom"/>
          </w:tcPr>
          <w:p>
            <w:pPr>
              <w:spacing w:after="0"/>
              <w:rPr>
                <w:sz w:val="20"/>
                <w:szCs w:val="20"/>
                <w:color w:val="auto"/>
              </w:rPr>
            </w:pPr>
            <w:r>
              <w:rPr>
                <w:rFonts w:ascii="Arial" w:cs="Arial" w:eastAsia="Arial" w:hAnsi="Arial"/>
                <w:sz w:val="18"/>
                <w:szCs w:val="18"/>
                <w:color w:val="auto"/>
              </w:rPr>
              <w:t>Total assets acquired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31,286</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97"/>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56"/>
        </w:trPr>
        <w:tc>
          <w:tcPr>
            <w:tcW w:w="7780" w:type="dxa"/>
            <w:vAlign w:val="bottom"/>
          </w:tcPr>
          <w:p>
            <w:pPr>
              <w:spacing w:after="0"/>
              <w:rPr>
                <w:sz w:val="20"/>
                <w:szCs w:val="20"/>
                <w:color w:val="auto"/>
              </w:rPr>
            </w:pPr>
            <w:r>
              <w:rPr>
                <w:rFonts w:ascii="Arial" w:cs="Arial" w:eastAsia="Arial" w:hAnsi="Arial"/>
                <w:sz w:val="18"/>
                <w:szCs w:val="18"/>
                <w:color w:val="auto"/>
              </w:rPr>
              <w:t>Liabilities assumed:</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61"/>
        </w:trPr>
        <w:tc>
          <w:tcPr>
            <w:tcW w:w="7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Total net assets acquired</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$ 31,186</w:t>
            </w:r>
          </w:p>
        </w:tc>
      </w:tr>
      <w:tr>
        <w:trPr>
          <w:trHeight w:val="21"/>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53" w:lineRule="auto"/>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Sprout acquisition of $1.0 million, which is included in general and administrative expenses in the consolidated statements of operations.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Sprout included the Company’s consolidated statements of operations for the period from September 3, 2021 (acquisition date) through December 31, 2021 were not material. Pro forma revenue and earnings amounts on a combined basis have not been presented as they are not material to the Company’s historical pre-acquisition financial statements.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Transport Logistics Holding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400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780" w:type="dxa"/>
            <w:vAlign w:val="bottom"/>
          </w:tcPr>
          <w:p>
            <w:pPr>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9"/>
                <w:szCs w:val="29"/>
                <w:color w:val="auto"/>
                <w:vertAlign w:val="superscript"/>
              </w:rPr>
              <w:t>(1)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$ 5,000</w:t>
            </w:r>
          </w:p>
        </w:tc>
      </w:tr>
      <w:tr>
        <w:trPr>
          <w:trHeight w:val="358"/>
        </w:trPr>
        <w:tc>
          <w:tcPr>
            <w:tcW w:w="7780" w:type="dxa"/>
            <w:vAlign w:val="bottom"/>
            <w:tcBorders>
              <w:bottom w:val="single" w:sz="8" w:color="CCEEFF"/>
            </w:tcBorders>
            <w:shd w:val="clear" w:color="auto" w:fill="CCEEFF"/>
          </w:tcPr>
          <w:p>
            <w:pPr>
              <w:spacing w:after="0" w:line="310"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(2)</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$ 15,126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8"/>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65"/>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Estimated Assets Acquired:</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54"/>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$ 249</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Trade name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54"/>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14,648</w:t>
            </w:r>
          </w:p>
        </w:tc>
      </w:tr>
      <w:tr>
        <w:trPr>
          <w:trHeight w:val="48"/>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r>
      <w:tr>
        <w:trPr>
          <w:trHeight w:val="31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 acquired</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$ 15,126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holdback of $100 million recorded within other current liabilities on the Company’s consolidated balance sheets.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w:t>
      </w:r>
    </w:p>
    <w:p>
      <w:pPr>
        <w:spacing w:after="0" w:line="6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6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TLH acquisition of $0.7 million, which is included in general and administrative expenses in the consolidated statements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TLH included the Company’s consolidated statements of operations for the period from September 29, 2021 (acquisition date) through December 31, 2021 were not material. Pro forma revenue and earnings amounts on a combined basis have not been presented as they are not material to the Company’s historical pre-acquisition financial statements.</w:t>
      </w:r>
    </w:p>
    <w:p>
      <w:pPr>
        <w:spacing w:after="0" w:line="183" w:lineRule="exact"/>
        <w:rPr>
          <w:sz w:val="20"/>
          <w:szCs w:val="20"/>
          <w:color w:val="auto"/>
        </w:rPr>
      </w:pPr>
    </w:p>
    <w:p>
      <w:pPr>
        <w:ind w:left="640" w:hanging="348"/>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 summary of changes in goodwill for the year ended December 31, 2021 is as follows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Goodwill</w:t>
            </w: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Acquisition of Sprout</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26,686</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TLH</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14,648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$ 45,295</w:t>
            </w:r>
          </w:p>
        </w:tc>
        <w:tc>
          <w:tcPr>
            <w:tcW w:w="0" w:type="dxa"/>
            <w:vAlign w:val="bottom"/>
          </w:tcPr>
          <w:p>
            <w:pPr>
              <w:spacing w:after="0"/>
              <w:rPr>
                <w:sz w:val="1"/>
                <w:szCs w:val="1"/>
                <w:color w:val="auto"/>
              </w:rPr>
            </w:pPr>
          </w:p>
        </w:tc>
      </w:tr>
      <w:tr>
        <w:trPr>
          <w:trHeight w:val="20"/>
        </w:trPr>
        <w:tc>
          <w:tcPr>
            <w:tcW w:w="7100" w:type="dxa"/>
            <w:vAlign w:val="bottom"/>
            <w:gridSpan w:val="16"/>
            <w:vMerge w:val="restart"/>
          </w:tcPr>
          <w:p>
            <w:pPr>
              <w:ind w:left="360"/>
              <w:spacing w:after="0"/>
              <w:rPr>
                <w:sz w:val="20"/>
                <w:szCs w:val="20"/>
                <w:color w:val="auto"/>
              </w:rPr>
            </w:pPr>
            <w:r>
              <w:rPr>
                <w:rFonts w:ascii="Arial" w:cs="Arial" w:eastAsia="Arial" w:hAnsi="Arial"/>
                <w:sz w:val="18"/>
                <w:szCs w:val="18"/>
                <w:color w:val="auto"/>
                <w:w w:val="93"/>
              </w:rPr>
              <w:t>Intangible assets consisted of the following for the periods presented below (in thousands):</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7100" w:type="dxa"/>
            <w:vAlign w:val="bottom"/>
            <w:gridSpan w:val="16"/>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77"/>
              </w:rPr>
              <w:t>Accumulated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4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150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89"/>
              </w:rPr>
              <w:t>Gross Intangible Assets</w:t>
            </w:r>
          </w:p>
        </w:tc>
        <w:tc>
          <w:tcPr>
            <w:tcW w:w="3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500" w:type="dxa"/>
            <w:vAlign w:val="bottom"/>
            <w:gridSpan w:val="7"/>
            <w:vMerge w:val="continue"/>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79"/>
              </w:rPr>
              <w:t>Amortization</w:t>
            </w: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$ 7,532</w:t>
            </w: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(4,081)</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$ 3,451</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gridSpan w:val="7"/>
          </w:tcPr>
          <w:p>
            <w:pPr>
              <w:jc w:val="right"/>
              <w:ind w:right="20"/>
              <w:spacing w:after="0"/>
              <w:rPr>
                <w:sz w:val="20"/>
                <w:szCs w:val="20"/>
                <w:color w:val="auto"/>
              </w:rPr>
            </w:pPr>
            <w:r>
              <w:rPr>
                <w:rFonts w:ascii="Arial" w:cs="Arial" w:eastAsia="Arial" w:hAnsi="Arial"/>
                <w:sz w:val="18"/>
                <w:szCs w:val="18"/>
                <w:color w:val="auto"/>
              </w:rPr>
              <w:t>6,691</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(3,222)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tcPr>
          <w:p>
            <w:pPr>
              <w:spacing w:after="0"/>
              <w:rPr>
                <w:sz w:val="23"/>
                <w:szCs w:val="23"/>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$ 15,803</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 (7,504)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$ 8,299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128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Intangible</w:t>
            </w: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220" w:type="dxa"/>
            <w:vAlign w:val="bottom"/>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$ 7,255</w:t>
            </w: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(3,556)</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$ 3,699</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308"/>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6"/>
          </w:tcPr>
          <w:p>
            <w:pPr>
              <w:jc w:val="right"/>
              <w:ind w:right="220"/>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spacing w:after="0"/>
              <w:rPr>
                <w:sz w:val="24"/>
                <w:szCs w:val="2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$ 10,724</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 (6,219)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$ 4,505</w:t>
            </w:r>
          </w:p>
        </w:tc>
        <w:tc>
          <w:tcPr>
            <w:tcW w:w="0" w:type="dxa"/>
            <w:vAlign w:val="bottom"/>
          </w:tcPr>
          <w:p>
            <w:pPr>
              <w:spacing w:after="0"/>
              <w:rPr>
                <w:sz w:val="1"/>
                <w:szCs w:val="1"/>
                <w:color w:val="auto"/>
              </w:rPr>
            </w:pPr>
          </w:p>
        </w:tc>
      </w:tr>
      <w:tr>
        <w:trPr>
          <w:trHeight w:val="27"/>
        </w:trPr>
        <w:tc>
          <w:tcPr>
            <w:tcW w:w="3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-3839845</wp:posOffset>
            </wp:positionV>
            <wp:extent cx="1543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-2142490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-2142490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-2142490</wp:posOffset>
            </wp:positionV>
            <wp:extent cx="857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-2142490</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-650875</wp:posOffset>
            </wp:positionV>
            <wp:extent cx="137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-650875</wp:posOffset>
            </wp:positionV>
            <wp:extent cx="1454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-650875</wp:posOffset>
            </wp:positionV>
            <wp:extent cx="1543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-650875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Amortization expense for intangible assets was $1.3 million, $0.9 million and $3.4 million for the years ended December 31, 2021, 2020 and 2019,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estimated future amortization expense of intangible assets as of December 31, 2021 is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Amortization</w:t>
            </w:r>
          </w:p>
        </w:tc>
      </w:tr>
      <w:tr>
        <w:trPr>
          <w:trHeight w:val="53"/>
        </w:trPr>
        <w:tc>
          <w:tcPr>
            <w:tcW w:w="7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$ 2,094</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1,517</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939</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61"/>
        </w:trPr>
        <w:tc>
          <w:tcPr>
            <w:tcW w:w="75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r>
      <w:tr>
        <w:trPr>
          <w:trHeight w:val="270"/>
        </w:trPr>
        <w:tc>
          <w:tcPr>
            <w:tcW w:w="75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$ 8,299</w:t>
            </w:r>
          </w:p>
        </w:tc>
      </w:tr>
      <w:tr>
        <w:trPr>
          <w:trHeight w:val="20"/>
        </w:trPr>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-1670685</wp:posOffset>
            </wp:positionV>
            <wp:extent cx="77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1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Accounts payable and accrued liabilities as of December 31, 2021 and 2020 consisted of the following (in thousands):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 2020</w:t>
            </w:r>
          </w:p>
        </w:tc>
      </w:tr>
      <w:tr>
        <w:trPr>
          <w:trHeight w:val="53"/>
        </w:trPr>
        <w:tc>
          <w:tcPr>
            <w:tcW w:w="58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$ 4,298</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$ 2,244</w:t>
            </w: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Accrued employee expenses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10,088</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6,586</w:t>
            </w:r>
          </w:p>
        </w:tc>
      </w:tr>
      <w:tr>
        <w:trPr>
          <w:trHeight w:val="54"/>
        </w:trPr>
        <w:tc>
          <w:tcPr>
            <w:tcW w:w="5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586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$ 23,155</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$ 12,651</w:t>
            </w:r>
          </w:p>
        </w:tc>
      </w:tr>
      <w:tr>
        <w:trPr>
          <w:trHeight w:val="20"/>
        </w:trPr>
        <w:tc>
          <w:tcPr>
            <w:tcW w:w="5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-847725</wp:posOffset>
            </wp:positionV>
            <wp:extent cx="137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-847725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Warrant Liability</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At December 31, 2021, there were 12,499,993 Public Warrants outstanding and 7,000,000 Private Placement Warrants outstanding.</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5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6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8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The Company concluded the Public Warrants and Private Placement Warrants, or the Warrants, meet the definition of a derivative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 described in Note 2) and are recorded as liabilities. Upon the Closing, the fair value of the Warrants was recorded on the balance sheet. The fair value of the Warrants was remeasured as of December 31, 2021, resulting in a non-cash change in fair Warrant liabilities of $166.5 million in the consolidated statements of operations for the year ended December 31, 2021.</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Equity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2021, there were no shares of preferred stock issued or outstanding.</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noncontrolling interest represents the Units held by holders other than the Company. As of December 31, 2021, the noncontrolling interests owned 55.5%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consolidated statements of operations for the year ended December 31, 2021.</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Stock-based Compensation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Holding Company, LLC Equity Incentive Plan</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Company has accounted for the issuance of Class A-3 and Class B Units issued under WM Holding Company, LLC’s Equity Incentive Plan in accordance with ASC 718 - Stock Based Compensation. The Company considers the limitation on the exercisability of the Class A-3 and Class B Units to be a performance condition and records compensation cost when it becomes probable that the performance condition will be met.</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Class P Unit activity for the periods presented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Number of Units</w:t>
            </w:r>
          </w:p>
        </w:tc>
      </w:tr>
      <w:tr>
        <w:trPr>
          <w:trHeight w:val="53"/>
        </w:trPr>
        <w:tc>
          <w:tcPr>
            <w:tcW w:w="7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December 31, 2018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245,371</w:t>
            </w: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25,990</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(7,284)</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2019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264,077</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14,250</w:t>
            </w: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Repurchase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(1,900)</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2020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274,816</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Repurchases</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(8,279)</w:t>
            </w:r>
          </w:p>
        </w:tc>
      </w:tr>
      <w:tr>
        <w:trPr>
          <w:trHeight w:val="257"/>
        </w:trPr>
        <w:tc>
          <w:tcPr>
            <w:tcW w:w="7360" w:type="dxa"/>
            <w:vAlign w:val="bottom"/>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(4,288)</w:t>
            </w:r>
          </w:p>
        </w:tc>
      </w:tr>
      <w:tr>
        <w:trPr>
          <w:trHeight w:val="61"/>
        </w:trPr>
        <w:tc>
          <w:tcPr>
            <w:tcW w:w="7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31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June 15, 2021 (Pre-Business Combination)</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262,249</w:t>
            </w:r>
          </w:p>
        </w:tc>
      </w:tr>
      <w:tr>
        <w:trPr>
          <w:trHeight w:val="256"/>
        </w:trPr>
        <w:tc>
          <w:tcPr>
            <w:tcW w:w="7360" w:type="dxa"/>
            <w:vAlign w:val="bottom"/>
          </w:tcPr>
          <w:p>
            <w:pPr>
              <w:spacing w:after="0"/>
              <w:rPr>
                <w:sz w:val="20"/>
                <w:szCs w:val="20"/>
                <w:color w:val="auto"/>
              </w:rPr>
            </w:pPr>
            <w:r>
              <w:rPr>
                <w:rFonts w:ascii="Arial" w:cs="Arial" w:eastAsia="Arial" w:hAnsi="Arial"/>
                <w:sz w:val="18"/>
                <w:szCs w:val="18"/>
                <w:color w:val="auto"/>
              </w:rPr>
              <w:t>Class A-3 Units outstanding exchanged for Class A Units in connection with the Business</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Combination</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(53,333)</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 in connection with the Business Combination</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25,687,126</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June 16, 2021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25,896,042</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(235,513)</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December 31, 2021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25,660,529</w:t>
            </w:r>
          </w:p>
        </w:tc>
      </w:tr>
      <w:tr>
        <w:trPr>
          <w:trHeight w:val="21"/>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4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December 31, 2021</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23,685,659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-3788410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319" w:firstLine="360"/>
        <w:spacing w:after="0" w:line="270" w:lineRule="auto"/>
        <w:rPr>
          <w:sz w:val="20"/>
          <w:szCs w:val="20"/>
          <w:color w:val="auto"/>
        </w:rPr>
      </w:pPr>
      <w:r>
        <w:rPr>
          <w:rFonts w:ascii="Arial" w:cs="Arial" w:eastAsia="Arial" w:hAnsi="Arial"/>
          <w:sz w:val="17"/>
          <w:szCs w:val="17"/>
          <w:color w:val="auto"/>
        </w:rPr>
        <w:t>As of December 31, 2021, unrecognized stock-based compensation expense for non-vested Class P Units was $4.2 million, which is expected to be recognized over a weighted-average period of 2.1 years. For the year ended December 31, 2021, the Company recorded stock-based compensation expense for the Class P Units of $20.9 million.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Equity Incentive Plan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2021, 19,209,986 shares of Class A Common Stock are authorized for issuance pursuant to awards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300" w:right="1300"/>
        <w:spacing w:after="0" w:line="254" w:lineRule="auto"/>
        <w:rPr>
          <w:sz w:val="20"/>
          <w:szCs w:val="20"/>
          <w:color w:val="auto"/>
        </w:rPr>
      </w:pPr>
      <w:r>
        <w:rPr>
          <w:rFonts w:ascii="Arial" w:cs="Arial" w:eastAsia="Arial" w:hAnsi="Arial"/>
          <w:sz w:val="18"/>
          <w:szCs w:val="18"/>
          <w:color w:val="auto"/>
        </w:rPr>
        <w:t>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2021, 10,373,779 shares of Class A Common Stock are available for future issuance.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summary of the restricted stock unit (“RSU”) activity for the year ended December 31, 2021 is as follows:</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Number of RSUs</w:t>
            </w: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7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6,581,369</w:t>
            </w:r>
          </w:p>
        </w:tc>
        <w:tc>
          <w:tcPr>
            <w:tcW w:w="1400" w:type="dxa"/>
            <w:vAlign w:val="bottom"/>
          </w:tcPr>
          <w:p>
            <w:pPr>
              <w:jc w:val="right"/>
              <w:spacing w:after="0"/>
              <w:rPr>
                <w:sz w:val="20"/>
                <w:szCs w:val="20"/>
                <w:color w:val="auto"/>
              </w:rPr>
            </w:pPr>
            <w:r>
              <w:rPr>
                <w:rFonts w:ascii="Arial" w:cs="Arial" w:eastAsia="Arial" w:hAnsi="Arial"/>
                <w:sz w:val="18"/>
                <w:szCs w:val="18"/>
                <w:color w:val="auto"/>
              </w:rPr>
              <w:t>$ 10.96</w:t>
            </w: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(568,826)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$ 10.59</w:t>
            </w:r>
          </w:p>
        </w:tc>
        <w:tc>
          <w:tcPr>
            <w:tcW w:w="0" w:type="dxa"/>
            <w:vAlign w:val="bottom"/>
          </w:tcPr>
          <w:p>
            <w:pPr>
              <w:spacing w:after="0"/>
              <w:rPr>
                <w:sz w:val="1"/>
                <w:szCs w:val="1"/>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(182,662)</w:t>
            </w:r>
          </w:p>
        </w:tc>
        <w:tc>
          <w:tcPr>
            <w:tcW w:w="1400" w:type="dxa"/>
            <w:vAlign w:val="bottom"/>
          </w:tcPr>
          <w:p>
            <w:pPr>
              <w:jc w:val="right"/>
              <w:spacing w:after="0"/>
              <w:rPr>
                <w:sz w:val="20"/>
                <w:szCs w:val="20"/>
                <w:color w:val="auto"/>
              </w:rPr>
            </w:pPr>
            <w:r>
              <w:rPr>
                <w:rFonts w:ascii="Arial" w:cs="Arial" w:eastAsia="Arial" w:hAnsi="Arial"/>
                <w:sz w:val="18"/>
                <w:szCs w:val="18"/>
                <w:color w:val="auto"/>
              </w:rPr>
              <w:t>$ 13.70</w:t>
            </w: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5,829,881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$ 10.91</w:t>
            </w:r>
          </w:p>
        </w:tc>
        <w:tc>
          <w:tcPr>
            <w:tcW w:w="0" w:type="dxa"/>
            <w:vAlign w:val="bottom"/>
          </w:tcPr>
          <w:p>
            <w:pPr>
              <w:spacing w:after="0"/>
              <w:rPr>
                <w:sz w:val="1"/>
                <w:szCs w:val="1"/>
                <w:color w:val="auto"/>
              </w:rPr>
            </w:pPr>
          </w:p>
        </w:tc>
      </w:tr>
      <w:tr>
        <w:trPr>
          <w:trHeight w:val="27"/>
        </w:trPr>
        <w:tc>
          <w:tcPr>
            <w:tcW w:w="5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-1062355</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RSUs was $60.5 million, which is expected to be recognized over a weighted-average period of 3.3 years. For the year ended December 31, 2021, the Company recorded stock-based compensation expense for the RSUs of $8.0 million.</w:t>
      </w:r>
    </w:p>
    <w:p>
      <w:pPr>
        <w:spacing w:after="0" w:line="41" w:lineRule="exact"/>
        <w:rPr>
          <w:sz w:val="20"/>
          <w:szCs w:val="20"/>
          <w:color w:val="auto"/>
        </w:rPr>
      </w:pPr>
    </w:p>
    <w:p>
      <w:pPr>
        <w:jc w:val="both"/>
        <w:ind w:left="1300" w:right="1300" w:firstLine="360"/>
        <w:spacing w:after="0" w:line="275" w:lineRule="auto"/>
        <w:rPr>
          <w:sz w:val="20"/>
          <w:szCs w:val="20"/>
          <w:color w:val="auto"/>
        </w:rPr>
      </w:pPr>
      <w:r>
        <w:rPr>
          <w:rFonts w:ascii="Arial" w:cs="Arial" w:eastAsia="Arial" w:hAnsi="Arial"/>
          <w:sz w:val="17"/>
          <w:szCs w:val="17"/>
          <w:color w:val="auto"/>
        </w:rPr>
        <w:t>The Company grants performance-based restricted stock units (“PSUs”) with performance and service-based vesting conditions. The level of achievement of such goals may cause the actual number of units that ultimately vest to range from 0% to 200% of the original units granted. The Company recognizes expense ratably over the vesting period for the PSUs when it is probable that the performance criteria specified will be achieved. The fair value is equal to the market price of the Company’s common stock on the date of grant.</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 summary of the PSU activity for the year ended December 31, 2021 is as follows:</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Number of PSUs</w:t>
            </w: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8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2,437,500</w:t>
            </w:r>
          </w:p>
        </w:tc>
        <w:tc>
          <w:tcPr>
            <w:tcW w:w="1400" w:type="dxa"/>
            <w:vAlign w:val="bottom"/>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8"/>
        </w:trPr>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2,437,500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27"/>
        </w:trPr>
        <w:tc>
          <w:tcPr>
            <w:tcW w:w="58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-1062355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PSUs was $15.2 million, which is expected to be recognized over a weighted-average period of 2.0 years. For the year ended December 31, 2021, the Company recorded stock-based compensation expense for the PSUs of $0.4 million.</w:t>
      </w:r>
    </w:p>
    <w:p>
      <w:pPr>
        <w:spacing w:after="0" w:line="41" w:lineRule="exact"/>
        <w:rPr>
          <w:sz w:val="20"/>
          <w:szCs w:val="20"/>
          <w:color w:val="auto"/>
        </w:rPr>
      </w:pPr>
    </w:p>
    <w:p>
      <w:pPr>
        <w:jc w:val="both"/>
        <w:ind w:left="1300" w:right="1300" w:firstLine="360"/>
        <w:spacing w:after="0" w:line="308" w:lineRule="auto"/>
        <w:rPr>
          <w:sz w:val="20"/>
          <w:szCs w:val="20"/>
          <w:color w:val="auto"/>
        </w:rPr>
      </w:pPr>
      <w:r>
        <w:rPr>
          <w:rFonts w:ascii="Arial" w:cs="Arial" w:eastAsia="Arial" w:hAnsi="Arial"/>
          <w:sz w:val="17"/>
          <w:szCs w:val="17"/>
          <w:color w:val="auto"/>
        </w:rPr>
        <w:t>The Company recorded stock-based compensation cost related to the Class P Units, RSUs and PSUs in the following expense categories on the accompanying consolidated statements of operations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1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$ 6,021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Product development</w:t>
            </w:r>
          </w:p>
        </w:tc>
        <w:tc>
          <w:tcPr>
            <w:tcW w:w="6080" w:type="dxa"/>
            <w:vAlign w:val="bottom"/>
            <w:gridSpan w:val="5"/>
          </w:tcPr>
          <w:p>
            <w:pPr>
              <w:jc w:val="right"/>
              <w:ind w:right="1300"/>
              <w:spacing w:after="0"/>
              <w:rPr>
                <w:sz w:val="20"/>
                <w:szCs w:val="20"/>
                <w:color w:val="auto"/>
              </w:rPr>
            </w:pPr>
            <w:r>
              <w:rPr>
                <w:rFonts w:ascii="Arial" w:cs="Arial" w:eastAsia="Arial" w:hAnsi="Arial"/>
                <w:sz w:val="18"/>
                <w:szCs w:val="18"/>
                <w:color w:val="auto"/>
              </w:rPr>
              <w:t>5,103</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6080" w:type="dxa"/>
            <w:vAlign w:val="bottom"/>
            <w:gridSpan w:val="5"/>
          </w:tcPr>
          <w:p>
            <w:pPr>
              <w:jc w:val="right"/>
              <w:ind w:right="1300"/>
              <w:spacing w:after="0"/>
              <w:rPr>
                <w:sz w:val="20"/>
                <w:szCs w:val="20"/>
                <w:color w:val="auto"/>
              </w:rPr>
            </w:pPr>
            <w:r>
              <w:rPr>
                <w:rFonts w:ascii="Arial" w:cs="Arial" w:eastAsia="Arial" w:hAnsi="Arial"/>
                <w:sz w:val="18"/>
                <w:szCs w:val="18"/>
                <w:color w:val="auto"/>
              </w:rPr>
              <w:t>29,324</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Amount capitalized to software development</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cost</w:t>
            </w:r>
          </w:p>
        </w:tc>
        <w:tc>
          <w:tcPr>
            <w:tcW w:w="4140" w:type="dxa"/>
            <w:vAlign w:val="bottom"/>
            <w:gridSpan w:val="2"/>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$ 30,423</w:t>
            </w:r>
          </w:p>
        </w:tc>
        <w:tc>
          <w:tcPr>
            <w:tcW w:w="1300" w:type="dxa"/>
            <w:vAlign w:val="bottom"/>
          </w:tcPr>
          <w:p>
            <w:pPr>
              <w:spacing w:after="0"/>
              <w:rPr>
                <w:sz w:val="23"/>
                <w:szCs w:val="23"/>
                <w:color w:val="auto"/>
              </w:rPr>
            </w:pPr>
          </w:p>
        </w:tc>
      </w:tr>
      <w:tr>
        <w:trPr>
          <w:trHeight w:val="21"/>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80" w:type="dxa"/>
            <w:vAlign w:val="bottom"/>
            <w:gridSpan w:val="5"/>
          </w:tcPr>
          <w:p>
            <w:pPr>
              <w:ind w:left="400"/>
              <w:spacing w:after="0"/>
              <w:rPr>
                <w:sz w:val="20"/>
                <w:szCs w:val="20"/>
                <w:color w:val="auto"/>
              </w:rPr>
            </w:pPr>
            <w:r>
              <w:rPr>
                <w:rFonts w:ascii="Arial" w:cs="Arial" w:eastAsia="Arial" w:hAnsi="Arial"/>
                <w:sz w:val="18"/>
                <w:szCs w:val="18"/>
                <w:color w:val="auto"/>
              </w:rPr>
              <w:t>F-31</w:t>
            </w:r>
          </w:p>
        </w:tc>
      </w:tr>
      <w:tr>
        <w:trPr>
          <w:trHeight w:val="183"/>
        </w:trPr>
        <w:tc>
          <w:tcPr>
            <w:tcW w:w="13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-1688465</wp:posOffset>
            </wp:positionV>
            <wp:extent cx="2400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ind w:left="300" w:right="2159" w:firstLine="1854"/>
        <w:spacing w:after="0" w:line="260" w:lineRule="auto"/>
        <w:rPr>
          <w:sz w:val="20"/>
          <w:szCs w:val="20"/>
          <w:color w:val="auto"/>
        </w:rPr>
      </w:pPr>
      <w:r>
        <w:rPr>
          <w:rFonts w:ascii="Arial" w:cs="Arial" w:eastAsia="Arial" w:hAnsi="Arial"/>
          <w:sz w:val="18"/>
          <w:szCs w:val="18"/>
          <w:b w:val="1"/>
          <w:bCs w:val="1"/>
          <w:color w:val="auto"/>
        </w:rPr>
        <w:t>NOTES TO CONSOLIDATED FINANCIAL STATEMENTS 13. Earnings Per Share</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computation of income (loss) per share attributable to WM Technology, Inc. and weighted-average shares of the Company’s Class A Common Stock outstanding are as follows for the period from June 16, 2021 (Closing Date) to December 31, 2021 (amounts in thousands, except for share and per share amounts):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31, 2021</w:t>
            </w:r>
          </w:p>
        </w:tc>
        <w:tc>
          <w:tcPr>
            <w:tcW w:w="44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$ 152,218</w:t>
            </w: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WMH LLC prior to the Business Combination</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15,078</w:t>
            </w: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w w:val="99"/>
              </w:rPr>
              <w:t>Less: net income attributable to noncontrolling interests after the Business Combination</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76,757</w:t>
            </w:r>
          </w:p>
        </w:tc>
      </w:tr>
      <w:tr>
        <w:trPr>
          <w:trHeight w:val="61"/>
        </w:trPr>
        <w:tc>
          <w:tcPr>
            <w:tcW w:w="6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WM Technology, Inc. - basic</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60,383</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change of Public and Private Placement Warrants, net of amounts</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1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noncontrolling interests</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72,483</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Net loss attributable to WM Technology, Inc.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(12,100)</w:t>
            </w:r>
          </w:p>
        </w:tc>
      </w:tr>
      <w:tr>
        <w:trPr>
          <w:trHeight w:val="20"/>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45"/>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Weighted average Class A Common Stock outstanding - basic</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65,013,517</w:t>
            </w: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effect of dilutive securities:</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365"/>
        </w:trPr>
        <w:tc>
          <w:tcPr>
            <w:tcW w:w="6960" w:type="dxa"/>
            <w:vAlign w:val="bottom"/>
          </w:tcPr>
          <w:p>
            <w:pPr>
              <w:spacing w:after="0"/>
              <w:rPr>
                <w:sz w:val="20"/>
                <w:szCs w:val="20"/>
                <w:color w:val="auto"/>
              </w:rPr>
            </w:pPr>
            <w:r>
              <w:rPr>
                <w:rFonts w:ascii="Arial" w:cs="Arial" w:eastAsia="Arial" w:hAnsi="Arial"/>
                <w:sz w:val="18"/>
                <w:szCs w:val="18"/>
                <w:color w:val="auto"/>
              </w:rPr>
              <w:t>Public Warrants</w:t>
            </w:r>
            <w:r>
              <w:rPr>
                <w:rFonts w:ascii="Arial" w:cs="Arial" w:eastAsia="Arial" w:hAnsi="Arial"/>
                <w:sz w:val="29"/>
                <w:szCs w:val="29"/>
                <w:color w:val="auto"/>
                <w:vertAlign w:val="superscript"/>
              </w:rPr>
              <w:t>1</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1,153,782</w:t>
            </w:r>
          </w:p>
        </w:tc>
      </w:tr>
      <w:tr>
        <w:trPr>
          <w:trHeight w:val="297"/>
        </w:trPr>
        <w:tc>
          <w:tcPr>
            <w:tcW w:w="696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Private Placement Warrants</w:t>
            </w:r>
            <w:r>
              <w:rPr>
                <w:rFonts w:ascii="Arial" w:cs="Arial" w:eastAsia="Arial" w:hAnsi="Arial"/>
                <w:sz w:val="29"/>
                <w:szCs w:val="29"/>
                <w:color w:val="auto"/>
                <w:vertAlign w:val="superscript"/>
              </w:rPr>
              <w:t>1</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646,118</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Weighted average Class A Common Stock outstanding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66,813,417</w:t>
            </w:r>
          </w:p>
        </w:tc>
      </w:tr>
      <w:tr>
        <w:trPr>
          <w:trHeight w:val="20"/>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65"/>
        </w:trPr>
        <w:tc>
          <w:tcPr>
            <w:tcW w:w="6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b w:val="1"/>
                <w:bCs w:val="1"/>
                <w:color w:val="auto"/>
              </w:rPr>
              <w:t>Net income (loss) per share of Class A Common Stock:</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9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Class A Common Stock - basic</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$ 0.93</w:t>
            </w:r>
          </w:p>
        </w:tc>
      </w:tr>
      <w:tr>
        <w:trPr>
          <w:trHeight w:val="48"/>
        </w:trPr>
        <w:tc>
          <w:tcPr>
            <w:tcW w:w="69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18"/>
                <w:szCs w:val="18"/>
                <w:color w:val="auto"/>
              </w:rPr>
              <w:t>Net loss per share of Class A Common Stock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(0.18)</w:t>
            </w:r>
          </w:p>
        </w:tc>
      </w:tr>
      <w:tr>
        <w:trPr>
          <w:trHeight w:val="20"/>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-4105275</wp:posOffset>
            </wp:positionV>
            <wp:extent cx="1543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5" w:lineRule="exact"/>
        <w:rPr>
          <w:sz w:val="20"/>
          <w:szCs w:val="20"/>
          <w:color w:val="auto"/>
        </w:rPr>
      </w:pPr>
    </w:p>
    <w:p>
      <w:pPr>
        <w:ind w:left="640" w:hanging="348"/>
        <w:spacing w:after="0"/>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Calculated using the treasury stock method.</w:t>
      </w:r>
    </w:p>
    <w:p>
      <w:pPr>
        <w:spacing w:after="0" w:line="10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excluded the following securities from its computation of diluted shares outstanding, as their effect would have been anti-dilutive:</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6800" w:type="dxa"/>
            <w:vAlign w:val="bottom"/>
          </w:tcPr>
          <w:p>
            <w:pPr>
              <w:spacing w:after="0"/>
              <w:rPr>
                <w:sz w:val="16"/>
                <w:szCs w:val="16"/>
                <w:color w:val="auto"/>
              </w:rPr>
            </w:pPr>
          </w:p>
        </w:tc>
        <w:tc>
          <w:tcPr>
            <w:tcW w:w="1620" w:type="dxa"/>
            <w:vAlign w:val="bottom"/>
          </w:tcPr>
          <w:p>
            <w:pPr>
              <w:ind w:left="660"/>
              <w:spacing w:after="0"/>
              <w:rPr>
                <w:sz w:val="20"/>
                <w:szCs w:val="20"/>
                <w:color w:val="auto"/>
              </w:rPr>
            </w:pPr>
            <w:r>
              <w:rPr>
                <w:rFonts w:ascii="Arial" w:cs="Arial" w:eastAsia="Arial" w:hAnsi="Arial"/>
                <w:sz w:val="14"/>
                <w:szCs w:val="14"/>
                <w:b w:val="1"/>
                <w:bCs w:val="1"/>
                <w:color w:val="auto"/>
              </w:rPr>
              <w:t>2021</w:t>
            </w:r>
          </w:p>
        </w:tc>
      </w:tr>
      <w:tr>
        <w:trPr>
          <w:trHeight w:val="53"/>
        </w:trPr>
        <w:tc>
          <w:tcPr>
            <w:tcW w:w="680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65,502,347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Class P Units</w:t>
            </w:r>
          </w:p>
        </w:tc>
        <w:tc>
          <w:tcPr>
            <w:tcW w:w="1620" w:type="dxa"/>
            <w:vAlign w:val="bottom"/>
          </w:tcPr>
          <w:p>
            <w:pPr>
              <w:ind w:left="500"/>
              <w:spacing w:after="0"/>
              <w:rPr>
                <w:sz w:val="20"/>
                <w:szCs w:val="20"/>
                <w:color w:val="auto"/>
              </w:rPr>
            </w:pPr>
            <w:r>
              <w:rPr>
                <w:rFonts w:ascii="Arial" w:cs="Arial" w:eastAsia="Arial" w:hAnsi="Arial"/>
                <w:sz w:val="18"/>
                <w:szCs w:val="18"/>
                <w:color w:val="auto"/>
              </w:rPr>
              <w:t>25,660,529</w:t>
            </w:r>
          </w:p>
        </w:tc>
      </w:tr>
      <w:tr>
        <w:trPr>
          <w:trHeight w:val="54"/>
        </w:trPr>
        <w:tc>
          <w:tcPr>
            <w:tcW w:w="68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304"/>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6,398,707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PSUs</w:t>
            </w:r>
          </w:p>
        </w:tc>
        <w:tc>
          <w:tcPr>
            <w:tcW w:w="1620" w:type="dxa"/>
            <w:vAlign w:val="bottom"/>
          </w:tcPr>
          <w:p>
            <w:pPr>
              <w:ind w:left="480"/>
              <w:spacing w:after="0"/>
              <w:rPr>
                <w:sz w:val="20"/>
                <w:szCs w:val="20"/>
                <w:color w:val="auto"/>
              </w:rPr>
            </w:pPr>
            <w:r>
              <w:rPr>
                <w:rFonts w:ascii="Arial" w:cs="Arial" w:eastAsia="Arial" w:hAnsi="Arial"/>
                <w:sz w:val="18"/>
                <w:szCs w:val="18"/>
                <w:color w:val="auto"/>
              </w:rPr>
              <w:t>2,437,500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-805180</wp:posOffset>
            </wp:positionV>
            <wp:extent cx="342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Company is also subject to taxes in foreign jurisdictions.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taxes are as follows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12"/>
          </w:tcPr>
          <w:p>
            <w:pPr>
              <w:jc w:val="right"/>
              <w:ind w:right="340"/>
              <w:spacing w:after="0"/>
              <w:rPr>
                <w:sz w:val="20"/>
                <w:szCs w:val="20"/>
                <w:color w:val="auto"/>
              </w:rPr>
            </w:pPr>
            <w:r>
              <w:rPr>
                <w:rFonts w:ascii="Arial" w:cs="Arial" w:eastAsia="Arial" w:hAnsi="Arial"/>
                <w:sz w:val="14"/>
                <w:szCs w:val="14"/>
                <w:b w:val="1"/>
                <w:bCs w:val="1"/>
                <w:color w:val="auto"/>
                <w:w w:val="90"/>
              </w:rPr>
              <w:t>Years Ended December 31,</w:t>
            </w:r>
          </w:p>
        </w:tc>
      </w:tr>
      <w:tr>
        <w:trPr>
          <w:trHeight w:val="52"/>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$151,987</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$38,878</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$(4,152)</w:t>
            </w:r>
          </w:p>
        </w:tc>
      </w:tr>
      <w:tr>
        <w:trPr>
          <w:trHeight w:val="256"/>
        </w:trPr>
        <w:tc>
          <w:tcPr>
            <w:tcW w:w="4280" w:type="dxa"/>
            <w:vAlign w:val="bottom"/>
          </w:tcPr>
          <w:p>
            <w:pPr>
              <w:spacing w:after="0"/>
              <w:rPr>
                <w:sz w:val="20"/>
                <w:szCs w:val="20"/>
                <w:color w:val="auto"/>
              </w:rPr>
            </w:pPr>
            <w:r>
              <w:rPr>
                <w:rFonts w:ascii="Arial" w:cs="Arial" w:eastAsia="Arial" w:hAnsi="Arial"/>
                <w:sz w:val="18"/>
                <w:szCs w:val="18"/>
                <w:color w:val="auto"/>
              </w:rPr>
              <w:t>Foreign</w:t>
            </w:r>
          </w:p>
        </w:tc>
        <w:tc>
          <w:tcPr>
            <w:tcW w:w="2520" w:type="dxa"/>
            <w:vAlign w:val="bottom"/>
            <w:gridSpan w:val="3"/>
          </w:tcPr>
          <w:p>
            <w:pPr>
              <w:ind w:left="2140"/>
              <w:spacing w:after="0"/>
              <w:rPr>
                <w:sz w:val="20"/>
                <w:szCs w:val="20"/>
                <w:color w:val="auto"/>
              </w:rPr>
            </w:pPr>
            <w:r>
              <w:rPr>
                <w:rFonts w:ascii="Arial" w:cs="Arial" w:eastAsia="Arial" w:hAnsi="Arial"/>
                <w:sz w:val="18"/>
                <w:szCs w:val="18"/>
                <w:color w:val="auto"/>
                <w:w w:val="85"/>
              </w:rPr>
              <w:t>(370)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80" w:type="dxa"/>
            <w:vAlign w:val="bottom"/>
          </w:tcPr>
          <w:p>
            <w:pPr>
              <w:spacing w:after="0"/>
              <w:rPr>
                <w:sz w:val="22"/>
                <w:szCs w:val="22"/>
                <w:color w:val="auto"/>
              </w:rPr>
            </w:pP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151,617</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38,830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38"/>
        </w:trPr>
        <w:tc>
          <w:tcPr>
            <w:tcW w:w="7800" w:type="dxa"/>
            <w:vAlign w:val="bottom"/>
            <w:gridSpan w:val="12"/>
          </w:tcPr>
          <w:p>
            <w:pPr>
              <w:ind w:left="360"/>
              <w:spacing w:after="0"/>
              <w:rPr>
                <w:sz w:val="20"/>
                <w:szCs w:val="20"/>
                <w:color w:val="auto"/>
              </w:rPr>
            </w:pPr>
            <w:r>
              <w:rPr>
                <w:rFonts w:ascii="Arial" w:cs="Arial" w:eastAsia="Arial" w:hAnsi="Arial"/>
                <w:sz w:val="18"/>
                <w:szCs w:val="18"/>
                <w:color w:val="auto"/>
                <w:w w:val="99"/>
              </w:rPr>
              <w:t>The components of the provision for (benefit from) income taxes are as follows (in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9"/>
        </w:trPr>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2"/>
          </w:tcPr>
          <w:p>
            <w:pPr>
              <w:jc w:val="center"/>
              <w:ind w:right="180"/>
              <w:spacing w:after="0"/>
              <w:rPr>
                <w:sz w:val="20"/>
                <w:szCs w:val="20"/>
                <w:color w:val="auto"/>
              </w:rPr>
            </w:pPr>
            <w:r>
              <w:rPr>
                <w:rFonts w:ascii="Arial" w:cs="Arial" w:eastAsia="Arial" w:hAnsi="Arial"/>
                <w:sz w:val="14"/>
                <w:szCs w:val="14"/>
                <w:b w:val="1"/>
                <w:bCs w:val="1"/>
                <w:color w:val="auto"/>
                <w:w w:val="91"/>
              </w:rPr>
              <w:t>Years Ended December 31,</w:t>
            </w:r>
          </w:p>
        </w:tc>
      </w:tr>
      <w:tr>
        <w:trPr>
          <w:trHeight w:val="53"/>
        </w:trPr>
        <w:tc>
          <w:tcPr>
            <w:tcW w:w="42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20" w:type="dxa"/>
            <w:vAlign w:val="bottom"/>
            <w:gridSpan w:val="3"/>
          </w:tcPr>
          <w:p>
            <w:pPr>
              <w:ind w:left="214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3"/>
                <w:szCs w:val="23"/>
                <w:color w:val="auto"/>
              </w:rPr>
            </w:pPr>
          </w:p>
        </w:tc>
        <w:tc>
          <w:tcPr>
            <w:tcW w:w="660" w:type="dxa"/>
            <w:vAlign w:val="bottom"/>
            <w:gridSpan w:val="5"/>
          </w:tcPr>
          <w:p>
            <w:pPr>
              <w:jc w:val="right"/>
              <w:ind w:right="2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2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1,321</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Deferred</w:t>
            </w: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2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State</w:t>
            </w: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right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r>
      <w:tr>
        <w:trPr>
          <w:trHeight w:val="270"/>
        </w:trPr>
        <w:tc>
          <w:tcPr>
            <w:tcW w:w="4280" w:type="dxa"/>
            <w:vAlign w:val="bottom"/>
          </w:tcPr>
          <w:p>
            <w:pPr>
              <w:spacing w:after="0"/>
              <w:rPr>
                <w:sz w:val="23"/>
                <w:szCs w:val="23"/>
                <w:color w:val="auto"/>
              </w:rPr>
            </w:pP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29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2160" w:type="dxa"/>
            <w:vAlign w:val="bottom"/>
            <w:tcBorders>
              <w:right w:val="single" w:sz="8" w:color="CCEEFF"/>
            </w:tcBorders>
            <w:gridSpan w:val="2"/>
            <w:shd w:val="clear" w:color="auto" w:fill="CCEEFF"/>
          </w:tcPr>
          <w:p>
            <w:pPr>
              <w:spacing w:after="0"/>
              <w:rPr>
                <w:sz w:val="24"/>
                <w:szCs w:val="24"/>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0"/>
              </w:rPr>
              <w:t>$ (601)</w:t>
            </w:r>
          </w:p>
        </w:tc>
        <w:tc>
          <w:tcPr>
            <w:tcW w:w="160" w:type="dxa"/>
            <w:vAlign w:val="bottom"/>
            <w:shd w:val="clear" w:color="auto" w:fill="CCEEFF"/>
          </w:tcPr>
          <w:p>
            <w:pPr>
              <w:spacing w:after="0"/>
              <w:rPr>
                <w:sz w:val="24"/>
                <w:szCs w:val="24"/>
                <w:color w:val="auto"/>
              </w:rPr>
            </w:pPr>
          </w:p>
        </w:tc>
        <w:tc>
          <w:tcPr>
            <w:tcW w:w="6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$ 1,321</w:t>
            </w:r>
          </w:p>
        </w:tc>
      </w:tr>
      <w:tr>
        <w:trPr>
          <w:trHeight w:val="27"/>
        </w:trPr>
        <w:tc>
          <w:tcPr>
            <w:tcW w:w="42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-3634105</wp:posOffset>
            </wp:positionV>
            <wp:extent cx="1028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-3634105</wp:posOffset>
            </wp:positionV>
            <wp:extent cx="1028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-3634105</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-2331085</wp:posOffset>
            </wp:positionV>
            <wp:extent cx="1885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-2331085</wp:posOffset>
            </wp:positionV>
            <wp:extent cx="1885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-2331085</wp:posOffset>
            </wp:positionV>
            <wp:extent cx="939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change in the Company’s income tax expense from 2020 to 2021 is due to the Business Combination and settlement of a foreign income tax examination. In 2020, the Company was only subject to minimal LLC entity-level and foreign taxes, whereas in 2021 the Company was also subject to U.S. federal and state income taxes on its allocable share of any taxable income or loss generated subsequent to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actual income tax expense differs from the expected amount computed by applying the federal statutory corporate tax rate of 21 percent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5680" w:type="dxa"/>
            <w:vAlign w:val="bottom"/>
          </w:tcPr>
          <w:p>
            <w:pPr>
              <w:spacing w:after="0"/>
              <w:rPr>
                <w:sz w:val="19"/>
                <w:szCs w:val="19"/>
                <w:color w:val="auto"/>
              </w:rPr>
            </w:pPr>
          </w:p>
        </w:tc>
        <w:tc>
          <w:tcPr>
            <w:tcW w:w="8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r>
      <w:tr>
        <w:trPr>
          <w:trHeight w:val="53"/>
        </w:trPr>
        <w:tc>
          <w:tcPr>
            <w:tcW w:w="56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$ 31,844</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$ 8,154</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$ 199</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State blended statutory rate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8,497</w:t>
            </w:r>
          </w:p>
        </w:tc>
        <w:tc>
          <w:tcPr>
            <w:tcW w:w="960" w:type="dxa"/>
            <w:vAlign w:val="bottom"/>
            <w:gridSpan w:val="5"/>
          </w:tcPr>
          <w:p>
            <w:pPr>
              <w:jc w:val="right"/>
              <w:ind w:right="160"/>
              <w:spacing w:after="0"/>
              <w:rPr>
                <w:sz w:val="20"/>
                <w:szCs w:val="20"/>
                <w:color w:val="auto"/>
              </w:rPr>
            </w:pPr>
            <w:r>
              <w:rPr>
                <w:rFonts w:ascii="Arial" w:cs="Arial" w:eastAsia="Arial" w:hAnsi="Arial"/>
                <w:sz w:val="18"/>
                <w:szCs w:val="18"/>
                <w:color w:val="auto"/>
              </w:rPr>
              <w:t>2,176</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53</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(10,340)</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Income taxed to owners of noncontrolling interests</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(21,762)</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tax impact</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(19,669)</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permanent items</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901</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R&amp;D credit</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680" w:type="dxa"/>
            <w:vAlign w:val="bottom"/>
          </w:tcPr>
          <w:p>
            <w:pPr>
              <w:spacing w:after="0"/>
              <w:rPr>
                <w:sz w:val="20"/>
                <w:szCs w:val="20"/>
                <w:color w:val="auto"/>
              </w:rPr>
            </w:pPr>
            <w:r>
              <w:rPr>
                <w:rFonts w:ascii="Arial" w:cs="Arial" w:eastAsia="Arial" w:hAnsi="Arial"/>
                <w:sz w:val="18"/>
                <w:szCs w:val="18"/>
                <w:color w:val="auto"/>
              </w:rPr>
              <w:t>Total income tax (benefit) expense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 (601)</w:t>
            </w:r>
          </w:p>
        </w:tc>
        <w:tc>
          <w:tcPr>
            <w:tcW w:w="160" w:type="dxa"/>
            <w:vAlign w:val="bottom"/>
          </w:tcPr>
          <w:p>
            <w:pPr>
              <w:spacing w:after="0"/>
              <w:rPr>
                <w:sz w:val="24"/>
                <w:szCs w:val="24"/>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$ 1,321</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139.64%</w:t>
            </w:r>
          </w:p>
        </w:tc>
        <w:tc>
          <w:tcPr>
            <w:tcW w:w="20" w:type="dxa"/>
            <w:vAlign w:val="bottom"/>
            <w:shd w:val="clear" w:color="auto" w:fill="CCEEFF"/>
          </w:tcPr>
          <w:p>
            <w:pPr>
              <w:spacing w:after="0"/>
              <w:rPr>
                <w:sz w:val="24"/>
                <w:szCs w:val="24"/>
                <w:color w:val="auto"/>
              </w:rPr>
            </w:pPr>
          </w:p>
        </w:tc>
      </w:tr>
      <w:tr>
        <w:trPr>
          <w:trHeight w:val="338"/>
        </w:trPr>
        <w:tc>
          <w:tcPr>
            <w:tcW w:w="56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w w:val="91"/>
              </w:rPr>
              <w:t>The significant components of the net deferred tax assets are as follows:</w:t>
            </w: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39"/>
        </w:trPr>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56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Investment in partnership</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w w:val="89"/>
              </w:rPr>
              <w:t>$ 112,543</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receivable agreement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34,203</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Net operating loss carryovers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4,694</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18</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152,209</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(112)</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152,097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-4679950</wp:posOffset>
            </wp:positionV>
            <wp:extent cx="1028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-4679950</wp:posOffset>
            </wp:positionV>
            <wp:extent cx="1028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-4679950</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-1902460</wp:posOffset>
            </wp:positionV>
            <wp:extent cx="1028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As of December 31, 2021, the Company had federal and state net operating loss carry forwards of approximately $17.2 million and $15.5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$0.4 million.</w:t>
      </w:r>
    </w:p>
    <w:p>
      <w:pPr>
        <w:spacing w:after="0" w:line="4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As of December 31, 2021, the Company had federal and California research credit carryforwards of $0.6 million and $0.4 million available to reduce future tax. Federal tax credits begin to expire in 2041 and California credits carry forward indefinitely.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 In addition, a substantial portion of the Company’s state net operating loss is in California, for which there is a temporary suspension of the utilization of net operating loss carryforwards through 2022.</w:t>
      </w:r>
    </w:p>
    <w:p>
      <w:pPr>
        <w:spacing w:after="0" w:line="70"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Company’s deferred tax asset is primarily attributable to future tax amortization deductions of tax basis created from the Business Combination and future tax receivable agreement (“TRA”) payments. These deferred tax assets generally amortize over 15 years beginning on the payment date. Tax amortization deductions in excess of taxable income from operations result in a net operating loss, which can be carried forward indefinitely for federal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deferred tax assets are reduced through the establishment of a valuation allowance if, based upon available evidence, it is determined that it is more-likely-than-not that the deferred tax assets will not be realized. Management assesses the available positive and negative evidence, including history of earnings or losses, loss carryback potential, impact of reversing temporary differences, tax planning strategies, and whether sufficient future taxable income will be generated to permit use of the existing deferred tax assets. Based on the Company’s recent earnings history as well as anticipated future taxable income, management has concluded that it is more-likely-than-not that the U.S. federal and state deferred tax assets will be realized and that a valuation allowance is not needed. The Company’s valuation allowance increased by $0.1 million during 2021 due to losses in foreign jurisdictions. There was no change in valuation allowance during 2020 or 2019.</w:t>
      </w:r>
    </w:p>
    <w:p>
      <w:pPr>
        <w:spacing w:after="0" w:line="7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The Company follows the provisions of FASB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reflects changes in the unrecognized tax benefits since January 1, 2021 (in thousands):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72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beginning of the period</w:t>
            </w: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Decreases related to prior year tax provisions</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7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provisions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61"/>
        </w:trPr>
        <w:tc>
          <w:tcPr>
            <w:tcW w:w="7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Gross amount of unrecognized tax benefits as of the end of the period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$ 188</w:t>
            </w:r>
          </w:p>
        </w:tc>
      </w:tr>
      <w:tr>
        <w:trPr>
          <w:trHeight w:val="21"/>
        </w:trPr>
        <w:tc>
          <w:tcPr>
            <w:tcW w:w="7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-848360</wp:posOffset>
            </wp:positionV>
            <wp:extent cx="1028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of December 31, 2021, the Company has unrecognized tax benefits of approximately $0.2 million, which would affect its effective tax rate if recognized.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8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and its subsidiaries file income tax returns with the U.S. federal government, various U.S. states, and several foreign jurisdictions. The Company’s U.S. federal and state tax returns remain open to examination for 2018 through 2021. In addition, tax returns remain open to examination in non-U.S. subsidiaries, including Canada.</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Business Combination was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WM Technology, Inc. and the post-merger WMH equity holders when they ultimately exchange their pass-through interests for shares of Class A common stock. Additionally, the Company could obtain future increases in its tax basis of the assets of WMH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r>
      <w:tr>
        <w:trPr>
          <w:trHeight w:val="53"/>
        </w:trPr>
        <w:tc>
          <w:tcPr>
            <w:tcW w:w="77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250,000</w:t>
            </w:r>
          </w:p>
        </w:tc>
      </w:tr>
      <w:tr>
        <w:trPr>
          <w:trHeight w:val="54"/>
        </w:trPr>
        <w:tc>
          <w:tcPr>
            <w:tcW w:w="7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65,000</w:t>
            </w:r>
          </w:p>
        </w:tc>
      </w:tr>
      <w:tr>
        <w:trPr>
          <w:trHeight w:val="54"/>
        </w:trPr>
        <w:tc>
          <w:tcPr>
            <w:tcW w:w="774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27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$331,268</w:t>
            </w:r>
          </w:p>
        </w:tc>
      </w:tr>
      <w:tr>
        <w:trPr>
          <w:trHeight w:val="54"/>
        </w:trPr>
        <w:tc>
          <w:tcPr>
            <w:tcW w:w="7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-1045210</wp:posOffset>
            </wp:positionV>
            <wp:extent cx="1200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7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6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5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5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40" w:type="dxa"/>
            <w:vAlign w:val="bottom"/>
            <w:gridSpan w:val="4"/>
          </w:tcPr>
          <w:p>
            <w:pPr>
              <w:spacing w:after="0"/>
              <w:rPr>
                <w:sz w:val="20"/>
                <w:szCs w:val="20"/>
                <w:color w:val="auto"/>
              </w:rPr>
            </w:pPr>
            <w:r>
              <w:rPr>
                <w:rFonts w:ascii="Arial" w:cs="Arial" w:eastAsia="Arial" w:hAnsi="Arial"/>
                <w:sz w:val="18"/>
                <w:szCs w:val="18"/>
                <w:b w:val="1"/>
                <w:bCs w:val="1"/>
                <w:color w:val="auto"/>
              </w:rPr>
              <w:t>Item 16.</w:t>
            </w:r>
          </w:p>
        </w:tc>
        <w:tc>
          <w:tcPr>
            <w:tcW w:w="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5"/>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7560" w:type="dxa"/>
            <w:vAlign w:val="bottom"/>
            <w:vMerge w:val="restart"/>
          </w:tcPr>
          <w:p>
            <w:pPr>
              <w:ind w:left="3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7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 w:type="dxa"/>
            <w:vAlign w:val="bottom"/>
            <w:gridSpan w:val="3"/>
            <w:shd w:val="clear" w:color="auto" w:fill="CCEEFF"/>
          </w:tcPr>
          <w:p>
            <w:pPr>
              <w:spacing w:after="0"/>
              <w:rPr>
                <w:rFonts w:ascii="Arial" w:cs="Arial" w:eastAsia="Arial" w:hAnsi="Arial"/>
                <w:sz w:val="18"/>
                <w:szCs w:val="18"/>
                <w:color w:val="0000EE"/>
              </w:rPr>
            </w:pPr>
            <w:hyperlink r:id="rId389">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8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Agreement and Plan of Merger, dated December 10, 2020, by and among Silver Spike, Merger Sub,</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Legacy WMH, and the Holder Representative named therein (incorporated by reference to Exhibit 2.1 to</w:t>
            </w: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the Current Report on Form 8-K filed on December 10, 2020).</w:t>
            </w:r>
          </w:p>
        </w:tc>
        <w:tc>
          <w:tcPr>
            <w:tcW w:w="0" w:type="dxa"/>
            <w:vAlign w:val="bottom"/>
          </w:tcPr>
          <w:p>
            <w:pPr>
              <w:spacing w:after="0"/>
              <w:rPr>
                <w:sz w:val="1"/>
                <w:szCs w:val="1"/>
                <w:color w:val="auto"/>
              </w:rPr>
            </w:pPr>
          </w:p>
        </w:tc>
      </w:tr>
      <w:tr>
        <w:trPr>
          <w:trHeight w:val="230"/>
        </w:trPr>
        <w:tc>
          <w:tcPr>
            <w:tcW w:w="320" w:type="dxa"/>
            <w:vAlign w:val="bottom"/>
            <w:gridSpan w:val="2"/>
          </w:tcPr>
          <w:p>
            <w:pPr>
              <w:spacing w:after="0"/>
              <w:rPr>
                <w:rFonts w:ascii="Arial" w:cs="Arial" w:eastAsia="Arial" w:hAnsi="Arial"/>
                <w:sz w:val="18"/>
                <w:szCs w:val="18"/>
                <w:color w:val="0000EE"/>
              </w:rPr>
            </w:pPr>
            <w:hyperlink r:id="rId39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2"/>
              </w:rPr>
              <w:t>Certificate of Incorporation of the Company, dated June 15, 2021 (incorporated by reference to Exhibit</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3.1 to the Current Report on Form 8-K filed on June 21, 2021).</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0" w:type="dxa"/>
            <w:vAlign w:val="bottom"/>
            <w:gridSpan w:val="2"/>
            <w:shd w:val="clear" w:color="auto" w:fill="CCEEFF"/>
          </w:tcPr>
          <w:p>
            <w:pPr>
              <w:spacing w:after="0"/>
              <w:rPr>
                <w:rFonts w:ascii="Arial" w:cs="Arial" w:eastAsia="Arial" w:hAnsi="Arial"/>
                <w:sz w:val="18"/>
                <w:szCs w:val="18"/>
                <w:color w:val="0000EE"/>
              </w:rPr>
            </w:pPr>
            <w:hyperlink r:id="rId39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Amended and Restated Bylaws of the Company, dated June 16, 2021 (incorporated by reference to</w:t>
            </w:r>
          </w:p>
        </w:tc>
        <w:tc>
          <w:tcPr>
            <w:tcW w:w="0" w:type="dxa"/>
            <w:vAlign w:val="bottom"/>
          </w:tcPr>
          <w:p>
            <w:pPr>
              <w:spacing w:after="0"/>
              <w:rPr>
                <w:sz w:val="1"/>
                <w:szCs w:val="1"/>
                <w:color w:val="auto"/>
              </w:rPr>
            </w:pP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Exhibit 3.2 to the Current Report on Form 8-K filed on June 21, 2021).</w:t>
            </w:r>
          </w:p>
        </w:tc>
        <w:tc>
          <w:tcPr>
            <w:tcW w:w="0" w:type="dxa"/>
            <w:vAlign w:val="bottom"/>
          </w:tcPr>
          <w:p>
            <w:pPr>
              <w:spacing w:after="0"/>
              <w:rPr>
                <w:sz w:val="1"/>
                <w:szCs w:val="1"/>
                <w:color w:val="auto"/>
              </w:rPr>
            </w:pPr>
          </w:p>
        </w:tc>
      </w:tr>
      <w:tr>
        <w:trPr>
          <w:trHeight w:val="230"/>
        </w:trPr>
        <w:tc>
          <w:tcPr>
            <w:tcW w:w="320" w:type="dxa"/>
            <w:vAlign w:val="bottom"/>
            <w:gridSpan w:val="2"/>
          </w:tcPr>
          <w:p>
            <w:pPr>
              <w:spacing w:after="0"/>
              <w:rPr>
                <w:rFonts w:ascii="Arial" w:cs="Arial" w:eastAsia="Arial" w:hAnsi="Arial"/>
                <w:sz w:val="18"/>
                <w:szCs w:val="18"/>
                <w:color w:val="0000EE"/>
              </w:rPr>
            </w:pPr>
            <w:hyperlink r:id="rId39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6"/>
              </w:rPr>
              <w:t>Form of Common Stock Certificate of the Company (incorporated by reference to Exhibit 4.1 to the</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Current Report on Form 8-K filed on June 21, 2021).</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20" w:type="dxa"/>
            <w:vAlign w:val="bottom"/>
            <w:gridSpan w:val="2"/>
            <w:shd w:val="clear" w:color="auto" w:fill="CCEEFF"/>
          </w:tcPr>
          <w:p>
            <w:pPr>
              <w:spacing w:after="0"/>
              <w:rPr>
                <w:rFonts w:ascii="Arial" w:cs="Arial" w:eastAsia="Arial" w:hAnsi="Arial"/>
                <w:sz w:val="18"/>
                <w:szCs w:val="18"/>
                <w:color w:val="0000EE"/>
              </w:rPr>
            </w:pPr>
            <w:hyperlink r:id="rId393">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Form of Warrant Certificate of the Company (incorporated by reference to Exhibit 4.2 to the Current</w:t>
            </w:r>
          </w:p>
        </w:tc>
        <w:tc>
          <w:tcPr>
            <w:tcW w:w="0" w:type="dxa"/>
            <w:vAlign w:val="bottom"/>
          </w:tcPr>
          <w:p>
            <w:pPr>
              <w:spacing w:after="0"/>
              <w:rPr>
                <w:sz w:val="1"/>
                <w:szCs w:val="1"/>
                <w:color w:val="auto"/>
              </w:rPr>
            </w:pP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Report on Form 8-K filed on June 21, 2021).</w:t>
            </w:r>
          </w:p>
        </w:tc>
        <w:tc>
          <w:tcPr>
            <w:tcW w:w="0" w:type="dxa"/>
            <w:vAlign w:val="bottom"/>
          </w:tcPr>
          <w:p>
            <w:pPr>
              <w:spacing w:after="0"/>
              <w:rPr>
                <w:sz w:val="1"/>
                <w:szCs w:val="1"/>
                <w:color w:val="auto"/>
              </w:rPr>
            </w:pPr>
          </w:p>
        </w:tc>
      </w:tr>
      <w:tr>
        <w:trPr>
          <w:trHeight w:val="230"/>
        </w:trPr>
        <w:tc>
          <w:tcPr>
            <w:tcW w:w="320" w:type="dxa"/>
            <w:vAlign w:val="bottom"/>
            <w:gridSpan w:val="2"/>
          </w:tcPr>
          <w:p>
            <w:pPr>
              <w:spacing w:after="0"/>
              <w:rPr>
                <w:rFonts w:ascii="Arial" w:cs="Arial" w:eastAsia="Arial" w:hAnsi="Arial"/>
                <w:sz w:val="18"/>
                <w:szCs w:val="18"/>
                <w:color w:val="0000EE"/>
              </w:rPr>
            </w:pPr>
            <w:hyperlink r:id="rId394">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4"/>
              </w:rPr>
              <w:t>Warrant Agreement, dated August 7, 2019, between the Company and Continental Stock Transfer &amp;</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8"/>
              </w:rPr>
              <w:t>Trust Company, as warrant agent (incorporated by reference to Exhibit 4.1 filed on Silver Spike’s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Current Report on Form 8-K, filed by the Company on August 12, 2019).</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20" w:type="dxa"/>
            <w:vAlign w:val="bottom"/>
            <w:gridSpan w:val="2"/>
            <w:shd w:val="clear" w:color="auto" w:fill="CCEEFF"/>
          </w:tcPr>
          <w:p>
            <w:pPr>
              <w:spacing w:after="0"/>
              <w:rPr>
                <w:rFonts w:ascii="Arial" w:cs="Arial" w:eastAsia="Arial" w:hAnsi="Arial"/>
                <w:sz w:val="18"/>
                <w:szCs w:val="18"/>
                <w:color w:val="0000EE"/>
              </w:rPr>
            </w:pPr>
            <w:hyperlink r:id="rId395">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Description of Securities (incorporated by reference to Exhibit 4.5 to the Annual Report on Form 10-K</w:t>
            </w:r>
          </w:p>
        </w:tc>
        <w:tc>
          <w:tcPr>
            <w:tcW w:w="0" w:type="dxa"/>
            <w:vAlign w:val="bottom"/>
          </w:tcPr>
          <w:p>
            <w:pPr>
              <w:spacing w:after="0"/>
              <w:rPr>
                <w:sz w:val="1"/>
                <w:szCs w:val="1"/>
                <w:color w:val="auto"/>
              </w:rPr>
            </w:pPr>
          </w:p>
        </w:tc>
      </w:tr>
      <w:tr>
        <w:trPr>
          <w:trHeight w:val="236"/>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filed on February 25, 2022).</w:t>
            </w:r>
          </w:p>
        </w:tc>
        <w:tc>
          <w:tcPr>
            <w:tcW w:w="0" w:type="dxa"/>
            <w:vAlign w:val="bottom"/>
          </w:tcPr>
          <w:p>
            <w:pPr>
              <w:spacing w:after="0"/>
              <w:rPr>
                <w:sz w:val="1"/>
                <w:szCs w:val="1"/>
                <w:color w:val="auto"/>
              </w:rPr>
            </w:pPr>
          </w:p>
        </w:tc>
      </w:tr>
      <w:tr>
        <w:trPr>
          <w:trHeight w:val="54"/>
        </w:trPr>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-2691130</wp:posOffset>
            </wp:positionV>
            <wp:extent cx="2571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100" w:type="dxa"/>
            <w:vAlign w:val="bottom"/>
            <w:gridSpan w:val="7"/>
          </w:tcPr>
          <w:p>
            <w:pPr>
              <w:spacing w:after="0"/>
              <w:rPr>
                <w:sz w:val="20"/>
                <w:szCs w:val="20"/>
                <w:color w:val="auto"/>
              </w:rPr>
            </w:pPr>
            <w:r>
              <w:rPr>
                <w:rFonts w:ascii="Arial" w:cs="Arial" w:eastAsia="Arial" w:hAnsi="Arial"/>
                <w:sz w:val="14"/>
                <w:szCs w:val="14"/>
                <w:b w:val="1"/>
                <w:bCs w:val="1"/>
                <w:color w:val="auto"/>
              </w:rPr>
              <w:t>Exhibit No.</w:t>
            </w:r>
          </w:p>
        </w:tc>
        <w:tc>
          <w:tcPr>
            <w:tcW w:w="7320" w:type="dxa"/>
            <w:vAlign w:val="bottom"/>
          </w:tcPr>
          <w:p>
            <w:pPr>
              <w:ind w:left="330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r>
      <w:tr>
        <w:trPr>
          <w:trHeight w:val="237"/>
        </w:trPr>
        <w:tc>
          <w:tcPr>
            <w:tcW w:w="300" w:type="dxa"/>
            <w:vAlign w:val="bottom"/>
            <w:gridSpan w:val="2"/>
            <w:shd w:val="clear" w:color="auto" w:fill="CCEEFF"/>
          </w:tcPr>
          <w:p>
            <w:pPr>
              <w:spacing w:after="0"/>
              <w:rPr>
                <w:rFonts w:ascii="Arial" w:cs="Arial" w:eastAsia="Arial" w:hAnsi="Arial"/>
                <w:sz w:val="18"/>
                <w:szCs w:val="18"/>
                <w:color w:val="0000EE"/>
              </w:rPr>
            </w:pPr>
            <w:hyperlink r:id="rId398">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Opinion of Cooley LLP*</w:t>
            </w:r>
          </w:p>
        </w:tc>
      </w:tr>
      <w:tr>
        <w:trPr>
          <w:trHeight w:val="75"/>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7320" w:type="dxa"/>
            <w:vAlign w:val="bottom"/>
            <w:tcBorders>
              <w:top w:val="single" w:sz="8" w:color="CCEEFF"/>
            </w:tcBorders>
            <w:shd w:val="clear" w:color="auto" w:fill="CCEEFF"/>
          </w:tcPr>
          <w:p>
            <w:pPr>
              <w:spacing w:after="0"/>
              <w:rPr>
                <w:sz w:val="6"/>
                <w:szCs w:val="6"/>
                <w:color w:val="auto"/>
              </w:rPr>
            </w:pPr>
          </w:p>
        </w:tc>
      </w:tr>
      <w:tr>
        <w:trPr>
          <w:trHeight w:val="229"/>
        </w:trPr>
        <w:tc>
          <w:tcPr>
            <w:tcW w:w="400" w:type="dxa"/>
            <w:vAlign w:val="bottom"/>
            <w:gridSpan w:val="3"/>
          </w:tcPr>
          <w:p>
            <w:pPr>
              <w:spacing w:after="0"/>
              <w:rPr>
                <w:rFonts w:ascii="Arial" w:cs="Arial" w:eastAsia="Arial" w:hAnsi="Arial"/>
                <w:sz w:val="18"/>
                <w:szCs w:val="18"/>
                <w:color w:val="0000EE"/>
              </w:rPr>
            </w:pPr>
            <w:hyperlink r:id="rId39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0"/>
              </w:rPr>
              <w:t>Exchange Agreement, dated as of June 16, 2021, by and among the Company, Silver Spike Sponsor</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5"/>
              </w:rPr>
              <w:t>and the other parties thereto (incorporated by reference to Exhibit 10.1 to the Current Report on</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1100" w:type="dxa"/>
            <w:vAlign w:val="bottom"/>
            <w:gridSpan w:val="7"/>
            <w:shd w:val="clear" w:color="auto" w:fill="CCEEFF"/>
          </w:tcPr>
          <w:p>
            <w:pPr>
              <w:spacing w:after="0"/>
              <w:rPr>
                <w:rFonts w:ascii="Arial" w:cs="Arial" w:eastAsia="Arial" w:hAnsi="Arial"/>
                <w:sz w:val="18"/>
                <w:szCs w:val="18"/>
                <w:color w:val="0000EE"/>
              </w:rPr>
            </w:pPr>
            <w:hyperlink r:id="rId400">
              <w:r>
                <w:rPr>
                  <w:rFonts w:ascii="Arial" w:cs="Arial" w:eastAsia="Arial" w:hAnsi="Arial"/>
                  <w:sz w:val="18"/>
                  <w:szCs w:val="18"/>
                  <w:color w:val="0000EE"/>
                </w:rPr>
                <w:t>10.</w:t>
              </w:r>
              <w:r>
                <w:rPr>
                  <w:rFonts w:ascii="Arial" w:cs="Arial" w:eastAsia="Arial" w:hAnsi="Arial"/>
                  <w:sz w:val="18"/>
                  <w:szCs w:val="18"/>
                  <w:u w:val="single" w:color="auto"/>
                  <w:color w:val="0000EE"/>
                </w:rPr>
                <w:t>1(a)#</w:t>
              </w:r>
            </w:hyperlink>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6"/>
              </w:rPr>
              <w:t>Non-Employee Director Compensation Policy (incorporated by reference to Exhibit 10.1# to the</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20" w:type="dxa"/>
            <w:vAlign w:val="bottom"/>
            <w:tcBorders>
              <w:top w:val="single" w:sz="8" w:color="0000EE"/>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Report on Form 10-K filed on February 25, 2022).</w:t>
            </w:r>
          </w:p>
        </w:tc>
      </w:tr>
      <w:tr>
        <w:trPr>
          <w:trHeight w:val="229"/>
        </w:trPr>
        <w:tc>
          <w:tcPr>
            <w:tcW w:w="400" w:type="dxa"/>
            <w:vAlign w:val="bottom"/>
            <w:gridSpan w:val="3"/>
          </w:tcPr>
          <w:p>
            <w:pPr>
              <w:spacing w:after="0"/>
              <w:rPr>
                <w:rFonts w:ascii="Arial" w:cs="Arial" w:eastAsia="Arial" w:hAnsi="Arial"/>
                <w:sz w:val="18"/>
                <w:szCs w:val="18"/>
                <w:color w:val="0000EE"/>
              </w:rPr>
            </w:pPr>
            <w:hyperlink r:id="rId40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3"/>
              </w:rPr>
              <w:t>Tax Receivable Agreement, dated as of June 16, 2021, by and among the Company and the other</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parties thereto (incorporated by reference to Exhibit 10.2 to the Current Report on Form 8-K filed on</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00" w:type="dxa"/>
            <w:vAlign w:val="bottom"/>
            <w:gridSpan w:val="3"/>
            <w:shd w:val="clear" w:color="auto" w:fill="CCEEFF"/>
          </w:tcPr>
          <w:p>
            <w:pPr>
              <w:spacing w:after="0"/>
              <w:rPr>
                <w:rFonts w:ascii="Arial" w:cs="Arial" w:eastAsia="Arial" w:hAnsi="Arial"/>
                <w:sz w:val="18"/>
                <w:szCs w:val="18"/>
                <w:color w:val="0000EE"/>
              </w:rPr>
            </w:pPr>
            <w:hyperlink r:id="rId40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5"/>
              </w:rPr>
              <w:t>Fourth Amended and Restated Operating Agreement of WMH LLC (incorporated by reference to</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10.3 to the Current Report on Form 8-K filed on June 21, 2021).</w:t>
            </w:r>
          </w:p>
        </w:tc>
      </w:tr>
      <w:tr>
        <w:trPr>
          <w:trHeight w:val="229"/>
        </w:trPr>
        <w:tc>
          <w:tcPr>
            <w:tcW w:w="400" w:type="dxa"/>
            <w:vAlign w:val="bottom"/>
            <w:gridSpan w:val="3"/>
          </w:tcPr>
          <w:p>
            <w:pPr>
              <w:spacing w:after="0"/>
              <w:rPr>
                <w:rFonts w:ascii="Arial" w:cs="Arial" w:eastAsia="Arial" w:hAnsi="Arial"/>
                <w:sz w:val="18"/>
                <w:szCs w:val="18"/>
                <w:color w:val="0000EE"/>
              </w:rPr>
            </w:pPr>
            <w:hyperlink r:id="rId40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Form of Subscription Agreement (incorporated by reference to Exhibit 10.1 to the Current Report on</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Form 8-K filed on December 10, 2020).</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00" w:type="dxa"/>
            <w:vAlign w:val="bottom"/>
            <w:gridSpan w:val="3"/>
            <w:shd w:val="clear" w:color="auto" w:fill="CCEEFF"/>
          </w:tcPr>
          <w:p>
            <w:pPr>
              <w:spacing w:after="0"/>
              <w:rPr>
                <w:rFonts w:ascii="Arial" w:cs="Arial" w:eastAsia="Arial" w:hAnsi="Arial"/>
                <w:sz w:val="18"/>
                <w:szCs w:val="18"/>
                <w:color w:val="0000EE"/>
              </w:rPr>
            </w:pPr>
            <w:hyperlink r:id="rId40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89"/>
              </w:rPr>
              <w:t>Amended and Restated Registration Rights Agreement, dated as of June 16, 2021, by and among the</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 Silver Spike Sponsor and the other parties thereto (incorporated by reference to</w:t>
            </w: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10.5 to the Current Report on Form 8-K filed on June 21, 2021).</w:t>
            </w:r>
          </w:p>
        </w:tc>
      </w:tr>
      <w:tr>
        <w:trPr>
          <w:trHeight w:val="229"/>
        </w:trPr>
        <w:tc>
          <w:tcPr>
            <w:tcW w:w="480" w:type="dxa"/>
            <w:vAlign w:val="bottom"/>
            <w:gridSpan w:val="4"/>
          </w:tcPr>
          <w:p>
            <w:pPr>
              <w:spacing w:after="0"/>
              <w:rPr>
                <w:rFonts w:ascii="Arial" w:cs="Arial" w:eastAsia="Arial" w:hAnsi="Arial"/>
                <w:sz w:val="18"/>
                <w:szCs w:val="18"/>
                <w:color w:val="0000EE"/>
              </w:rPr>
            </w:pPr>
            <w:hyperlink r:id="rId40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Form of Indemnification Agreement by and between the Company and its directors and officers</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7"/>
              </w:rPr>
              <w:t>(incorporated by reference to Exhibit 10.6 to the Current Report on Form 8-K filed on June 21,</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80" w:type="dxa"/>
            <w:vAlign w:val="bottom"/>
            <w:gridSpan w:val="4"/>
            <w:shd w:val="clear" w:color="auto" w:fill="CCEEFF"/>
          </w:tcPr>
          <w:p>
            <w:pPr>
              <w:spacing w:after="0"/>
              <w:rPr>
                <w:rFonts w:ascii="Arial" w:cs="Arial" w:eastAsia="Arial" w:hAnsi="Arial"/>
                <w:sz w:val="18"/>
                <w:szCs w:val="18"/>
                <w:color w:val="0000EE"/>
              </w:rPr>
            </w:pPr>
            <w:hyperlink r:id="rId406">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4"/>
              </w:rPr>
              <w:t>WM Technology, Inc. 2021 Equity Incentive Plan (incorporated by reference to Exhibit 10.7 to the</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on June 21, 2021).</w:t>
            </w:r>
          </w:p>
        </w:tc>
      </w:tr>
      <w:tr>
        <w:trPr>
          <w:trHeight w:val="230"/>
        </w:trPr>
        <w:tc>
          <w:tcPr>
            <w:tcW w:w="1100" w:type="dxa"/>
            <w:vAlign w:val="bottom"/>
            <w:gridSpan w:val="7"/>
          </w:tcPr>
          <w:p>
            <w:pPr>
              <w:spacing w:after="0"/>
              <w:rPr>
                <w:rFonts w:ascii="Arial" w:cs="Arial" w:eastAsia="Arial" w:hAnsi="Arial"/>
                <w:sz w:val="18"/>
                <w:szCs w:val="18"/>
                <w:color w:val="0000EE"/>
              </w:rPr>
            </w:pPr>
            <w:hyperlink r:id="rId407">
              <w:r>
                <w:rPr>
                  <w:rFonts w:ascii="Arial" w:cs="Arial" w:eastAsia="Arial" w:hAnsi="Arial"/>
                  <w:sz w:val="18"/>
                  <w:szCs w:val="18"/>
                  <w:color w:val="0000EE"/>
                </w:rPr>
                <w:t>10.</w:t>
              </w:r>
              <w:r>
                <w:rPr>
                  <w:rFonts w:ascii="Arial" w:cs="Arial" w:eastAsia="Arial" w:hAnsi="Arial"/>
                  <w:sz w:val="18"/>
                  <w:szCs w:val="18"/>
                  <w:u w:val="single" w:color="auto"/>
                  <w:color w:val="0000EE"/>
                </w:rPr>
                <w:t>7(a)(#)</w:t>
              </w:r>
            </w:hyperlink>
          </w:p>
        </w:tc>
        <w:tc>
          <w:tcPr>
            <w:tcW w:w="7320" w:type="dxa"/>
            <w:vAlign w:val="bottom"/>
          </w:tcPr>
          <w:p>
            <w:pPr>
              <w:spacing w:after="0"/>
              <w:rPr>
                <w:sz w:val="20"/>
                <w:szCs w:val="20"/>
                <w:color w:val="auto"/>
              </w:rPr>
            </w:pPr>
            <w:r>
              <w:rPr>
                <w:rFonts w:ascii="Arial" w:cs="Arial" w:eastAsia="Arial" w:hAnsi="Arial"/>
                <w:sz w:val="18"/>
                <w:szCs w:val="18"/>
                <w:color w:val="auto"/>
                <w:w w:val="97"/>
              </w:rPr>
              <w:t>Form of Stock Option Grant Notice (incorporated by reference to Exhibit 10.7(a) to the Current</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30"/>
        </w:trPr>
        <w:tc>
          <w:tcPr>
            <w:tcW w:w="1100" w:type="dxa"/>
            <w:vAlign w:val="bottom"/>
            <w:gridSpan w:val="7"/>
            <w:shd w:val="clear" w:color="auto" w:fill="CCEEFF"/>
          </w:tcPr>
          <w:p>
            <w:pPr>
              <w:spacing w:after="0"/>
              <w:rPr>
                <w:rFonts w:ascii="Arial" w:cs="Arial" w:eastAsia="Arial" w:hAnsi="Arial"/>
                <w:sz w:val="18"/>
                <w:szCs w:val="18"/>
                <w:color w:val="0000EE"/>
              </w:rPr>
            </w:pPr>
            <w:hyperlink r:id="rId408">
              <w:r>
                <w:rPr>
                  <w:rFonts w:ascii="Arial" w:cs="Arial" w:eastAsia="Arial" w:hAnsi="Arial"/>
                  <w:sz w:val="18"/>
                  <w:szCs w:val="18"/>
                  <w:color w:val="0000EE"/>
                </w:rPr>
                <w:t>10.</w:t>
              </w:r>
              <w:r>
                <w:rPr>
                  <w:rFonts w:ascii="Arial" w:cs="Arial" w:eastAsia="Arial" w:hAnsi="Arial"/>
                  <w:sz w:val="18"/>
                  <w:szCs w:val="18"/>
                  <w:u w:val="single" w:color="auto"/>
                  <w:color w:val="0000EE"/>
                </w:rPr>
                <w:t>7(b)#</w:t>
              </w:r>
            </w:hyperlink>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Form of RSU Award Grant Notice (incorporated by reference to Exhibit 10.7(b) to the Current</w:t>
            </w: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20" w:type="dxa"/>
            <w:vAlign w:val="bottom"/>
            <w:tcBorders>
              <w:top w:val="single" w:sz="8" w:color="0000EE"/>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on June 21, 2021).</w:t>
            </w:r>
          </w:p>
        </w:tc>
      </w:tr>
      <w:tr>
        <w:trPr>
          <w:trHeight w:val="229"/>
        </w:trPr>
        <w:tc>
          <w:tcPr>
            <w:tcW w:w="480" w:type="dxa"/>
            <w:vAlign w:val="bottom"/>
            <w:gridSpan w:val="4"/>
          </w:tcPr>
          <w:p>
            <w:pPr>
              <w:spacing w:after="0"/>
              <w:rPr>
                <w:rFonts w:ascii="Arial" w:cs="Arial" w:eastAsia="Arial" w:hAnsi="Arial"/>
                <w:sz w:val="18"/>
                <w:szCs w:val="18"/>
                <w:color w:val="0000EE"/>
              </w:rPr>
            </w:pPr>
            <w:hyperlink r:id="rId409">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5"/>
              </w:rPr>
              <w:t>WM Technology, Inc. 2021 Employee Stock Purchase Plan (incorporated by reference to Exhibit</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10.8 to 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80" w:type="dxa"/>
            <w:vAlign w:val="bottom"/>
            <w:gridSpan w:val="4"/>
            <w:shd w:val="clear" w:color="auto" w:fill="CCEEFF"/>
          </w:tcPr>
          <w:p>
            <w:pPr>
              <w:spacing w:after="0"/>
              <w:rPr>
                <w:rFonts w:ascii="Arial" w:cs="Arial" w:eastAsia="Arial" w:hAnsi="Arial"/>
                <w:sz w:val="18"/>
                <w:szCs w:val="18"/>
                <w:color w:val="0000EE"/>
              </w:rPr>
            </w:pPr>
            <w:hyperlink r:id="rId410">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3"/>
              </w:rPr>
              <w:t>Offer letter by and between Ghost Management Group, LLC and Christopher Beals, dated July 31,</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2015 (incorporated by reference to Exhibit 10.9 to the Current Report on Form 8-K filed on June 21,</w:t>
            </w: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r>
      <w:tr>
        <w:trPr>
          <w:trHeight w:val="230"/>
        </w:trPr>
        <w:tc>
          <w:tcPr>
            <w:tcW w:w="600" w:type="dxa"/>
            <w:vAlign w:val="bottom"/>
            <w:gridSpan w:val="5"/>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0"/>
              </w:rPr>
              <w:t>Offer letter by and between Ghost Management Group, LLC and Arden Lee, dated February 5, 2019.</w:t>
            </w:r>
          </w:p>
        </w:tc>
      </w:tr>
      <w:tr>
        <w:trPr>
          <w:trHeight w:val="74"/>
        </w:trPr>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320" w:type="dxa"/>
            <w:vAlign w:val="bottom"/>
          </w:tcPr>
          <w:p>
            <w:pPr>
              <w:spacing w:after="0"/>
              <w:rPr>
                <w:sz w:val="6"/>
                <w:szCs w:val="6"/>
                <w:color w:val="auto"/>
              </w:rPr>
            </w:pPr>
          </w:p>
        </w:tc>
      </w:tr>
      <w:tr>
        <w:trPr>
          <w:trHeight w:val="230"/>
        </w:trPr>
        <w:tc>
          <w:tcPr>
            <w:tcW w:w="48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3"/>
              </w:rPr>
            </w:pPr>
            <w:hyperlink w:anchor="page174">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w:t>
              </w:r>
            </w:hyperlink>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Offer letter by and between Ghost Management Group, LLC and Juanjo Feijoo, dated April 30, 2019.</w:t>
            </w:r>
          </w:p>
        </w:tc>
      </w:tr>
      <w:tr>
        <w:trPr>
          <w:trHeight w:val="75"/>
        </w:trPr>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320" w:type="dxa"/>
            <w:vAlign w:val="bottom"/>
            <w:shd w:val="clear" w:color="auto" w:fill="CCEEFF"/>
          </w:tcPr>
          <w:p>
            <w:pPr>
              <w:spacing w:after="0"/>
              <w:rPr>
                <w:sz w:val="6"/>
                <w:szCs w:val="6"/>
                <w:color w:val="auto"/>
              </w:rPr>
            </w:pPr>
          </w:p>
        </w:tc>
      </w:tr>
      <w:tr>
        <w:trPr>
          <w:trHeight w:val="230"/>
        </w:trPr>
        <w:tc>
          <w:tcPr>
            <w:tcW w:w="480" w:type="dxa"/>
            <w:vAlign w:val="bottom"/>
            <w:gridSpan w:val="4"/>
          </w:tcPr>
          <w:p>
            <w:pPr>
              <w:spacing w:after="0"/>
              <w:rPr>
                <w:rFonts w:ascii="Arial" w:cs="Arial" w:eastAsia="Arial" w:hAnsi="Arial"/>
                <w:sz w:val="18"/>
                <w:szCs w:val="18"/>
                <w:color w:val="0000EE"/>
              </w:rPr>
            </w:pPr>
            <w:hyperlink r:id="rId411">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Lease by and between the Irvine Company LLC and Ghost Media Group, LLC, dated November 11,</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4"/>
              </w:rPr>
              <w:t>2013, as amended (incorporated by reference to Exhibit 10.12 to the Current Report on Form 8-K</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30"/>
        </w:trPr>
        <w:tc>
          <w:tcPr>
            <w:tcW w:w="480" w:type="dxa"/>
            <w:vAlign w:val="bottom"/>
            <w:gridSpan w:val="4"/>
            <w:shd w:val="clear" w:color="auto" w:fill="CCEEFF"/>
          </w:tcPr>
          <w:p>
            <w:pPr>
              <w:spacing w:after="0"/>
              <w:rPr>
                <w:rFonts w:ascii="Arial" w:cs="Arial" w:eastAsia="Arial" w:hAnsi="Arial"/>
                <w:sz w:val="18"/>
                <w:szCs w:val="18"/>
                <w:color w:val="0000EE"/>
              </w:rPr>
            </w:pPr>
            <w:hyperlink r:id="rId412">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9"/>
              </w:rPr>
              <w:t>First Amendment to Lease and Consent to Assignment by and between Discovery Business</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Center LLC, as successor-in-interest to the Irvine Company LLC, and Ghost Management</w:t>
            </w: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Group, LLC, as successor-in-interest to Ghost Media Group, LLC, dated January 27, 2016</w:t>
            </w: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6"/>
              </w:rPr>
              <w:t>(incorporated by reference to Exhibit 10.13 to the Current Report on Form 8-K filed on June 21,</w:t>
            </w: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r>
      <w:tr>
        <w:trPr>
          <w:trHeight w:val="230"/>
        </w:trPr>
        <w:tc>
          <w:tcPr>
            <w:tcW w:w="480" w:type="dxa"/>
            <w:vAlign w:val="bottom"/>
            <w:gridSpan w:val="4"/>
          </w:tcPr>
          <w:p>
            <w:pPr>
              <w:spacing w:after="0"/>
              <w:rPr>
                <w:rFonts w:ascii="Arial" w:cs="Arial" w:eastAsia="Arial" w:hAnsi="Arial"/>
                <w:sz w:val="18"/>
                <w:szCs w:val="18"/>
                <w:color w:val="0000EE"/>
              </w:rPr>
            </w:pPr>
            <w:hyperlink r:id="rId413">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Second Amendment to Lease, by and between Discovery Business Center LLC and Ghost</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Management Group, LLC, dated April 7, 2017 (incorporated by reference to Exhibit 10.14 to the</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80" w:type="dxa"/>
            <w:vAlign w:val="bottom"/>
            <w:gridSpan w:val="4"/>
            <w:shd w:val="clear" w:color="auto" w:fill="CCEEFF"/>
          </w:tcPr>
          <w:p>
            <w:pPr>
              <w:spacing w:after="0"/>
              <w:rPr>
                <w:rFonts w:ascii="Arial" w:cs="Arial" w:eastAsia="Arial" w:hAnsi="Arial"/>
                <w:sz w:val="18"/>
                <w:szCs w:val="18"/>
                <w:color w:val="0000EE"/>
              </w:rPr>
            </w:pPr>
            <w:hyperlink r:id="rId414">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Amendment to Lease, by and between Discovery Business Center LLC and Ghost</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Management Group, LLC, dated December 29, 2017 (incorporated by reference to Exhibit 10.15 to</w:t>
            </w: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Current Report on Form 8-K filed on June 21, 2021).</w:t>
            </w:r>
          </w:p>
        </w:tc>
      </w:tr>
      <w:tr>
        <w:trPr>
          <w:trHeight w:val="230"/>
        </w:trPr>
        <w:tc>
          <w:tcPr>
            <w:tcW w:w="480" w:type="dxa"/>
            <w:vAlign w:val="bottom"/>
            <w:gridSpan w:val="4"/>
          </w:tcPr>
          <w:p>
            <w:pPr>
              <w:spacing w:after="0"/>
              <w:rPr>
                <w:rFonts w:ascii="Arial" w:cs="Arial" w:eastAsia="Arial" w:hAnsi="Arial"/>
                <w:sz w:val="18"/>
                <w:szCs w:val="18"/>
                <w:color w:val="0000EE"/>
              </w:rPr>
            </w:pPr>
            <w:hyperlink r:id="rId415">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Fourth Amendment to Lease, by and between Discovery Business Center LLC and Ghost</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Management Group, LLC, dated May 3, 2018 (incorporated by reference to Exhibit 10.16 to the</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Report on Form 8-K filed on June 21,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-8074660</wp:posOffset>
            </wp:positionV>
            <wp:extent cx="2400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736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6"/>
                <w:szCs w:val="16"/>
                <w:color w:val="auto"/>
              </w:rPr>
            </w:pPr>
          </w:p>
        </w:tc>
        <w:tc>
          <w:tcPr>
            <w:tcW w:w="7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7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80" w:type="dxa"/>
            <w:vAlign w:val="bottom"/>
            <w:gridSpan w:val="3"/>
            <w:shd w:val="clear" w:color="auto" w:fill="CCEEFF"/>
          </w:tcPr>
          <w:p>
            <w:pPr>
              <w:spacing w:after="0"/>
              <w:rPr>
                <w:rFonts w:ascii="Arial" w:cs="Arial" w:eastAsia="Arial" w:hAnsi="Arial"/>
                <w:sz w:val="18"/>
                <w:szCs w:val="18"/>
                <w:color w:val="0000EE"/>
              </w:rPr>
            </w:pPr>
            <w:hyperlink r:id="rId418">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80" w:type="dxa"/>
            <w:vAlign w:val="bottom"/>
            <w:shd w:val="clear" w:color="auto" w:fill="CCEEFF"/>
          </w:tcPr>
          <w:p>
            <w:pPr>
              <w:spacing w:after="0"/>
              <w:rPr>
                <w:sz w:val="20"/>
                <w:szCs w:val="20"/>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Strategic Advisor Agreement, by and between the Company and Steven Jung, dated June 21, 2021</w:t>
            </w:r>
          </w:p>
        </w:tc>
        <w:tc>
          <w:tcPr>
            <w:tcW w:w="0" w:type="dxa"/>
            <w:vAlign w:val="bottom"/>
          </w:tcPr>
          <w:p>
            <w:pPr>
              <w:spacing w:after="0"/>
              <w:rPr>
                <w:sz w:val="1"/>
                <w:szCs w:val="1"/>
                <w:color w:val="auto"/>
              </w:rPr>
            </w:pPr>
          </w:p>
        </w:tc>
      </w:tr>
      <w:tr>
        <w:trPr>
          <w:trHeight w:val="222"/>
        </w:trPr>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97"/>
              </w:rPr>
              <w:t>(incorporated by reference to Exhibit 10.17 to the Current Report on Form 8-K filed on June 21,</w:t>
            </w: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660" w:type="dxa"/>
            <w:vAlign w:val="bottom"/>
            <w:gridSpan w:val="4"/>
          </w:tcPr>
          <w:p>
            <w:pPr>
              <w:spacing w:after="0"/>
              <w:rPr>
                <w:rFonts w:ascii="Arial" w:cs="Arial" w:eastAsia="Arial" w:hAnsi="Arial"/>
                <w:sz w:val="18"/>
                <w:szCs w:val="18"/>
                <w:color w:val="0000EE"/>
              </w:rPr>
            </w:pPr>
            <w:hyperlink r:id="rId419">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7760" w:type="dxa"/>
            <w:vAlign w:val="bottom"/>
            <w:gridSpan w:val="2"/>
          </w:tcPr>
          <w:p>
            <w:pPr>
              <w:ind w:left="400"/>
              <w:spacing w:after="0"/>
              <w:rPr>
                <w:sz w:val="20"/>
                <w:szCs w:val="20"/>
                <w:color w:val="auto"/>
              </w:rPr>
            </w:pPr>
            <w:r>
              <w:rPr>
                <w:rFonts w:ascii="Arial" w:cs="Arial" w:eastAsia="Arial" w:hAnsi="Arial"/>
                <w:sz w:val="18"/>
                <w:szCs w:val="18"/>
                <w:color w:val="auto"/>
                <w:w w:val="95"/>
              </w:rPr>
              <w:t>WM Technology, Inc. Non-Employee Director Compensation Policy (incorporated by reference to</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Exhibit 10.1 to the Quarterly Report on Form 10-Q filed on November 12, 2021).</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spacing w:after="0"/>
              <w:rPr>
                <w:rFonts w:ascii="Arial" w:cs="Arial" w:eastAsia="Arial" w:hAnsi="Arial"/>
                <w:sz w:val="18"/>
                <w:szCs w:val="18"/>
                <w:color w:val="0000EE"/>
              </w:rPr>
            </w:pPr>
            <w:hyperlink r:id="rId420">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List of Subsidiaries of the Registrant (incorporated by reference to Exhibit 21.1 to the Annual Report</w:t>
            </w:r>
          </w:p>
        </w:tc>
        <w:tc>
          <w:tcPr>
            <w:tcW w:w="0" w:type="dxa"/>
            <w:vAlign w:val="bottom"/>
          </w:tcPr>
          <w:p>
            <w:pPr>
              <w:spacing w:after="0"/>
              <w:rPr>
                <w:sz w:val="1"/>
                <w:szCs w:val="1"/>
                <w:color w:val="auto"/>
              </w:rPr>
            </w:pPr>
          </w:p>
        </w:tc>
      </w:tr>
      <w:tr>
        <w:trPr>
          <w:trHeight w:val="270"/>
        </w:trPr>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776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on Form 10-K filed on February 25, 2022).</w:t>
            </w:r>
          </w:p>
        </w:tc>
        <w:tc>
          <w:tcPr>
            <w:tcW w:w="0" w:type="dxa"/>
            <w:vAlign w:val="bottom"/>
          </w:tcPr>
          <w:p>
            <w:pPr>
              <w:spacing w:after="0"/>
              <w:rPr>
                <w:sz w:val="1"/>
                <w:szCs w:val="1"/>
                <w:color w:val="auto"/>
              </w:rPr>
            </w:pPr>
          </w:p>
        </w:tc>
      </w:tr>
      <w:tr>
        <w:trPr>
          <w:trHeight w:val="229"/>
        </w:trPr>
        <w:tc>
          <w:tcPr>
            <w:tcW w:w="480" w:type="dxa"/>
            <w:vAlign w:val="bottom"/>
            <w:gridSpan w:val="3"/>
          </w:tcPr>
          <w:p>
            <w:pPr>
              <w:spacing w:after="0"/>
              <w:rPr>
                <w:rFonts w:ascii="Arial" w:cs="Arial" w:eastAsia="Arial" w:hAnsi="Arial"/>
                <w:sz w:val="18"/>
                <w:szCs w:val="18"/>
                <w:color w:val="0000EE"/>
              </w:rPr>
            </w:pPr>
            <w:hyperlink r:id="rId421">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80" w:type="dxa"/>
            <w:vAlign w:val="bottom"/>
          </w:tcPr>
          <w:p>
            <w:pPr>
              <w:spacing w:after="0"/>
              <w:rPr>
                <w:sz w:val="19"/>
                <w:szCs w:val="19"/>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Consent of Baker Tilly US, LLP</w:t>
            </w:r>
          </w:p>
        </w:tc>
        <w:tc>
          <w:tcPr>
            <w:tcW w:w="0" w:type="dxa"/>
            <w:vAlign w:val="bottom"/>
          </w:tcPr>
          <w:p>
            <w:pPr>
              <w:spacing w:after="0"/>
              <w:rPr>
                <w:sz w:val="1"/>
                <w:szCs w:val="1"/>
                <w:color w:val="auto"/>
              </w:rPr>
            </w:pPr>
          </w:p>
        </w:tc>
      </w:tr>
      <w:tr>
        <w:trPr>
          <w:trHeight w:val="75"/>
        </w:trPr>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shd w:val="clear" w:color="auto" w:fill="CCEEFF"/>
          </w:tcPr>
          <w:p>
            <w:pPr>
              <w:spacing w:after="0"/>
              <w:rPr>
                <w:rFonts w:ascii="Arial" w:cs="Arial" w:eastAsia="Arial" w:hAnsi="Arial"/>
                <w:sz w:val="18"/>
                <w:szCs w:val="18"/>
                <w:color w:val="0000EE"/>
              </w:rPr>
            </w:pPr>
            <w:hyperlink r:id="rId398">
              <w:r>
                <w:rPr>
                  <w:rFonts w:ascii="Arial" w:cs="Arial" w:eastAsia="Arial" w:hAnsi="Arial"/>
                  <w:sz w:val="18"/>
                  <w:szCs w:val="18"/>
                  <w:color w:val="0000EE"/>
                </w:rPr>
                <w:t>23.</w:t>
              </w:r>
              <w:r>
                <w:rPr>
                  <w:rFonts w:ascii="Arial" w:cs="Arial" w:eastAsia="Arial" w:hAnsi="Arial"/>
                  <w:sz w:val="18"/>
                  <w:szCs w:val="18"/>
                  <w:u w:val="single" w:color="auto"/>
                  <w:color w:val="0000EE"/>
                </w:rPr>
                <w:t>2*</w:t>
              </w:r>
            </w:hyperlink>
          </w:p>
        </w:tc>
        <w:tc>
          <w:tcPr>
            <w:tcW w:w="18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75"/>
        </w:trPr>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73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60" w:type="dxa"/>
            <w:vAlign w:val="bottom"/>
            <w:gridSpan w:val="4"/>
          </w:tcPr>
          <w:p>
            <w:pPr>
              <w:spacing w:after="0"/>
              <w:rPr>
                <w:sz w:val="20"/>
                <w:szCs w:val="20"/>
                <w:color w:val="auto"/>
              </w:rPr>
            </w:pPr>
            <w:r>
              <w:rPr>
                <w:rFonts w:ascii="Arial" w:cs="Arial" w:eastAsia="Arial" w:hAnsi="Arial"/>
                <w:sz w:val="18"/>
                <w:szCs w:val="18"/>
                <w:color w:val="auto"/>
                <w:w w:val="98"/>
              </w:rPr>
              <w:t>101.INS</w:t>
            </w: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87"/>
              </w:rPr>
              <w:t>101.SCH</w:t>
            </w:r>
          </w:p>
        </w:tc>
        <w:tc>
          <w:tcPr>
            <w:tcW w:w="7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660" w:type="dxa"/>
            <w:vAlign w:val="bottom"/>
            <w:gridSpan w:val="4"/>
          </w:tcPr>
          <w:p>
            <w:pPr>
              <w:spacing w:after="0"/>
              <w:rPr>
                <w:sz w:val="20"/>
                <w:szCs w:val="20"/>
                <w:color w:val="auto"/>
              </w:rPr>
            </w:pPr>
            <w:r>
              <w:rPr>
                <w:rFonts w:ascii="Arial" w:cs="Arial" w:eastAsia="Arial" w:hAnsi="Arial"/>
                <w:sz w:val="18"/>
                <w:szCs w:val="18"/>
                <w:color w:val="auto"/>
                <w:w w:val="91"/>
              </w:rPr>
              <w:t>101.CAL</w:t>
            </w: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0"/>
              </w:rPr>
              <w:t>101.DEF</w:t>
            </w:r>
          </w:p>
        </w:tc>
        <w:tc>
          <w:tcPr>
            <w:tcW w:w="7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660" w:type="dxa"/>
            <w:vAlign w:val="bottom"/>
            <w:gridSpan w:val="4"/>
          </w:tcPr>
          <w:p>
            <w:pPr>
              <w:spacing w:after="0"/>
              <w:rPr>
                <w:sz w:val="20"/>
                <w:szCs w:val="20"/>
                <w:color w:val="auto"/>
              </w:rPr>
            </w:pPr>
            <w:r>
              <w:rPr>
                <w:rFonts w:ascii="Arial" w:cs="Arial" w:eastAsia="Arial" w:hAnsi="Arial"/>
                <w:sz w:val="18"/>
                <w:szCs w:val="18"/>
                <w:color w:val="auto"/>
                <w:w w:val="92"/>
              </w:rPr>
              <w:t>101.LAB</w:t>
            </w: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8"/>
              </w:rPr>
              <w:t>101.PRE</w:t>
            </w: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4"/>
        </w:trPr>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7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-2828290</wp:posOffset>
            </wp:positionV>
            <wp:extent cx="2489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2" w:lineRule="exact"/>
        <w:rPr>
          <w:sz w:val="20"/>
          <w:szCs w:val="20"/>
          <w:color w:val="auto"/>
        </w:rPr>
      </w:pPr>
    </w:p>
    <w:p>
      <w:pPr>
        <w:ind w:left="640" w:hanging="348"/>
        <w:spacing w:after="0"/>
        <w:tabs>
          <w:tab w:leader="none" w:pos="6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42" w:lineRule="exact"/>
        <w:rPr>
          <w:sz w:val="20"/>
          <w:szCs w:val="20"/>
          <w:color w:val="auto"/>
        </w:rPr>
      </w:pPr>
    </w:p>
    <w:p>
      <w:pPr>
        <w:ind w:left="640" w:right="299" w:hanging="348"/>
        <w:spacing w:after="0" w:line="253" w:lineRule="auto"/>
        <w:tabs>
          <w:tab w:leader="none" w:pos="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schedules and exhibits to this agreement have been omitted pursuant to Item 601(b)(2) of Regulation S-K. A copy of any omitted schedule and/or exhibit will be furnished to the SEC upon request.</w:t>
      </w:r>
    </w:p>
    <w:p>
      <w:pPr>
        <w:spacing w:after="0" w:line="12" w:lineRule="exact"/>
        <w:rPr>
          <w:sz w:val="20"/>
          <w:szCs w:val="20"/>
          <w:color w:val="auto"/>
        </w:rPr>
      </w:pPr>
    </w:p>
    <w:p>
      <w:pPr>
        <w:ind w:left="640" w:hanging="348"/>
        <w:spacing w:after="0"/>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0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hanging="348"/>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jc w:val="both"/>
        <w:ind w:left="1360" w:right="319" w:hanging="348"/>
        <w:spacing w:after="0" w:line="269" w:lineRule="auto"/>
        <w:tabs>
          <w:tab w:leader="none" w:pos="1360" w:val="left"/>
        </w:tabs>
        <w:numPr>
          <w:ilvl w:val="2"/>
          <w:numId w:val="9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7" w:lineRule="exact"/>
        <w:rPr>
          <w:rFonts w:ascii="Arial" w:cs="Arial" w:eastAsia="Arial" w:hAnsi="Arial"/>
          <w:sz w:val="17"/>
          <w:szCs w:val="17"/>
          <w:color w:val="auto"/>
        </w:rPr>
      </w:pPr>
    </w:p>
    <w:p>
      <w:pPr>
        <w:jc w:val="both"/>
        <w:ind w:left="1360" w:right="319" w:hanging="348"/>
        <w:spacing w:after="0" w:line="290" w:lineRule="auto"/>
        <w:tabs>
          <w:tab w:leader="none" w:pos="1360" w:val="left"/>
        </w:tabs>
        <w:numPr>
          <w:ilvl w:val="2"/>
          <w:numId w:val="95"/>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of this section do not apply if</w:t>
      </w:r>
      <w:r>
        <w:rPr>
          <w:rFonts w:ascii="Arial" w:cs="Arial" w:eastAsia="Arial" w:hAnsi="Arial"/>
          <w:sz w:val="16"/>
          <w:szCs w:val="16"/>
          <w:i w:val="1"/>
          <w:iCs w:val="1"/>
          <w:color w:val="auto"/>
        </w:rPr>
        <w:t xml:space="preserve"> </w:t>
      </w:r>
      <w:r>
        <w:rPr>
          <w:rFonts w:ascii="Arial" w:cs="Arial" w:eastAsia="Arial" w:hAnsi="Arial"/>
          <w:sz w:val="16"/>
          <w:szCs w:val="16"/>
          <w:color w:val="auto"/>
        </w:rPr>
        <w:t>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57" w:lineRule="exact"/>
        <w:rPr>
          <w:rFonts w:ascii="Arial" w:cs="Arial" w:eastAsia="Arial" w:hAnsi="Arial"/>
          <w:sz w:val="16"/>
          <w:szCs w:val="16"/>
          <w:color w:val="auto"/>
        </w:rPr>
      </w:pPr>
    </w:p>
    <w:p>
      <w:pPr>
        <w:jc w:val="both"/>
        <w:ind w:left="1000" w:right="319" w:hanging="348"/>
        <w:spacing w:after="0" w:line="311" w:lineRule="auto"/>
        <w:tabs>
          <w:tab w:leader="none" w:pos="10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jc w:val="both"/>
        <w:ind w:left="1360" w:right="319" w:hanging="348"/>
        <w:spacing w:after="0" w:line="291" w:lineRule="auto"/>
        <w:tabs>
          <w:tab w:leader="none" w:pos="1360" w:val="left"/>
        </w:tabs>
        <w:numPr>
          <w:ilvl w:val="2"/>
          <w:numId w:val="9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67" w:lineRule="auto"/>
        <w:rPr>
          <w:rFonts w:ascii="Arial" w:cs="Arial" w:eastAsia="Arial" w:hAnsi="Arial"/>
          <w:sz w:val="16"/>
          <w:szCs w:val="16"/>
          <w:color w:val="auto"/>
        </w:rPr>
      </w:pPr>
      <w:r>
        <w:rPr>
          <w:rFonts w:ascii="Arial" w:cs="Arial" w:eastAsia="Arial" w:hAnsi="Arial"/>
          <w:sz w:val="17"/>
          <w:szCs w:val="17"/>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jc w:val="both"/>
        <w:ind w:left="1000" w:right="319" w:hanging="348"/>
        <w:spacing w:after="0" w:line="293" w:lineRule="auto"/>
        <w:tabs>
          <w:tab w:leader="none" w:pos="10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6" w:lineRule="exact"/>
        <w:rPr>
          <w:rFonts w:ascii="Arial" w:cs="Arial" w:eastAsia="Arial" w:hAnsi="Arial"/>
          <w:sz w:val="16"/>
          <w:szCs w:val="16"/>
          <w:color w:val="auto"/>
        </w:rPr>
      </w:pPr>
    </w:p>
    <w:p>
      <w:pPr>
        <w:ind w:left="1360" w:right="319" w:hanging="348"/>
        <w:spacing w:after="0" w:line="277" w:lineRule="auto"/>
        <w:tabs>
          <w:tab w:leader="none" w:pos="13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rFonts w:ascii="Arial" w:cs="Arial" w:eastAsia="Arial" w:hAnsi="Arial"/>
          <w:sz w:val="18"/>
          <w:szCs w:val="18"/>
          <w:color w:val="auto"/>
        </w:rPr>
      </w:pPr>
    </w:p>
    <w:p>
      <w:pPr>
        <w:jc w:val="both"/>
        <w:ind w:left="640" w:right="299" w:hanging="348"/>
        <w:spacing w:after="0" w:line="288" w:lineRule="auto"/>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Irvine, State of California on March 11, 2022.</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57785</wp:posOffset>
            </wp:positionV>
            <wp:extent cx="27686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Name:</w:t>
        <w:tab/>
        <w:t>Christopher Beals</w:t>
      </w:r>
    </w:p>
    <w:p>
      <w:pPr>
        <w:spacing w:after="0" w:line="11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7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 w:type="dxa"/>
            <w:vAlign w:val="bottom"/>
          </w:tcPr>
          <w:p>
            <w:pPr>
              <w:spacing w:after="0"/>
              <w:rPr>
                <w:sz w:val="16"/>
                <w:szCs w:val="16"/>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21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60" w:type="dxa"/>
            <w:vAlign w:val="bottom"/>
          </w:tcPr>
          <w:p>
            <w:pPr>
              <w:jc w:val="center"/>
              <w:spacing w:after="0"/>
              <w:rPr>
                <w:sz w:val="20"/>
                <w:szCs w:val="20"/>
                <w:color w:val="auto"/>
              </w:rPr>
            </w:pPr>
            <w:r>
              <w:rPr>
                <w:rFonts w:ascii="Arial" w:cs="Arial" w:eastAsia="Arial" w:hAnsi="Arial"/>
                <w:sz w:val="18"/>
                <w:szCs w:val="18"/>
                <w:color w:val="auto"/>
                <w:w w:val="89"/>
              </w:rPr>
              <w:t>/s/ Christopher Beals</w:t>
            </w:r>
          </w:p>
        </w:tc>
        <w:tc>
          <w:tcPr>
            <w:tcW w:w="180" w:type="dxa"/>
            <w:vAlign w:val="bottom"/>
          </w:tcPr>
          <w:p>
            <w:pPr>
              <w:spacing w:after="0"/>
              <w:rPr>
                <w:sz w:val="22"/>
                <w:szCs w:val="22"/>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Chief Executive Officer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82"/>
        </w:trPr>
        <w:tc>
          <w:tcPr>
            <w:tcW w:w="216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43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Christopher Beals</w:t>
            </w:r>
          </w:p>
        </w:tc>
        <w:tc>
          <w:tcPr>
            <w:tcW w:w="180" w:type="dxa"/>
            <w:vAlign w:val="bottom"/>
            <w:vMerge w:val="continue"/>
          </w:tcPr>
          <w:p>
            <w:pPr>
              <w:spacing w:after="0"/>
              <w:rPr>
                <w:sz w:val="11"/>
                <w:szCs w:val="11"/>
                <w:color w:val="auto"/>
              </w:rPr>
            </w:pPr>
          </w:p>
        </w:tc>
        <w:tc>
          <w:tcPr>
            <w:tcW w:w="434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2160" w:type="dxa"/>
            <w:vAlign w:val="bottom"/>
          </w:tcPr>
          <w:p>
            <w:pPr>
              <w:jc w:val="center"/>
              <w:spacing w:after="0"/>
              <w:rPr>
                <w:sz w:val="20"/>
                <w:szCs w:val="20"/>
                <w:color w:val="auto"/>
              </w:rPr>
            </w:pPr>
            <w:r>
              <w:rPr>
                <w:rFonts w:ascii="Arial" w:cs="Arial" w:eastAsia="Arial" w:hAnsi="Arial"/>
                <w:sz w:val="18"/>
                <w:szCs w:val="18"/>
                <w:color w:val="auto"/>
                <w:w w:val="91"/>
              </w:rPr>
              <w:t>/s/ Arden Lee</w:t>
            </w:r>
          </w:p>
        </w:tc>
        <w:tc>
          <w:tcPr>
            <w:tcW w:w="180" w:type="dxa"/>
            <w:vAlign w:val="bottom"/>
          </w:tcPr>
          <w:p>
            <w:pPr>
              <w:spacing w:after="0"/>
              <w:rPr>
                <w:sz w:val="24"/>
                <w:szCs w:val="24"/>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109"/>
        </w:trPr>
        <w:tc>
          <w:tcPr>
            <w:tcW w:w="2160" w:type="dxa"/>
            <w:vAlign w:val="bottom"/>
            <w:tcBorders>
              <w:bottom w:val="single" w:sz="8" w:color="auto"/>
            </w:tcBorders>
          </w:tcPr>
          <w:p>
            <w:pPr>
              <w:spacing w:after="0"/>
              <w:rPr>
                <w:sz w:val="9"/>
                <w:szCs w:val="9"/>
                <w:color w:val="auto"/>
              </w:rPr>
            </w:pPr>
          </w:p>
        </w:tc>
        <w:tc>
          <w:tcPr>
            <w:tcW w:w="180" w:type="dxa"/>
            <w:vAlign w:val="bottom"/>
            <w:vMerge w:val="restart"/>
          </w:tcPr>
          <w:p>
            <w:pPr>
              <w:spacing w:after="0"/>
              <w:rPr>
                <w:sz w:val="9"/>
                <w:szCs w:val="9"/>
                <w:color w:val="auto"/>
              </w:rPr>
            </w:pPr>
          </w:p>
        </w:tc>
        <w:tc>
          <w:tcPr>
            <w:tcW w:w="43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Financial Officer and Principal</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3"/>
              </w:rPr>
              <w:t>Arden Lee</w:t>
            </w:r>
          </w:p>
        </w:tc>
        <w:tc>
          <w:tcPr>
            <w:tcW w:w="18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67"/>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4"/>
              </w:rPr>
              <w:t>Tony Aquila</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67"/>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0"/>
              </w:rPr>
              <w:t>Douglas Francis</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87"/>
              </w:rPr>
              <w:t>Brenda Freeman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88"/>
              </w:rPr>
              <w:t>Olga Gonzalez</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2"/>
              </w:rPr>
              <w:t>Scott Gordon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2"/>
              </w:rPr>
              <w:t>Justin Hartfield</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88"/>
              </w:rPr>
              <w:t>Fiona Tan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w w:val="91"/>
              </w:rPr>
              <w:t>/s/ Arden Lee</w:t>
            </w:r>
          </w:p>
        </w:tc>
        <w:tc>
          <w:tcPr>
            <w:tcW w:w="180" w:type="dxa"/>
            <w:vAlign w:val="bottom"/>
          </w:tcPr>
          <w:p>
            <w:pPr>
              <w:spacing w:after="0"/>
              <w:rPr>
                <w:sz w:val="24"/>
                <w:szCs w:val="24"/>
                <w:color w:val="auto"/>
              </w:rPr>
            </w:pPr>
          </w:p>
        </w:tc>
        <w:tc>
          <w:tcPr>
            <w:tcW w:w="43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Attorney-in-Fact</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3"/>
              </w:rPr>
              <w:t>Arden Lee</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2"/>
          </w:tcPr>
          <w:p>
            <w:pPr>
              <w:ind w:left="1720"/>
              <w:spacing w:after="0"/>
              <w:rPr>
                <w:sz w:val="20"/>
                <w:szCs w:val="20"/>
                <w:color w:val="auto"/>
              </w:rPr>
            </w:pPr>
            <w:r>
              <w:rPr>
                <w:rFonts w:ascii="Arial" w:cs="Arial" w:eastAsia="Arial" w:hAnsi="Arial"/>
                <w:sz w:val="18"/>
                <w:szCs w:val="18"/>
                <w:color w:val="auto"/>
              </w:rPr>
              <w:t>II-6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HOST</w:t>
      </w:r>
      <w:r>
        <w:rPr>
          <w:rFonts w:ascii="Arial" w:cs="Arial" w:eastAsia="Arial" w:hAnsi="Arial"/>
          <w:sz w:val="22"/>
          <w:szCs w:val="22"/>
          <w:color w:val="auto"/>
        </w:rPr>
        <w:t xml:space="preserve"> M</w:t>
      </w:r>
      <w:r>
        <w:rPr>
          <w:rFonts w:ascii="Arial" w:cs="Arial" w:eastAsia="Arial" w:hAnsi="Arial"/>
          <w:sz w:val="14"/>
          <w:szCs w:val="14"/>
          <w:color w:val="auto"/>
        </w:rPr>
        <w:t>ANAGEMENT</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LLC</w:t>
      </w:r>
    </w:p>
    <w:p>
      <w:pPr>
        <w:ind w:left="5320" w:hanging="275"/>
        <w:spacing w:after="0" w:line="238" w:lineRule="auto"/>
        <w:tabs>
          <w:tab w:leader="none" w:pos="53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Discovery</w:t>
      </w:r>
    </w:p>
    <w:p>
      <w:pPr>
        <w:ind w:left="4580"/>
        <w:spacing w:after="0"/>
        <w:rPr>
          <w:rFonts w:ascii="Arial" w:cs="Arial" w:eastAsia="Arial" w:hAnsi="Arial"/>
          <w:sz w:val="22"/>
          <w:szCs w:val="22"/>
          <w:color w:val="auto"/>
        </w:rPr>
      </w:pPr>
      <w:r>
        <w:rPr>
          <w:rFonts w:ascii="Arial" w:cs="Arial" w:eastAsia="Arial" w:hAnsi="Arial"/>
          <w:sz w:val="22"/>
          <w:szCs w:val="22"/>
          <w:color w:val="auto"/>
        </w:rPr>
        <w:t>Irvine, California 92618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February 5,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b w:val="1"/>
          <w:bCs w:val="1"/>
          <w:color w:val="auto"/>
        </w:rPr>
        <w:t>Arden Lee</w:t>
      </w:r>
      <w:r>
        <w:rPr>
          <w:rFonts w:ascii="Arial" w:cs="Arial" w:eastAsia="Arial" w:hAnsi="Arial"/>
          <w:sz w:val="22"/>
          <w:szCs w:val="22"/>
          <w:color w:val="auto"/>
        </w:rPr>
        <w:t>:</w:t>
      </w:r>
    </w:p>
    <w:p>
      <w:pPr>
        <w:spacing w:after="0" w:line="233" w:lineRule="exact"/>
        <w:rPr>
          <w:sz w:val="20"/>
          <w:szCs w:val="20"/>
          <w:color w:val="auto"/>
        </w:rPr>
      </w:pPr>
    </w:p>
    <w:p>
      <w:pPr>
        <w:ind w:right="320" w:firstLine="648"/>
        <w:spacing w:after="0" w:line="334" w:lineRule="auto"/>
        <w:rPr>
          <w:sz w:val="20"/>
          <w:szCs w:val="20"/>
          <w:color w:val="auto"/>
        </w:rPr>
      </w:pPr>
      <w:r>
        <w:rPr>
          <w:rFonts w:ascii="Arial" w:cs="Arial" w:eastAsia="Arial" w:hAnsi="Arial"/>
          <w:sz w:val="19"/>
          <w:szCs w:val="19"/>
          <w:color w:val="auto"/>
        </w:rPr>
        <w:t>This letter is to memorialize the offer of employment (the “</w:t>
      </w:r>
      <w:r>
        <w:rPr>
          <w:rFonts w:ascii="Arial" w:cs="Arial" w:eastAsia="Arial" w:hAnsi="Arial"/>
          <w:sz w:val="19"/>
          <w:szCs w:val="19"/>
          <w:b w:val="1"/>
          <w:bCs w:val="1"/>
          <w:u w:val="single" w:color="auto"/>
          <w:color w:val="auto"/>
        </w:rPr>
        <w:t>Offer</w:t>
      </w:r>
      <w:r>
        <w:rPr>
          <w:rFonts w:ascii="Arial" w:cs="Arial" w:eastAsia="Arial" w:hAnsi="Arial"/>
          <w:sz w:val="19"/>
          <w:szCs w:val="19"/>
          <w:color w:val="auto"/>
        </w:rPr>
        <w:t xml:space="preserve">”) made to </w:t>
      </w:r>
      <w:r>
        <w:rPr>
          <w:rFonts w:ascii="Arial" w:cs="Arial" w:eastAsia="Arial" w:hAnsi="Arial"/>
          <w:sz w:val="19"/>
          <w:szCs w:val="19"/>
          <w:b w:val="1"/>
          <w:bCs w:val="1"/>
          <w:color w:val="auto"/>
        </w:rPr>
        <w:t>Arden Lee</w:t>
      </w:r>
      <w:r>
        <w:rPr>
          <w:rFonts w:ascii="Arial" w:cs="Arial" w:eastAsia="Arial" w:hAnsi="Arial"/>
          <w:sz w:val="19"/>
          <w:szCs w:val="19"/>
          <w:color w:val="auto"/>
        </w:rPr>
        <w:t xml:space="preserve"> by Ghost Management Group, LLC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to set forth the specific terms and conditions of your employment with the Company.</w:t>
      </w:r>
    </w:p>
    <w:p>
      <w:pPr>
        <w:spacing w:after="0" w:line="130" w:lineRule="exact"/>
        <w:rPr>
          <w:sz w:val="20"/>
          <w:szCs w:val="20"/>
          <w:color w:val="auto"/>
        </w:rPr>
      </w:pPr>
    </w:p>
    <w:p>
      <w:pPr>
        <w:ind w:left="660" w:right="100" w:hanging="652"/>
        <w:spacing w:after="0" w:line="261"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The Company offers you the </w:t>
      </w:r>
      <w:r>
        <w:rPr>
          <w:rFonts w:ascii="Arial" w:cs="Arial" w:eastAsia="Arial" w:hAnsi="Arial"/>
          <w:sz w:val="18"/>
          <w:szCs w:val="18"/>
          <w:b w:val="1"/>
          <w:bCs w:val="1"/>
          <w:color w:val="auto"/>
        </w:rPr>
        <w:t>full-time exempt</w:t>
      </w:r>
      <w:r>
        <w:rPr>
          <w:rFonts w:ascii="Arial" w:cs="Arial" w:eastAsia="Arial" w:hAnsi="Arial"/>
          <w:sz w:val="18"/>
          <w:szCs w:val="18"/>
          <w:color w:val="auto"/>
        </w:rPr>
        <w:t xml:space="preserve"> position as the Company’s </w:t>
      </w:r>
      <w:r>
        <w:rPr>
          <w:rFonts w:ascii="Arial" w:cs="Arial" w:eastAsia="Arial" w:hAnsi="Arial"/>
          <w:sz w:val="18"/>
          <w:szCs w:val="18"/>
          <w:b w:val="1"/>
          <w:bCs w:val="1"/>
          <w:color w:val="auto"/>
        </w:rPr>
        <w:t>Chief Financial Officer</w:t>
      </w:r>
      <w:r>
        <w:rPr>
          <w:rFonts w:ascii="Arial" w:cs="Arial" w:eastAsia="Arial" w:hAnsi="Arial"/>
          <w:sz w:val="18"/>
          <w:szCs w:val="18"/>
          <w:color w:val="auto"/>
        </w:rPr>
        <w:t xml:space="preserve"> at our </w:t>
      </w:r>
      <w:r>
        <w:rPr>
          <w:rFonts w:ascii="Arial" w:cs="Arial" w:eastAsia="Arial" w:hAnsi="Arial"/>
          <w:sz w:val="18"/>
          <w:szCs w:val="18"/>
          <w:b w:val="1"/>
          <w:bCs w:val="1"/>
          <w:color w:val="auto"/>
        </w:rPr>
        <w:t>Irvine, California</w:t>
      </w:r>
      <w:r>
        <w:rPr>
          <w:rFonts w:ascii="Arial" w:cs="Arial" w:eastAsia="Arial" w:hAnsi="Arial"/>
          <w:sz w:val="18"/>
          <w:szCs w:val="18"/>
          <w:color w:val="auto"/>
        </w:rPr>
        <w:t xml:space="preserve"> office located at </w:t>
      </w:r>
      <w:r>
        <w:rPr>
          <w:rFonts w:ascii="Arial" w:cs="Arial" w:eastAsia="Arial" w:hAnsi="Arial"/>
          <w:sz w:val="18"/>
          <w:szCs w:val="18"/>
          <w:b w:val="1"/>
          <w:bCs w:val="1"/>
          <w:color w:val="auto"/>
        </w:rPr>
        <w:t>41 Discovery, Irvine, California 92618</w:t>
      </w:r>
      <w:r>
        <w:rPr>
          <w:rFonts w:ascii="Arial" w:cs="Arial" w:eastAsia="Arial" w:hAnsi="Arial"/>
          <w:sz w:val="18"/>
          <w:szCs w:val="18"/>
          <w:color w:val="auto"/>
        </w:rPr>
        <w:t xml:space="preserve">. In this position, you will report to the Company’s President and Chief Legal Officer, </w:t>
      </w:r>
      <w:r>
        <w:rPr>
          <w:rFonts w:ascii="Arial" w:cs="Arial" w:eastAsia="Arial" w:hAnsi="Arial"/>
          <w:sz w:val="18"/>
          <w:szCs w:val="18"/>
          <w:b w:val="1"/>
          <w:bCs w:val="1"/>
          <w:color w:val="auto"/>
        </w:rPr>
        <w:t>Christopher Beals</w:t>
      </w:r>
      <w:r>
        <w:rPr>
          <w:rFonts w:ascii="Arial" w:cs="Arial" w:eastAsia="Arial" w:hAnsi="Arial"/>
          <w:sz w:val="18"/>
          <w:szCs w:val="18"/>
          <w:color w:val="auto"/>
        </w:rPr>
        <w:t>, unless notified otherwise. When and if the Company opens an office in Downtown Los Angeles, you shall have the option of</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from this office.</w:t>
      </w:r>
    </w:p>
    <w:p>
      <w:pPr>
        <w:spacing w:after="0" w:line="210" w:lineRule="exact"/>
        <w:rPr>
          <w:rFonts w:ascii="Arial" w:cs="Arial" w:eastAsia="Arial" w:hAnsi="Arial"/>
          <w:sz w:val="18"/>
          <w:szCs w:val="18"/>
          <w:color w:val="auto"/>
        </w:rPr>
      </w:pPr>
    </w:p>
    <w:p>
      <w:pPr>
        <w:ind w:left="660" w:right="60" w:hanging="652"/>
        <w:spacing w:after="0" w:line="269"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xml:space="preserve">. Subject to the terms and conditions of this Offer, the Company agrees to employ you and you agree to be employed by the Company commencing no later than </w:t>
      </w:r>
      <w:r>
        <w:rPr>
          <w:rFonts w:ascii="Arial" w:cs="Arial" w:eastAsia="Arial" w:hAnsi="Arial"/>
          <w:sz w:val="17"/>
          <w:szCs w:val="17"/>
          <w:b w:val="1"/>
          <w:bCs w:val="1"/>
          <w:color w:val="auto"/>
        </w:rPr>
        <w:t>February 28, 2019</w:t>
      </w:r>
      <w:r>
        <w:rPr>
          <w:rFonts w:ascii="Arial" w:cs="Arial" w:eastAsia="Arial" w:hAnsi="Arial"/>
          <w:sz w:val="17"/>
          <w:szCs w:val="17"/>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at-will policy except for the Chief Executive Officer of the Company (“</w:t>
      </w:r>
      <w:r>
        <w:rPr>
          <w:rFonts w:ascii="Arial" w:cs="Arial" w:eastAsia="Arial" w:hAnsi="Arial"/>
          <w:sz w:val="17"/>
          <w:szCs w:val="17"/>
          <w:b w:val="1"/>
          <w:bCs w:val="1"/>
          <w:u w:val="single" w:color="auto"/>
          <w:color w:val="auto"/>
        </w:rPr>
        <w:t>CEO</w:t>
      </w:r>
      <w:r>
        <w:rPr>
          <w:rFonts w:ascii="Arial" w:cs="Arial" w:eastAsia="Arial" w:hAnsi="Arial"/>
          <w:sz w:val="17"/>
          <w:szCs w:val="17"/>
          <w:color w:val="auto"/>
        </w:rPr>
        <w:t>”), and any such modification to this at-will employment policy must be in a written agreement signed by both the employee and the CEO. This constitutes an integrated agreement with respect to the at-will nature of the employment relationship, and there may be no implied or oral agreements that in any way modify this at-will employment policy.</w:t>
      </w:r>
    </w:p>
    <w:p>
      <w:pPr>
        <w:spacing w:after="0" w:line="204" w:lineRule="exact"/>
        <w:rPr>
          <w:rFonts w:ascii="Arial" w:cs="Arial" w:eastAsia="Arial" w:hAnsi="Arial"/>
          <w:sz w:val="17"/>
          <w:szCs w:val="17"/>
          <w:color w:val="auto"/>
        </w:rPr>
      </w:pPr>
    </w:p>
    <w:p>
      <w:pPr>
        <w:ind w:left="660" w:right="40" w:hanging="652"/>
        <w:spacing w:after="0" w:line="289"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xml:space="preserve">. Your title will be </w:t>
      </w:r>
      <w:r>
        <w:rPr>
          <w:rFonts w:ascii="Arial" w:cs="Arial" w:eastAsia="Arial" w:hAnsi="Arial"/>
          <w:sz w:val="16"/>
          <w:szCs w:val="16"/>
          <w:b w:val="1"/>
          <w:bCs w:val="1"/>
          <w:color w:val="auto"/>
        </w:rPr>
        <w:t>Chief Financial Officer</w:t>
      </w:r>
      <w:r>
        <w:rPr>
          <w:rFonts w:ascii="Arial" w:cs="Arial" w:eastAsia="Arial" w:hAnsi="Arial"/>
          <w:sz w:val="16"/>
          <w:szCs w:val="16"/>
          <w:color w:val="auto"/>
        </w:rPr>
        <w:t>. In such capacity, you shall be responsible for all duties commensurate with those generally expected of your title as well as any set forth 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During your employment with the Company, you agree not to actively engage in any other employment, occupation, or consulting activity, including membership of boards of directors or advisers, for any direct or indirect remuneration without the prior approval of the Company’s Board of Managers or Directors (the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You agree to serve, and may be appointed, without additional compensation, as an officer or director of any subsidiary of the Company. You represent and warrant to the Company that you are not party to any contract, understanding, agreement or policy, written or otherwise, that would be breached by your entering into, or performing services under, this letter.</w:t>
      </w:r>
    </w:p>
    <w:p>
      <w:pPr>
        <w:spacing w:after="0" w:line="197" w:lineRule="exact"/>
        <w:rPr>
          <w:rFonts w:ascii="Arial" w:cs="Arial" w:eastAsia="Arial" w:hAnsi="Arial"/>
          <w:sz w:val="16"/>
          <w:szCs w:val="16"/>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1300" w:right="120" w:hanging="644"/>
        <w:spacing w:after="0" w:line="266"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xml:space="preserve">. You will receive an initial, annualized, base salary at the rate of </w:t>
      </w:r>
      <w:r>
        <w:rPr>
          <w:rFonts w:ascii="Arial" w:cs="Arial" w:eastAsia="Arial" w:hAnsi="Arial"/>
          <w:sz w:val="18"/>
          <w:szCs w:val="18"/>
          <w:b w:val="1"/>
          <w:bCs w:val="1"/>
          <w:color w:val="auto"/>
        </w:rPr>
        <w:t>$500,000</w:t>
      </w:r>
      <w:r>
        <w:rPr>
          <w:rFonts w:ascii="Arial" w:cs="Arial" w:eastAsia="Arial" w:hAnsi="Arial"/>
          <w:sz w:val="18"/>
          <w:szCs w:val="18"/>
          <w:color w:val="auto"/>
        </w:rPr>
        <w:t>, as may be modified from time to time by the Board or any compensation committee which may exist (the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as applicable, in its discretion. The base salary will be payable in accordance with the Company’s normal payroll practices.</w:t>
      </w:r>
    </w:p>
    <w:p>
      <w:pPr>
        <w:spacing w:after="0" w:line="206" w:lineRule="exact"/>
        <w:rPr>
          <w:rFonts w:ascii="Arial" w:cs="Arial" w:eastAsia="Arial" w:hAnsi="Arial"/>
          <w:sz w:val="18"/>
          <w:szCs w:val="18"/>
          <w:color w:val="auto"/>
        </w:rPr>
      </w:pPr>
    </w:p>
    <w:p>
      <w:pPr>
        <w:ind w:left="1300" w:right="100" w:hanging="644"/>
        <w:spacing w:after="0" w:line="25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For the Company’s 2019 fiscal year, you will be eligible for an annual bonus of up to fifty percent (50%) of your annual salary, with the attainment of such bonus being based upon the achievement of quantifiable annual goals that will be set by the Board or Committee, as applicable, in its sole discretion, provided that the Board or Committee may solicit input from you and executive management in determining such goals. Any applicable bonus during the first calendar year of your employment shall be a prorated portion based on how many calendar days you were employed in the first calendar year, and provided that you remain employed through the last day of the first calendar year. Any bonus payable hereunder shall be paid within the “short-term deferral” period provided under Treasury Regulation Section 1.409A-(b)(4) (that is, no later than March 15, 2020, for any bonus otherwise payable to you for the Company’s 2019 fiscal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9" w:name="page170"/>
    <w:bookmarkEnd w:id="169"/>
    <w:p>
      <w:pPr>
        <w:ind w:left="644" w:right="80" w:hanging="644"/>
        <w:spacing w:after="0" w:line="259" w:lineRule="auto"/>
        <w:tabs>
          <w:tab w:leader="none" w:pos="64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One-Time IPO Related Bonus</w:t>
      </w:r>
      <w:r>
        <w:rPr>
          <w:rFonts w:ascii="Arial" w:cs="Arial" w:eastAsia="Arial" w:hAnsi="Arial"/>
          <w:sz w:val="18"/>
          <w:szCs w:val="18"/>
          <w:color w:val="auto"/>
        </w:rPr>
        <w:t>. In addition to the other compensation set forth herein, you shall also be entitled to the following one-time bonus amounts subject to the terms herein. Each of these bonuses shall be payable within thirty (30) days of the Board or Committee’s certification that the applicable milestone has been achieved, provided that you remain employed through the certification date. The bonuses shall be as follows:</w:t>
      </w:r>
    </w:p>
    <w:p>
      <w:pPr>
        <w:spacing w:after="0" w:line="209" w:lineRule="exact"/>
        <w:rPr>
          <w:rFonts w:ascii="Arial" w:cs="Arial" w:eastAsia="Arial" w:hAnsi="Arial"/>
          <w:sz w:val="18"/>
          <w:szCs w:val="18"/>
          <w:color w:val="auto"/>
        </w:rPr>
      </w:pPr>
    </w:p>
    <w:p>
      <w:pPr>
        <w:ind w:left="1304" w:right="20" w:hanging="656"/>
        <w:spacing w:after="0" w:line="294" w:lineRule="auto"/>
        <w:tabs>
          <w:tab w:leader="none" w:pos="1304" w:val="left"/>
        </w:tabs>
        <w:numPr>
          <w:ilvl w:val="1"/>
          <w:numId w:val="100"/>
        </w:numPr>
        <w:rPr>
          <w:rFonts w:ascii="Arial" w:cs="Arial" w:eastAsia="Arial" w:hAnsi="Arial"/>
          <w:sz w:val="16"/>
          <w:szCs w:val="16"/>
          <w:color w:val="auto"/>
        </w:rPr>
      </w:pPr>
      <w:r>
        <w:rPr>
          <w:rFonts w:ascii="Arial" w:cs="Arial" w:eastAsia="Arial" w:hAnsi="Arial"/>
          <w:sz w:val="16"/>
          <w:szCs w:val="16"/>
          <w:color w:val="auto"/>
        </w:rPr>
        <w:t>$500,000 upon the successful completion of an IPO of the Company’s parent entity WM Holding Company, LLC (“</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on a U.S. or Canadian exchange with a total amount of gross proceeds received by the Parent at or exceeding USD $150,000,000, that occurs no later than December 31, 2019. For purposes of this clause (i), an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means a Qualified Public Offering or Canadian Public Offering, as each such term is defined in the Parent’s Third Amended and Restated Operating Agreement dated August 15, 2018, provided, that for purposes of this clause (i), the amount of gross proceeds to be received by the Parent in the definition of Qualified Public Offering shall be deemed to be not less than USD $150,000,000.</w:t>
      </w:r>
    </w:p>
    <w:p>
      <w:pPr>
        <w:spacing w:after="0" w:line="190" w:lineRule="exact"/>
        <w:rPr>
          <w:rFonts w:ascii="Arial" w:cs="Arial" w:eastAsia="Arial" w:hAnsi="Arial"/>
          <w:sz w:val="16"/>
          <w:szCs w:val="16"/>
          <w:color w:val="auto"/>
        </w:rPr>
      </w:pPr>
    </w:p>
    <w:p>
      <w:pPr>
        <w:ind w:left="1304" w:right="280" w:hanging="656"/>
        <w:spacing w:after="0" w:line="263" w:lineRule="auto"/>
        <w:tabs>
          <w:tab w:leader="none" w:pos="13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$125,000 upon the timely filing of the first quarterly financial report with the U.S. Securities and Exchange Commission in a timely fashion with no inaccuracies, errors or omissions, that occurs after the achievement of the IPO described in clause (i) above.</w:t>
      </w:r>
    </w:p>
    <w:p>
      <w:pPr>
        <w:spacing w:after="0" w:line="210" w:lineRule="exact"/>
        <w:rPr>
          <w:rFonts w:ascii="Arial" w:cs="Arial" w:eastAsia="Arial" w:hAnsi="Arial"/>
          <w:sz w:val="18"/>
          <w:szCs w:val="18"/>
          <w:color w:val="auto"/>
        </w:rPr>
      </w:pPr>
    </w:p>
    <w:p>
      <w:pPr>
        <w:ind w:left="1304" w:right="60" w:hanging="656"/>
        <w:spacing w:after="0" w:line="259" w:lineRule="auto"/>
        <w:tabs>
          <w:tab w:leader="none" w:pos="13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$125,000 upon successful completion of the implementation of financial compliance with (A) the relevant listing exchange requirements (including without limitation, the listing requirements of Nasdaq and the Canadian Securities Exchange) and (B) requirements under the Sarbanes Oxley Act of 2002, as amended, by no later than the six month anniversary of the achievement of the IPO described in clause (i) above.</w:t>
      </w:r>
    </w:p>
    <w:p>
      <w:pPr>
        <w:spacing w:after="0" w:line="209" w:lineRule="exact"/>
        <w:rPr>
          <w:rFonts w:ascii="Arial" w:cs="Arial" w:eastAsia="Arial" w:hAnsi="Arial"/>
          <w:sz w:val="18"/>
          <w:szCs w:val="18"/>
          <w:color w:val="auto"/>
        </w:rPr>
      </w:pPr>
    </w:p>
    <w:p>
      <w:pPr>
        <w:ind w:left="644" w:right="40" w:hanging="644"/>
        <w:spacing w:after="0" w:line="292" w:lineRule="auto"/>
        <w:tabs>
          <w:tab w:leader="none" w:pos="64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Relocation Allowance</w:t>
      </w:r>
      <w:r>
        <w:rPr>
          <w:rFonts w:ascii="Arial" w:cs="Arial" w:eastAsia="Arial" w:hAnsi="Arial"/>
          <w:sz w:val="16"/>
          <w:szCs w:val="16"/>
          <w:color w:val="auto"/>
        </w:rPr>
        <w:t xml:space="preserve">. You will receive a one-time, taxable, relocation allowance payment of </w:t>
      </w:r>
      <w:r>
        <w:rPr>
          <w:rFonts w:ascii="Arial" w:cs="Arial" w:eastAsia="Arial" w:hAnsi="Arial"/>
          <w:sz w:val="16"/>
          <w:szCs w:val="16"/>
          <w:b w:val="1"/>
          <w:bCs w:val="1"/>
          <w:color w:val="auto"/>
        </w:rPr>
        <w:t>$10,000</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Relocation Allowance</w:t>
      </w:r>
      <w:r>
        <w:rPr>
          <w:rFonts w:ascii="Arial" w:cs="Arial" w:eastAsia="Arial" w:hAnsi="Arial"/>
          <w:sz w:val="16"/>
          <w:szCs w:val="16"/>
          <w:color w:val="auto"/>
        </w:rPr>
        <w:t>”) to cover moving expenses related to any relocation in connection with this role during the first three months of your employment (and in all cases, payable to you no later than December 31, 2019). If the Company terminates your employment for Cause (as defined below) prior to the one-year anniversary of your employment start date with the Company, then you must repay the Company the full gross amount of the Relocation Allowance. If you resign from employment with the Company for any reason prior to the one-year anniversary of your employment start date with the Company, then you must repay the Company a prorated portion of the gross amount of the Relocation Allowance, based on the ratio of (x) 12 minus the number of full months of your employment with the Company to (y) 12 months.</w:t>
      </w:r>
    </w:p>
    <w:p>
      <w:pPr>
        <w:spacing w:after="0" w:line="192" w:lineRule="exact"/>
        <w:rPr>
          <w:rFonts w:ascii="Arial" w:cs="Arial" w:eastAsia="Arial" w:hAnsi="Arial"/>
          <w:sz w:val="16"/>
          <w:szCs w:val="16"/>
          <w:color w:val="auto"/>
        </w:rPr>
      </w:pPr>
    </w:p>
    <w:p>
      <w:pPr>
        <w:ind w:left="644" w:right="140" w:hanging="644"/>
        <w:spacing w:after="0" w:line="285" w:lineRule="auto"/>
        <w:tabs>
          <w:tab w:leader="none" w:pos="64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Subject to the Board or Committee’s approval, the Company will recommend that you be granted an award of 10,000 unvested Class B Units (the “</w:t>
      </w:r>
      <w:r>
        <w:rPr>
          <w:rFonts w:ascii="Arial" w:cs="Arial" w:eastAsia="Arial" w:hAnsi="Arial"/>
          <w:sz w:val="16"/>
          <w:szCs w:val="16"/>
          <w:b w:val="1"/>
          <w:bCs w:val="1"/>
          <w:u w:val="single" w:color="auto"/>
          <w:color w:val="auto"/>
        </w:rPr>
        <w:t>Employee Class B Units</w:t>
      </w:r>
      <w:r>
        <w:rPr>
          <w:rFonts w:ascii="Arial" w:cs="Arial" w:eastAsia="Arial" w:hAnsi="Arial"/>
          <w:sz w:val="16"/>
          <w:szCs w:val="16"/>
          <w:color w:val="auto"/>
        </w:rPr>
        <w:t>”) in WM Holding Company, LLC, the parent company of the Company (the “</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under the Parent’s Third Amended and Restated Equity Incentive Plan (the “</w:t>
      </w:r>
      <w:r>
        <w:rPr>
          <w:rFonts w:ascii="Arial" w:cs="Arial" w:eastAsia="Arial" w:hAnsi="Arial"/>
          <w:sz w:val="16"/>
          <w:szCs w:val="16"/>
          <w:b w:val="1"/>
          <w:bCs w:val="1"/>
          <w:u w:val="single" w:color="auto"/>
          <w:color w:val="auto"/>
        </w:rPr>
        <w:t>Incentive Plan</w:t>
      </w:r>
      <w:r>
        <w:rPr>
          <w:rFonts w:ascii="Arial" w:cs="Arial" w:eastAsia="Arial" w:hAnsi="Arial"/>
          <w:sz w:val="16"/>
          <w:szCs w:val="16"/>
          <w:color w:val="auto"/>
        </w:rPr>
        <w:t>”) and pursuant to the terms and conditions set forth in an Equity Award Agreement (the “</w:t>
      </w:r>
      <w:r>
        <w:rPr>
          <w:rFonts w:ascii="Arial" w:cs="Arial" w:eastAsia="Arial" w:hAnsi="Arial"/>
          <w:sz w:val="16"/>
          <w:szCs w:val="16"/>
          <w:b w:val="1"/>
          <w:bCs w:val="1"/>
          <w:u w:val="single" w:color="auto"/>
          <w:color w:val="auto"/>
        </w:rPr>
        <w:t>Award Agreement</w:t>
      </w:r>
      <w:r>
        <w:rPr>
          <w:rFonts w:ascii="Arial" w:cs="Arial" w:eastAsia="Arial" w:hAnsi="Arial"/>
          <w:sz w:val="16"/>
          <w:szCs w:val="16"/>
          <w:color w:val="auto"/>
        </w:rPr>
        <w:t>”) thereunder to be entered into between you and the Parent following your employment start date with the Company and in accordance with its internal policies regarding the grant of equity incentive units.</w:t>
      </w:r>
    </w:p>
    <w:p>
      <w:pPr>
        <w:spacing w:after="0" w:line="1" w:lineRule="exact"/>
        <w:rPr>
          <w:rFonts w:ascii="Arial" w:cs="Arial" w:eastAsia="Arial" w:hAnsi="Arial"/>
          <w:sz w:val="16"/>
          <w:szCs w:val="16"/>
          <w:color w:val="auto"/>
        </w:rPr>
      </w:pPr>
    </w:p>
    <w:p>
      <w:pPr>
        <w:ind w:left="644"/>
        <w:spacing w:after="0" w:line="270" w:lineRule="auto"/>
        <w:rPr>
          <w:rFonts w:ascii="Arial" w:cs="Arial" w:eastAsia="Arial" w:hAnsi="Arial"/>
          <w:sz w:val="16"/>
          <w:szCs w:val="16"/>
          <w:color w:val="auto"/>
        </w:rPr>
      </w:pPr>
      <w:r>
        <w:rPr>
          <w:rFonts w:ascii="Arial" w:cs="Arial" w:eastAsia="Arial" w:hAnsi="Arial"/>
          <w:sz w:val="17"/>
          <w:szCs w:val="17"/>
          <w:color w:val="auto"/>
        </w:rPr>
        <w:t>Your Employee Class B Units will be scheduled to vest as to 25% of the underlying Class B Units on the one (1) year anniversary of your employment start date with the Company (the “</w:t>
      </w:r>
      <w:r>
        <w:rPr>
          <w:rFonts w:ascii="Arial" w:cs="Arial" w:eastAsia="Arial" w:hAnsi="Arial"/>
          <w:sz w:val="17"/>
          <w:szCs w:val="17"/>
          <w:b w:val="1"/>
          <w:bCs w:val="1"/>
          <w:u w:val="single" w:color="auto"/>
          <w:color w:val="auto"/>
        </w:rPr>
        <w:t>Vesting Cliff</w:t>
      </w:r>
      <w:r>
        <w:rPr>
          <w:rFonts w:ascii="Arial" w:cs="Arial" w:eastAsia="Arial" w:hAnsi="Arial"/>
          <w:sz w:val="17"/>
          <w:szCs w:val="17"/>
          <w:color w:val="auto"/>
        </w:rPr>
        <w:t>”), and thereafter, as to one forty-eighth (1/48th) of the underlying Class B Units on a monthly basis over thirty-six (36) months on the same day of the month your employment start date (or if there is no corresponding day in a given month, the last day of the month), in each case subject to your continued employment with the Company through the applicable vesting date. Your Employee Class B Units will be subject to the terms and conditions set forth in the Parent’s Incentive Plan, as amended from time to time. You acknowledge that you have reviewed the Incentive Plan.</w:t>
      </w:r>
    </w:p>
    <w:p>
      <w:pPr>
        <w:spacing w:after="0" w:line="205" w:lineRule="exact"/>
        <w:rPr>
          <w:rFonts w:ascii="Arial" w:cs="Arial" w:eastAsia="Arial" w:hAnsi="Arial"/>
          <w:sz w:val="16"/>
          <w:szCs w:val="16"/>
          <w:color w:val="auto"/>
        </w:rPr>
      </w:pPr>
    </w:p>
    <w:p>
      <w:pPr>
        <w:ind w:left="644" w:right="340" w:hanging="644"/>
        <w:spacing w:after="0" w:line="277" w:lineRule="auto"/>
        <w:tabs>
          <w:tab w:leader="none" w:pos="64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Withholdings and Deductions</w:t>
      </w:r>
      <w:r>
        <w:rPr>
          <w:rFonts w:ascii="Arial" w:cs="Arial" w:eastAsia="Arial" w:hAnsi="Arial"/>
          <w:sz w:val="18"/>
          <w:szCs w:val="18"/>
          <w:color w:val="auto"/>
        </w:rPr>
        <w:t>. All payments made under this Offer by the Company shall be subject to all required federal, state, and local withholdings and such other deductions as you may properly instruct the Company to take.</w:t>
      </w:r>
    </w:p>
    <w:p>
      <w:pPr>
        <w:spacing w:after="0" w:line="197" w:lineRule="exact"/>
        <w:rPr>
          <w:rFonts w:ascii="Arial" w:cs="Arial" w:eastAsia="Arial" w:hAnsi="Arial"/>
          <w:sz w:val="18"/>
          <w:szCs w:val="18"/>
          <w:color w:val="auto"/>
        </w:rPr>
      </w:pPr>
    </w:p>
    <w:p>
      <w:pPr>
        <w:ind w:left="644" w:right="20" w:hanging="644"/>
        <w:spacing w:after="0" w:line="273" w:lineRule="auto"/>
        <w:tabs>
          <w:tab w:leader="none" w:pos="644"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204" w:lineRule="exact"/>
        <w:rPr>
          <w:rFonts w:ascii="Arial" w:cs="Arial" w:eastAsia="Arial" w:hAnsi="Arial"/>
          <w:sz w:val="17"/>
          <w:szCs w:val="17"/>
          <w:color w:val="auto"/>
        </w:rPr>
      </w:pPr>
    </w:p>
    <w:p>
      <w:pPr>
        <w:ind w:left="644" w:right="60" w:hanging="644"/>
        <w:spacing w:after="0" w:line="311" w:lineRule="auto"/>
        <w:tabs>
          <w:tab w:leader="none" w:pos="64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You will receive paid vacation according to the Company’s Vacation policy set forth in the Company’s Employee Handbook as may be amended from time to time (the “</w:t>
      </w:r>
      <w:r>
        <w:rPr>
          <w:rFonts w:ascii="Arial" w:cs="Arial" w:eastAsia="Arial" w:hAnsi="Arial"/>
          <w:sz w:val="16"/>
          <w:szCs w:val="16"/>
          <w:b w:val="1"/>
          <w:bCs w:val="1"/>
          <w:u w:val="single" w:color="auto"/>
          <w:color w:val="auto"/>
        </w:rPr>
        <w:t>Employee Handbook</w:t>
      </w:r>
      <w:r>
        <w:rPr>
          <w:rFonts w:ascii="Arial" w:cs="Arial" w:eastAsia="Arial" w:hAnsi="Arial"/>
          <w:sz w:val="16"/>
          <w:szCs w:val="16"/>
          <w:color w:val="auto"/>
        </w:rPr>
        <w:t>”). You will be eligible to accrue paid vacation at the rate set forth in the Employee Handbook. Payment of any accrued but unused vacation will be made upon termination of employment.</w:t>
      </w:r>
    </w:p>
    <w:p>
      <w:pPr>
        <w:spacing w:after="0" w:line="175" w:lineRule="exact"/>
        <w:rPr>
          <w:rFonts w:ascii="Arial" w:cs="Arial" w:eastAsia="Arial" w:hAnsi="Arial"/>
          <w:sz w:val="16"/>
          <w:szCs w:val="16"/>
          <w:color w:val="auto"/>
        </w:rPr>
      </w:pPr>
    </w:p>
    <w:p>
      <w:pPr>
        <w:ind w:left="644" w:right="580" w:hanging="644"/>
        <w:spacing w:after="0" w:line="277" w:lineRule="auto"/>
        <w:tabs>
          <w:tab w:leader="none" w:pos="64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Paid Sick Leave</w:t>
      </w:r>
      <w:r>
        <w:rPr>
          <w:rFonts w:ascii="Arial" w:cs="Arial" w:eastAsia="Arial" w:hAnsi="Arial"/>
          <w:sz w:val="18"/>
          <w:szCs w:val="18"/>
          <w:color w:val="auto"/>
        </w:rPr>
        <w:t>. You will be eligible for paid sick leave according to the Company’s Sick Leave Policy set forth in the Employee Handbook.</w:t>
      </w:r>
    </w:p>
    <w:p>
      <w:pPr>
        <w:spacing w:after="0" w:line="36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5" w:right="359" w:bottom="1440" w:gutter="0" w:footer="0" w:header="0"/>
        </w:sectPr>
      </w:pPr>
    </w:p>
    <w:bookmarkStart w:id="170" w:name="page171"/>
    <w:bookmarkEnd w:id="170"/>
    <w:p>
      <w:pPr>
        <w:ind w:left="1292" w:right="60" w:hanging="644"/>
        <w:spacing w:after="0" w:line="286" w:lineRule="auto"/>
        <w:tabs>
          <w:tab w:leader="none" w:pos="1292"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will provide reimbursement to you for any ordinary and reasonable out-of-pocket business expenses which are incurred by you during your employment with the Company in furtherance of the Company’s business and in accordance with the Company’s standard expense reimbursement policy as may be in effect from time to time.</w:t>
      </w:r>
    </w:p>
    <w:p>
      <w:pPr>
        <w:spacing w:after="0" w:line="192" w:lineRule="exact"/>
        <w:rPr>
          <w:rFonts w:ascii="Arial" w:cs="Arial" w:eastAsia="Arial" w:hAnsi="Arial"/>
          <w:sz w:val="17"/>
          <w:szCs w:val="17"/>
          <w:color w:val="auto"/>
        </w:rPr>
      </w:pPr>
    </w:p>
    <w:p>
      <w:pPr>
        <w:ind w:left="1292" w:right="340" w:hanging="644"/>
        <w:spacing w:after="0" w:line="277"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Exclusive Compensation</w:t>
      </w:r>
      <w:r>
        <w:rPr>
          <w:rFonts w:ascii="Arial" w:cs="Arial" w:eastAsia="Arial" w:hAnsi="Arial"/>
          <w:sz w:val="18"/>
          <w:szCs w:val="18"/>
          <w:color w:val="auto"/>
        </w:rPr>
        <w:t>. You agree that your compensation under this Section 4 constitutes the full and exclusive consideration and compensation for all services rendered by you under this Offer.</w:t>
      </w:r>
    </w:p>
    <w:p>
      <w:pPr>
        <w:spacing w:after="0" w:line="197" w:lineRule="exact"/>
        <w:rPr>
          <w:rFonts w:ascii="Arial" w:cs="Arial" w:eastAsia="Arial" w:hAnsi="Arial"/>
          <w:sz w:val="18"/>
          <w:szCs w:val="18"/>
          <w:color w:val="auto"/>
        </w:rPr>
      </w:pPr>
    </w:p>
    <w:p>
      <w:pPr>
        <w:ind w:left="1292" w:right="60" w:hanging="644"/>
        <w:spacing w:after="0" w:line="271" w:lineRule="auto"/>
        <w:tabs>
          <w:tab w:leader="none" w:pos="1292"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Any of the following actions by you constitute Cause for termination of employment by the Company: (i) an act of fraud, embezzlement, dishonesty, material misappropriation or theft against the Company or any of its affiliates, or a customer or co-worker;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 breach of any of the terms of this Offer, the Confidential Information, Non-Solicitation and Inventions Assignment Agreement, the Mutual Agreement to Arbitrate Employment Disputes, or any written policy of the Company or any of its affiliates, including any policy in the Employee Handbook, applicable to you; or (v) willful failure to perform, or gross negligence in the performance of, your duties and responsibilities to the Company and its affiliates.</w:t>
      </w:r>
    </w:p>
    <w:p>
      <w:pPr>
        <w:spacing w:after="0" w:line="205" w:lineRule="exact"/>
        <w:rPr>
          <w:rFonts w:ascii="Arial" w:cs="Arial" w:eastAsia="Arial" w:hAnsi="Arial"/>
          <w:sz w:val="17"/>
          <w:szCs w:val="17"/>
          <w:color w:val="auto"/>
        </w:rPr>
      </w:pPr>
    </w:p>
    <w:p>
      <w:pPr>
        <w:ind w:left="1292" w:hanging="644"/>
        <w:spacing w:after="0" w:line="255"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Clawback Provisions</w:t>
      </w:r>
      <w:r>
        <w:rPr>
          <w:rFonts w:ascii="Arial" w:cs="Arial" w:eastAsia="Arial" w:hAnsi="Arial"/>
          <w:sz w:val="18"/>
          <w:szCs w:val="18"/>
          <w:color w:val="auto"/>
        </w:rPr>
        <w:t>. Notwithstanding any other provisions in this letter to the contrary, any incentive-based compensation, or 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its affiliates pursuant to any such law, government regulation or stock exchange listing requirement).</w:t>
      </w:r>
    </w:p>
    <w:p>
      <w:pPr>
        <w:spacing w:after="0" w:line="219" w:lineRule="exact"/>
        <w:rPr>
          <w:rFonts w:ascii="Arial" w:cs="Arial" w:eastAsia="Arial" w:hAnsi="Arial"/>
          <w:sz w:val="18"/>
          <w:szCs w:val="18"/>
          <w:color w:val="auto"/>
        </w:rPr>
      </w:pPr>
    </w:p>
    <w:p>
      <w:pPr>
        <w:ind w:left="652" w:hanging="652"/>
        <w:spacing w:after="0"/>
        <w:tabs>
          <w:tab w:leader="none" w:pos="65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Conditions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80" w:hanging="644"/>
        <w:spacing w:after="0" w:line="263" w:lineRule="auto"/>
        <w:tabs>
          <w:tab w:leader="none" w:pos="1292"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Policies and Procedures</w:t>
      </w:r>
      <w:r>
        <w:rPr>
          <w:rFonts w:ascii="Arial" w:cs="Arial" w:eastAsia="Arial" w:hAnsi="Arial"/>
          <w:sz w:val="18"/>
          <w:szCs w:val="18"/>
          <w:color w:val="auto"/>
        </w:rPr>
        <w:t>. You agree to adhere to Company policies and procedures, including all policies contained in the Employee Handbook, which you will receive when you begin employment. From time to time, Company policies and procedures may be amended by the Company and will be called to your attention.</w:t>
      </w:r>
    </w:p>
    <w:p>
      <w:pPr>
        <w:spacing w:after="0" w:line="210" w:lineRule="exact"/>
        <w:rPr>
          <w:rFonts w:ascii="Arial" w:cs="Arial" w:eastAsia="Arial" w:hAnsi="Arial"/>
          <w:sz w:val="18"/>
          <w:szCs w:val="18"/>
          <w:color w:val="auto"/>
        </w:rPr>
      </w:pPr>
    </w:p>
    <w:p>
      <w:pPr>
        <w:ind w:left="1292" w:right="60" w:hanging="644"/>
        <w:spacing w:after="0" w:line="301" w:lineRule="auto"/>
        <w:tabs>
          <w:tab w:leader="none" w:pos="1292"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Background Check and Eligibility</w:t>
      </w:r>
      <w:r>
        <w:rPr>
          <w:rFonts w:ascii="Arial" w:cs="Arial" w:eastAsia="Arial" w:hAnsi="Arial"/>
          <w:sz w:val="16"/>
          <w:szCs w:val="16"/>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under the Fair Credit Reporting Act for the purpose of completing such background and/or credit check.</w:t>
      </w:r>
    </w:p>
    <w:p>
      <w:pPr>
        <w:spacing w:after="0" w:line="184" w:lineRule="exact"/>
        <w:rPr>
          <w:rFonts w:ascii="Arial" w:cs="Arial" w:eastAsia="Arial" w:hAnsi="Arial"/>
          <w:sz w:val="16"/>
          <w:szCs w:val="16"/>
          <w:color w:val="auto"/>
        </w:rPr>
      </w:pPr>
    </w:p>
    <w:p>
      <w:pPr>
        <w:jc w:val="both"/>
        <w:ind w:left="1292" w:right="60" w:hanging="644"/>
        <w:spacing w:after="0" w:line="287" w:lineRule="auto"/>
        <w:tabs>
          <w:tab w:leader="none" w:pos="1292"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Right to Work</w:t>
      </w:r>
      <w:r>
        <w:rPr>
          <w:rFonts w:ascii="Arial" w:cs="Arial" w:eastAsia="Arial" w:hAnsi="Arial"/>
          <w:sz w:val="16"/>
          <w:szCs w:val="16"/>
          <w:color w:val="auto"/>
        </w:rPr>
        <w:t>. This Offer is conditional upon your having the unrestricted right to work in the United States. On or before your first day of employment, you will be required to complete Section 1 of the federal Form I-9. By the fourth day of employment, you must provide documentation that proves both your identity and right to work in the United States, or the Company must terminate your employment.</w:t>
      </w:r>
    </w:p>
    <w:p>
      <w:pPr>
        <w:spacing w:after="0" w:line="2"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 xml:space="preserve">For further information, see </w:t>
      </w:r>
      <w:r>
        <w:rPr>
          <w:rFonts w:ascii="Arial" w:cs="Arial" w:eastAsia="Arial" w:hAnsi="Arial"/>
          <w:sz w:val="18"/>
          <w:szCs w:val="18"/>
          <w:u w:val="single" w:color="auto"/>
          <w:color w:val="0000FF"/>
        </w:rPr>
        <w:t>https://www.uscis.gov/i-9</w:t>
      </w:r>
      <w:r>
        <w:rPr>
          <w:rFonts w:ascii="Arial" w:cs="Arial" w:eastAsia="Arial" w:hAnsi="Arial"/>
          <w:sz w:val="18"/>
          <w:szCs w:val="18"/>
          <w:color w:val="0000FF"/>
        </w:rPr>
        <w:t>.</w:t>
      </w:r>
    </w:p>
    <w:p>
      <w:pPr>
        <w:spacing w:after="0" w:line="237" w:lineRule="exact"/>
        <w:rPr>
          <w:rFonts w:ascii="Arial" w:cs="Arial" w:eastAsia="Arial" w:hAnsi="Arial"/>
          <w:sz w:val="16"/>
          <w:szCs w:val="16"/>
          <w:color w:val="auto"/>
        </w:rPr>
      </w:pPr>
    </w:p>
    <w:p>
      <w:pPr>
        <w:ind w:left="1292" w:hanging="644"/>
        <w:spacing w:after="0" w:line="263" w:lineRule="auto"/>
        <w:tabs>
          <w:tab w:leader="none" w:pos="1292"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Non-Solicitation and Inventions Assignment Agreement</w:t>
      </w:r>
      <w:r>
        <w:rPr>
          <w:rFonts w:ascii="Arial" w:cs="Arial" w:eastAsia="Arial" w:hAnsi="Arial"/>
          <w:sz w:val="18"/>
          <w:szCs w:val="18"/>
          <w:color w:val="auto"/>
        </w:rPr>
        <w:t>. 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1292" w:right="280" w:hanging="644"/>
        <w:spacing w:after="0" w:line="263" w:lineRule="auto"/>
        <w:tabs>
          <w:tab w:leader="none" w:pos="1292"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Arbitration Agreement</w:t>
      </w:r>
      <w:r>
        <w:rPr>
          <w:rFonts w:ascii="Arial" w:cs="Arial" w:eastAsia="Arial" w:hAnsi="Arial"/>
          <w:sz w:val="18"/>
          <w:szCs w:val="18"/>
          <w:color w:val="auto"/>
        </w:rPr>
        <w:t>. Enclosed is the Company’s Mutual Agreement to Arbitrate All Employment-Related Disputes, which you are required to sign as a condition of your employment. Upon your acceptance of this Offer, please return to me a signed copy of that agreement.</w:t>
      </w:r>
    </w:p>
    <w:p>
      <w:pPr>
        <w:spacing w:after="0" w:line="379"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171" w:name="page172"/>
    <w:bookmarkEnd w:id="171"/>
    <w:p>
      <w:pPr>
        <w:ind w:left="644" w:right="40" w:hanging="644"/>
        <w:spacing w:after="0" w:line="277"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The Company reserves the right to modify your position, duties, compensation, benefits, and/or other terms and conditions of employment at any time in its sole discretion, as allowed by law, except for the at-will employment policy.</w:t>
      </w:r>
    </w:p>
    <w:p>
      <w:pPr>
        <w:spacing w:after="0" w:line="197" w:lineRule="exact"/>
        <w:rPr>
          <w:rFonts w:ascii="Arial" w:cs="Arial" w:eastAsia="Arial" w:hAnsi="Arial"/>
          <w:sz w:val="18"/>
          <w:szCs w:val="18"/>
          <w:color w:val="auto"/>
        </w:rPr>
      </w:pPr>
    </w:p>
    <w:p>
      <w:pPr>
        <w:ind w:left="644" w:right="120" w:hanging="644"/>
        <w:spacing w:after="0" w:line="263"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This letter supersedes any prior agreements regarding your employment with the Company.</w:t>
      </w:r>
    </w:p>
    <w:p>
      <w:pPr>
        <w:spacing w:after="0" w:line="252" w:lineRule="exact"/>
        <w:rPr>
          <w:rFonts w:ascii="Arial" w:cs="Arial" w:eastAsia="Arial" w:hAnsi="Arial"/>
          <w:sz w:val="18"/>
          <w:szCs w:val="18"/>
          <w:color w:val="auto"/>
        </w:rPr>
      </w:pPr>
    </w:p>
    <w:p>
      <w:pPr>
        <w:jc w:val="both"/>
        <w:ind w:left="644" w:right="40" w:hanging="644"/>
        <w:spacing w:after="0" w:line="311" w:lineRule="auto"/>
        <w:tabs>
          <w:tab w:leader="none" w:pos="644"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The validity, interpretation, construction and performance of this letter will be governed by the laws of the State of California, with the exception of its conflict of laws provisions. The invalidity or unenforceability of any provision or provisions of this letter will not affect the validity or enforceability of any other provision hereof, which will remain in full force and effect.</w:t>
      </w:r>
    </w:p>
    <w:p>
      <w:pPr>
        <w:spacing w:after="0" w:line="175" w:lineRule="exact"/>
        <w:rPr>
          <w:rFonts w:ascii="Arial" w:cs="Arial" w:eastAsia="Arial" w:hAnsi="Arial"/>
          <w:sz w:val="16"/>
          <w:szCs w:val="16"/>
          <w:color w:val="auto"/>
        </w:rPr>
      </w:pPr>
    </w:p>
    <w:p>
      <w:pPr>
        <w:ind w:left="644" w:hanging="644"/>
        <w:spacing w:after="0" w:line="263"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letter will be binding upon and inure to the benefit of (a) your heirs, executors and legal representatives upon your death and (b) any successor of the Company. Any successor of the Company will be deemed substituted for the Company under the terms of this letter for all purposes.</w:t>
      </w:r>
    </w:p>
    <w:p>
      <w:pPr>
        <w:spacing w:after="0" w:line="203" w:lineRule="exact"/>
        <w:rPr>
          <w:sz w:val="20"/>
          <w:szCs w:val="20"/>
          <w:color w:val="auto"/>
        </w:rPr>
      </w:pPr>
    </w:p>
    <w:p>
      <w:pPr>
        <w:ind w:left="30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5" w:right="379" w:bottom="1440" w:gutter="0" w:footer="0" w:header="0"/>
        </w:sectPr>
      </w:pPr>
    </w:p>
    <w:bookmarkStart w:id="172" w:name="page173"/>
    <w:bookmarkEnd w:id="172"/>
    <w:p>
      <w:pPr>
        <w:ind w:firstLine="648"/>
        <w:spacing w:after="0" w:line="251" w:lineRule="auto"/>
        <w:rPr>
          <w:sz w:val="20"/>
          <w:szCs w:val="20"/>
          <w:color w:val="auto"/>
        </w:rPr>
      </w:pPr>
      <w:r>
        <w:rPr>
          <w:rFonts w:ascii="Arial" w:cs="Arial" w:eastAsia="Arial" w:hAnsi="Arial"/>
          <w:sz w:val="22"/>
          <w:szCs w:val="22"/>
          <w:color w:val="auto"/>
        </w:rPr>
        <w:t xml:space="preserve">If you accept the terms of the foregoing offer of employment, please so indicate by signing and dating below and returning it to my attention </w:t>
      </w:r>
      <w:r>
        <w:rPr>
          <w:rFonts w:ascii="Arial" w:cs="Arial" w:eastAsia="Arial" w:hAnsi="Arial"/>
          <w:sz w:val="22"/>
          <w:szCs w:val="22"/>
          <w:i w:val="1"/>
          <w:iCs w:val="1"/>
          <w:color w:val="auto"/>
        </w:rPr>
        <w:t>no later than</w:t>
      </w:r>
      <w:r>
        <w:rPr>
          <w:rFonts w:ascii="Arial" w:cs="Arial" w:eastAsia="Arial" w:hAnsi="Arial"/>
          <w:sz w:val="22"/>
          <w:szCs w:val="22"/>
          <w:color w:val="auto"/>
        </w:rPr>
        <w:t xml:space="preserve"> </w:t>
      </w:r>
      <w:r>
        <w:rPr>
          <w:rFonts w:ascii="Arial" w:cs="Arial" w:eastAsia="Arial" w:hAnsi="Arial"/>
          <w:sz w:val="22"/>
          <w:szCs w:val="22"/>
          <w:b w:val="1"/>
          <w:bCs w:val="1"/>
          <w:color w:val="auto"/>
        </w:rPr>
        <w:t>February 10, 2019</w:t>
      </w:r>
      <w:r>
        <w:rPr>
          <w:rFonts w:ascii="Arial" w:cs="Arial" w:eastAsia="Arial" w:hAnsi="Arial"/>
          <w:sz w:val="22"/>
          <w:szCs w:val="22"/>
          <w:color w:val="auto"/>
        </w:rPr>
        <w:t>.</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GHOST MANAGEMENT GROUP,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Chris Beals </w:t>
      </w:r>
      <w:r>
        <w:rPr>
          <w:rFonts w:ascii="Arial" w:cs="Arial" w:eastAsia="Arial" w:hAnsi="Arial"/>
          <w:sz w:val="18"/>
          <w:szCs w:val="18"/>
          <w:color w:val="auto"/>
        </w:rPr>
        <w:t>(Feb.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Christopher Beals,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Arden Lee </w:t>
      </w:r>
      <w:r>
        <w:rPr>
          <w:rFonts w:ascii="Arial" w:cs="Arial" w:eastAsia="Arial" w:hAnsi="Arial"/>
          <w:sz w:val="18"/>
          <w:szCs w:val="18"/>
          <w:color w:val="auto"/>
        </w:rPr>
        <w:t>(Feb. 6,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Arden Lee</w:t>
            </w: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 6, 2019</w:t>
            </w:r>
          </w:p>
        </w:tc>
      </w:tr>
    </w:tbl>
    <w:p>
      <w:pPr>
        <w:spacing w:after="0" w:line="200" w:lineRule="exact"/>
        <w:rPr>
          <w:sz w:val="20"/>
          <w:szCs w:val="20"/>
          <w:color w:val="auto"/>
        </w:rPr>
      </w:pPr>
    </w:p>
    <w:p>
      <w:pPr>
        <w:spacing w:after="0" w:line="238"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HOST</w:t>
      </w:r>
      <w:r>
        <w:rPr>
          <w:rFonts w:ascii="Arial" w:cs="Arial" w:eastAsia="Arial" w:hAnsi="Arial"/>
          <w:sz w:val="22"/>
          <w:szCs w:val="22"/>
          <w:color w:val="auto"/>
        </w:rPr>
        <w:t xml:space="preserve"> M</w:t>
      </w:r>
      <w:r>
        <w:rPr>
          <w:rFonts w:ascii="Arial" w:cs="Arial" w:eastAsia="Arial" w:hAnsi="Arial"/>
          <w:sz w:val="14"/>
          <w:szCs w:val="14"/>
          <w:color w:val="auto"/>
        </w:rPr>
        <w:t>ANAGEMENT</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LLC</w:t>
      </w:r>
    </w:p>
    <w:p>
      <w:pPr>
        <w:ind w:left="5320" w:hanging="275"/>
        <w:spacing w:after="0" w:line="238" w:lineRule="auto"/>
        <w:tabs>
          <w:tab w:leader="none" w:pos="53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Discovery</w:t>
      </w:r>
    </w:p>
    <w:p>
      <w:pPr>
        <w:ind w:left="4580"/>
        <w:spacing w:after="0"/>
        <w:rPr>
          <w:rFonts w:ascii="Arial" w:cs="Arial" w:eastAsia="Arial" w:hAnsi="Arial"/>
          <w:sz w:val="22"/>
          <w:szCs w:val="22"/>
          <w:color w:val="auto"/>
        </w:rPr>
      </w:pPr>
      <w:r>
        <w:rPr>
          <w:rFonts w:ascii="Arial" w:cs="Arial" w:eastAsia="Arial" w:hAnsi="Arial"/>
          <w:sz w:val="22"/>
          <w:szCs w:val="22"/>
          <w:color w:val="auto"/>
        </w:rPr>
        <w:t>Irvine, California 92618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April 30,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b w:val="1"/>
          <w:bCs w:val="1"/>
          <w:color w:val="auto"/>
        </w:rPr>
        <w:t>Juanjo Feijoo</w:t>
      </w:r>
      <w:r>
        <w:rPr>
          <w:rFonts w:ascii="Arial" w:cs="Arial" w:eastAsia="Arial" w:hAnsi="Arial"/>
          <w:sz w:val="22"/>
          <w:szCs w:val="22"/>
          <w:color w:val="auto"/>
        </w:rPr>
        <w:t>:</w:t>
      </w:r>
    </w:p>
    <w:p>
      <w:pPr>
        <w:spacing w:after="0" w:line="233" w:lineRule="exact"/>
        <w:rPr>
          <w:sz w:val="20"/>
          <w:szCs w:val="20"/>
          <w:color w:val="auto"/>
        </w:rPr>
      </w:pPr>
    </w:p>
    <w:p>
      <w:pPr>
        <w:ind w:right="40" w:firstLine="648"/>
        <w:spacing w:after="0" w:line="280" w:lineRule="auto"/>
        <w:rPr>
          <w:sz w:val="20"/>
          <w:szCs w:val="20"/>
          <w:color w:val="auto"/>
        </w:rPr>
      </w:pPr>
      <w:r>
        <w:rPr>
          <w:rFonts w:ascii="Arial" w:cs="Arial" w:eastAsia="Arial" w:hAnsi="Arial"/>
          <w:sz w:val="21"/>
          <w:szCs w:val="21"/>
          <w:color w:val="auto"/>
        </w:rPr>
        <w:t>This letter is to memorialize the offer of employment (the “</w:t>
      </w:r>
      <w:r>
        <w:rPr>
          <w:rFonts w:ascii="Arial" w:cs="Arial" w:eastAsia="Arial" w:hAnsi="Arial"/>
          <w:sz w:val="21"/>
          <w:szCs w:val="21"/>
          <w:b w:val="1"/>
          <w:bCs w:val="1"/>
          <w:u w:val="single" w:color="auto"/>
          <w:color w:val="auto"/>
        </w:rPr>
        <w:t>Offer</w:t>
      </w:r>
      <w:r>
        <w:rPr>
          <w:rFonts w:ascii="Arial" w:cs="Arial" w:eastAsia="Arial" w:hAnsi="Arial"/>
          <w:sz w:val="21"/>
          <w:szCs w:val="21"/>
          <w:color w:val="auto"/>
        </w:rPr>
        <w:t xml:space="preserve">”) made to </w:t>
      </w:r>
      <w:r>
        <w:rPr>
          <w:rFonts w:ascii="Arial" w:cs="Arial" w:eastAsia="Arial" w:hAnsi="Arial"/>
          <w:sz w:val="21"/>
          <w:szCs w:val="21"/>
          <w:b w:val="1"/>
          <w:bCs w:val="1"/>
          <w:color w:val="auto"/>
        </w:rPr>
        <w:t>Juanjo Feijoo</w:t>
      </w:r>
      <w:r>
        <w:rPr>
          <w:rFonts w:ascii="Arial" w:cs="Arial" w:eastAsia="Arial" w:hAnsi="Arial"/>
          <w:sz w:val="21"/>
          <w:szCs w:val="21"/>
          <w:color w:val="auto"/>
        </w:rPr>
        <w:t xml:space="preserve"> by Ghost Management Group, LLC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and to set forth the specific terms and conditions of your employment with the Company.</w:t>
      </w:r>
    </w:p>
    <w:p>
      <w:pPr>
        <w:spacing w:after="0" w:line="175" w:lineRule="exact"/>
        <w:rPr>
          <w:sz w:val="20"/>
          <w:szCs w:val="20"/>
          <w:color w:val="auto"/>
        </w:rPr>
      </w:pPr>
    </w:p>
    <w:p>
      <w:pPr>
        <w:ind w:left="660" w:right="460" w:hanging="652"/>
        <w:spacing w:after="0" w:line="282"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The Company offers you the </w:t>
      </w:r>
      <w:r>
        <w:rPr>
          <w:rFonts w:ascii="Arial" w:cs="Arial" w:eastAsia="Arial" w:hAnsi="Arial"/>
          <w:sz w:val="18"/>
          <w:szCs w:val="18"/>
          <w:b w:val="1"/>
          <w:bCs w:val="1"/>
          <w:color w:val="auto"/>
        </w:rPr>
        <w:t>full-time, exempt</w:t>
      </w:r>
      <w:r>
        <w:rPr>
          <w:rFonts w:ascii="Arial" w:cs="Arial" w:eastAsia="Arial" w:hAnsi="Arial"/>
          <w:sz w:val="18"/>
          <w:szCs w:val="18"/>
          <w:color w:val="auto"/>
        </w:rPr>
        <w:t xml:space="preserve"> position of </w:t>
      </w:r>
      <w:r>
        <w:rPr>
          <w:rFonts w:ascii="Arial" w:cs="Arial" w:eastAsia="Arial" w:hAnsi="Arial"/>
          <w:sz w:val="18"/>
          <w:szCs w:val="18"/>
          <w:b w:val="1"/>
          <w:bCs w:val="1"/>
          <w:color w:val="auto"/>
        </w:rPr>
        <w:t>Chief Marketing Officer</w:t>
      </w:r>
      <w:r>
        <w:rPr>
          <w:rFonts w:ascii="Arial" w:cs="Arial" w:eastAsia="Arial" w:hAnsi="Arial"/>
          <w:sz w:val="18"/>
          <w:szCs w:val="18"/>
          <w:color w:val="auto"/>
        </w:rPr>
        <w:t xml:space="preserve"> at our </w:t>
      </w:r>
      <w:r>
        <w:rPr>
          <w:rFonts w:ascii="Arial" w:cs="Arial" w:eastAsia="Arial" w:hAnsi="Arial"/>
          <w:sz w:val="18"/>
          <w:szCs w:val="18"/>
          <w:b w:val="1"/>
          <w:bCs w:val="1"/>
          <w:color w:val="auto"/>
        </w:rPr>
        <w:t>Irvine, California</w:t>
      </w:r>
      <w:r>
        <w:rPr>
          <w:rFonts w:ascii="Arial" w:cs="Arial" w:eastAsia="Arial" w:hAnsi="Arial"/>
          <w:sz w:val="18"/>
          <w:szCs w:val="18"/>
          <w:color w:val="auto"/>
        </w:rPr>
        <w:t xml:space="preserve"> office located at </w:t>
      </w:r>
      <w:r>
        <w:rPr>
          <w:rFonts w:ascii="Arial" w:cs="Arial" w:eastAsia="Arial" w:hAnsi="Arial"/>
          <w:sz w:val="18"/>
          <w:szCs w:val="18"/>
          <w:b w:val="1"/>
          <w:bCs w:val="1"/>
          <w:color w:val="auto"/>
        </w:rPr>
        <w:t>41</w:t>
      </w:r>
      <w:r>
        <w:rPr>
          <w:rFonts w:ascii="Arial" w:cs="Arial" w:eastAsia="Arial" w:hAnsi="Arial"/>
          <w:sz w:val="18"/>
          <w:szCs w:val="18"/>
          <w:color w:val="auto"/>
        </w:rPr>
        <w:t xml:space="preserve"> </w:t>
      </w:r>
      <w:r>
        <w:rPr>
          <w:rFonts w:ascii="Arial" w:cs="Arial" w:eastAsia="Arial" w:hAnsi="Arial"/>
          <w:sz w:val="18"/>
          <w:szCs w:val="18"/>
          <w:b w:val="1"/>
          <w:bCs w:val="1"/>
          <w:color w:val="auto"/>
        </w:rPr>
        <w:t>Discovery, Irvine, California 92618</w:t>
      </w:r>
      <w:r>
        <w:rPr>
          <w:rFonts w:ascii="Arial" w:cs="Arial" w:eastAsia="Arial" w:hAnsi="Arial"/>
          <w:sz w:val="18"/>
          <w:szCs w:val="18"/>
          <w:color w:val="auto"/>
        </w:rPr>
        <w:t>. In this position, you will report to</w:t>
      </w:r>
      <w:r>
        <w:rPr>
          <w:rFonts w:ascii="Arial" w:cs="Arial" w:eastAsia="Arial" w:hAnsi="Arial"/>
          <w:sz w:val="18"/>
          <w:szCs w:val="18"/>
          <w:b w:val="1"/>
          <w:bCs w:val="1"/>
          <w:color w:val="auto"/>
        </w:rPr>
        <w:t xml:space="preserve"> Chris Beals</w:t>
      </w:r>
      <w:r>
        <w:rPr>
          <w:rFonts w:ascii="Arial" w:cs="Arial" w:eastAsia="Arial" w:hAnsi="Arial"/>
          <w:sz w:val="18"/>
          <w:szCs w:val="18"/>
          <w:color w:val="auto"/>
        </w:rPr>
        <w:t>, unless notified otherwise.</w:t>
      </w:r>
    </w:p>
    <w:p>
      <w:pPr>
        <w:spacing w:after="0" w:line="192" w:lineRule="exact"/>
        <w:rPr>
          <w:rFonts w:ascii="Arial" w:cs="Arial" w:eastAsia="Arial" w:hAnsi="Arial"/>
          <w:sz w:val="18"/>
          <w:szCs w:val="18"/>
          <w:color w:val="auto"/>
        </w:rPr>
      </w:pPr>
    </w:p>
    <w:p>
      <w:pPr>
        <w:ind w:left="660" w:right="60" w:hanging="652"/>
        <w:spacing w:after="0" w:line="269"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xml:space="preserve">. Subject to the terms and conditions of this Offer, the Company agrees to employ you and you agree to be employed by the Company commencing no later than </w:t>
      </w:r>
      <w:r>
        <w:rPr>
          <w:rFonts w:ascii="Arial" w:cs="Arial" w:eastAsia="Arial" w:hAnsi="Arial"/>
          <w:sz w:val="17"/>
          <w:szCs w:val="17"/>
          <w:b w:val="1"/>
          <w:bCs w:val="1"/>
          <w:color w:val="auto"/>
        </w:rPr>
        <w:t>July 16, 2019</w:t>
      </w:r>
      <w:r>
        <w:rPr>
          <w:rFonts w:ascii="Arial" w:cs="Arial" w:eastAsia="Arial" w:hAnsi="Arial"/>
          <w:sz w:val="17"/>
          <w:szCs w:val="17"/>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at-will policy except for the Chief Executive Officer of the Company (“</w:t>
      </w:r>
      <w:r>
        <w:rPr>
          <w:rFonts w:ascii="Arial" w:cs="Arial" w:eastAsia="Arial" w:hAnsi="Arial"/>
          <w:sz w:val="17"/>
          <w:szCs w:val="17"/>
          <w:b w:val="1"/>
          <w:bCs w:val="1"/>
          <w:u w:val="single" w:color="auto"/>
          <w:color w:val="auto"/>
        </w:rPr>
        <w:t>CEO</w:t>
      </w:r>
      <w:r>
        <w:rPr>
          <w:rFonts w:ascii="Arial" w:cs="Arial" w:eastAsia="Arial" w:hAnsi="Arial"/>
          <w:sz w:val="17"/>
          <w:szCs w:val="17"/>
          <w:color w:val="auto"/>
        </w:rPr>
        <w:t>”), and any such modification to this at-will employment policy must be in a written agreement signed by both the employee and the CEO. This constitutes an integrated agreement with respect to the at-will nature of the employment relationship, and there may be no implied or oral agreements that in any way modify this at-will employment policy.</w:t>
      </w:r>
    </w:p>
    <w:p>
      <w:pPr>
        <w:spacing w:after="0" w:line="204" w:lineRule="exact"/>
        <w:rPr>
          <w:rFonts w:ascii="Arial" w:cs="Arial" w:eastAsia="Arial" w:hAnsi="Arial"/>
          <w:sz w:val="17"/>
          <w:szCs w:val="17"/>
          <w:color w:val="auto"/>
        </w:rPr>
      </w:pPr>
    </w:p>
    <w:p>
      <w:pPr>
        <w:ind w:left="660" w:right="40" w:hanging="652"/>
        <w:spacing w:after="0" w:line="274"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xml:space="preserve">. Your title will be </w:t>
      </w:r>
      <w:r>
        <w:rPr>
          <w:rFonts w:ascii="Arial" w:cs="Arial" w:eastAsia="Arial" w:hAnsi="Arial"/>
          <w:sz w:val="17"/>
          <w:szCs w:val="17"/>
          <w:b w:val="1"/>
          <w:bCs w:val="1"/>
          <w:color w:val="auto"/>
        </w:rPr>
        <w:t>Chief Marketing Officer</w:t>
      </w:r>
      <w:r>
        <w:rPr>
          <w:rFonts w:ascii="Arial" w:cs="Arial" w:eastAsia="Arial" w:hAnsi="Arial"/>
          <w:sz w:val="17"/>
          <w:szCs w:val="17"/>
          <w:color w:val="auto"/>
        </w:rPr>
        <w:t>. In such capacity, you shall be responsible for all duties commensurate with those generally expected of your title as well as any set forth 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You represent and warrant to the Company that you are not party to any contract, understanding, agreement or policy, written or otherwise, that would be breached by your entering into, or performing services under, this letter.</w:t>
      </w:r>
    </w:p>
    <w:p>
      <w:pPr>
        <w:spacing w:after="0" w:line="204" w:lineRule="exact"/>
        <w:rPr>
          <w:rFonts w:ascii="Arial" w:cs="Arial" w:eastAsia="Arial" w:hAnsi="Arial"/>
          <w:sz w:val="17"/>
          <w:szCs w:val="17"/>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1300" w:right="80" w:hanging="644"/>
        <w:spacing w:after="0" w:line="294"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xml:space="preserve">. You will receive a base salary at the rate of </w:t>
      </w:r>
      <w:r>
        <w:rPr>
          <w:rFonts w:ascii="Arial" w:cs="Arial" w:eastAsia="Arial" w:hAnsi="Arial"/>
          <w:sz w:val="16"/>
          <w:szCs w:val="16"/>
          <w:b w:val="1"/>
          <w:bCs w:val="1"/>
          <w:color w:val="auto"/>
        </w:rPr>
        <w:t>$400,000.00</w:t>
      </w:r>
      <w:r>
        <w:rPr>
          <w:rFonts w:ascii="Arial" w:cs="Arial" w:eastAsia="Arial" w:hAnsi="Arial"/>
          <w:sz w:val="16"/>
          <w:szCs w:val="16"/>
          <w:color w:val="auto"/>
        </w:rPr>
        <w:t xml:space="preserve">, annualized, payable in accordance with the Company’s normal payroll practices. In addition, you may be eligible for a discretionary annual bonus for each calendar year of employment of up to </w:t>
      </w:r>
      <w:r>
        <w:rPr>
          <w:rFonts w:ascii="Arial" w:cs="Arial" w:eastAsia="Arial" w:hAnsi="Arial"/>
          <w:sz w:val="16"/>
          <w:szCs w:val="16"/>
          <w:b w:val="1"/>
          <w:bCs w:val="1"/>
          <w:color w:val="auto"/>
        </w:rPr>
        <w:t>fifty percent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(50%) </w:t>
      </w:r>
      <w:r>
        <w:rPr>
          <w:rFonts w:ascii="Arial" w:cs="Arial" w:eastAsia="Arial" w:hAnsi="Arial"/>
          <w:sz w:val="16"/>
          <w:szCs w:val="16"/>
          <w:color w:val="auto"/>
        </w:rPr>
        <w:t>of your annual salary, paid out quarterly, with the attainment of such bonus being based upon the achievement of quantifiable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quarterly and annual goals that will be set by you and senior management. Any applicable bonus during the first calendar quarter of your employment shall be a prorated portion based on how many calendar days you were employed in the first calendar quarter. Any bonus payable hereunder shall be paid within the “short-term deferral” period provided under Treasury Regulation Section 1.409A-(b)(4).</w:t>
      </w:r>
    </w:p>
    <w:p>
      <w:pPr>
        <w:spacing w:after="0" w:line="186" w:lineRule="exact"/>
        <w:rPr>
          <w:rFonts w:ascii="Arial" w:cs="Arial" w:eastAsia="Arial" w:hAnsi="Arial"/>
          <w:sz w:val="16"/>
          <w:szCs w:val="16"/>
          <w:color w:val="auto"/>
        </w:rPr>
      </w:pPr>
    </w:p>
    <w:p>
      <w:pPr>
        <w:ind w:left="1300" w:right="100" w:hanging="644"/>
        <w:spacing w:after="0" w:line="25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Relocation Allowance</w:t>
      </w:r>
      <w:r>
        <w:rPr>
          <w:rFonts w:ascii="Arial" w:cs="Arial" w:eastAsia="Arial" w:hAnsi="Arial"/>
          <w:sz w:val="18"/>
          <w:szCs w:val="18"/>
          <w:color w:val="auto"/>
        </w:rPr>
        <w:t xml:space="preserve">. You will receive a one-time, taxable, relocation allowance payment of </w:t>
      </w:r>
      <w:r>
        <w:rPr>
          <w:rFonts w:ascii="Arial" w:cs="Arial" w:eastAsia="Arial" w:hAnsi="Arial"/>
          <w:sz w:val="18"/>
          <w:szCs w:val="18"/>
          <w:b w:val="1"/>
          <w:bCs w:val="1"/>
          <w:color w:val="auto"/>
        </w:rPr>
        <w:t>$34,000.00</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Relocation Allowance</w:t>
      </w:r>
      <w:r>
        <w:rPr>
          <w:rFonts w:ascii="Arial" w:cs="Arial" w:eastAsia="Arial" w:hAnsi="Arial"/>
          <w:sz w:val="18"/>
          <w:szCs w:val="18"/>
          <w:color w:val="auto"/>
        </w:rPr>
        <w:t>”) to cover moving expenses related to your relocation to Orange County, California. If the Company terminates your employment for Cause (as defined below) prior to the one-year anniversary of your employment start date with the Company, then you must repay the Company the full amount of the Relocation Allowance. If you resign from employment with the Company for any reason prior to the one-year anniversary of your employment start date with the Company, then you must repay the Company a prorated portion of the amount of the Relocation Allowance based on the ratio of (x) 12 minus the number of full months of your employment with the Company to (y) 12 months. The Company will provide you with corporate housing during your first two months of residence in Orange County.</w:t>
      </w:r>
    </w:p>
    <w:p>
      <w:pPr>
        <w:spacing w:after="0" w:line="222" w:lineRule="exact"/>
        <w:rPr>
          <w:rFonts w:ascii="Arial" w:cs="Arial" w:eastAsia="Arial" w:hAnsi="Arial"/>
          <w:sz w:val="18"/>
          <w:szCs w:val="18"/>
          <w:color w:val="auto"/>
        </w:rPr>
      </w:pPr>
    </w:p>
    <w:p>
      <w:pPr>
        <w:ind w:left="1300" w:right="20" w:hanging="644"/>
        <w:spacing w:after="0" w:line="268" w:lineRule="auto"/>
        <w:tabs>
          <w:tab w:leader="none" w:pos="1300"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Subject to the approval of the Parent’s Board, the Company will recommend that you be granted either (a) an award of 3,200 unvested Class B Units (the “</w:t>
      </w:r>
      <w:r>
        <w:rPr>
          <w:rFonts w:ascii="Arial" w:cs="Arial" w:eastAsia="Arial" w:hAnsi="Arial"/>
          <w:sz w:val="17"/>
          <w:szCs w:val="17"/>
          <w:b w:val="1"/>
          <w:bCs w:val="1"/>
          <w:u w:val="single" w:color="auto"/>
          <w:color w:val="auto"/>
        </w:rPr>
        <w:t>Employee Class B Units</w:t>
      </w:r>
      <w:r>
        <w:rPr>
          <w:rFonts w:ascii="Arial" w:cs="Arial" w:eastAsia="Arial" w:hAnsi="Arial"/>
          <w:sz w:val="17"/>
          <w:szCs w:val="17"/>
          <w:color w:val="auto"/>
        </w:rPr>
        <w:t>”) in WM Holding Company, LLC, the parent company of the Company (the “</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under the Parent’s Third Amended and Restated Equity Incentive Plan (the “</w:t>
      </w:r>
      <w:r>
        <w:rPr>
          <w:rFonts w:ascii="Arial" w:cs="Arial" w:eastAsia="Arial" w:hAnsi="Arial"/>
          <w:sz w:val="17"/>
          <w:szCs w:val="17"/>
          <w:b w:val="1"/>
          <w:bCs w:val="1"/>
          <w:u w:val="single" w:color="auto"/>
          <w:color w:val="auto"/>
        </w:rPr>
        <w:t>Profits Interests Incentive Plan</w:t>
      </w:r>
      <w:r>
        <w:rPr>
          <w:rFonts w:ascii="Arial" w:cs="Arial" w:eastAsia="Arial" w:hAnsi="Arial"/>
          <w:sz w:val="17"/>
          <w:szCs w:val="17"/>
          <w:color w:val="auto"/>
        </w:rPr>
        <w:t>”) and pursuant to the terms and conditions set forth in an Equity Award Agreement (the “</w:t>
      </w:r>
      <w:r>
        <w:rPr>
          <w:rFonts w:ascii="Arial" w:cs="Arial" w:eastAsia="Arial" w:hAnsi="Arial"/>
          <w:sz w:val="17"/>
          <w:szCs w:val="17"/>
          <w:b w:val="1"/>
          <w:bCs w:val="1"/>
          <w:u w:val="single" w:color="auto"/>
          <w:color w:val="auto"/>
        </w:rPr>
        <w:t>Award Agreement</w:t>
      </w:r>
      <w:r>
        <w:rPr>
          <w:rFonts w:ascii="Arial" w:cs="Arial" w:eastAsia="Arial" w:hAnsi="Arial"/>
          <w:sz w:val="17"/>
          <w:szCs w:val="17"/>
          <w:color w:val="auto"/>
        </w:rPr>
        <w:t>”) thereunder, or (b) at the discretion of the Parent’s Board, a substantially equivalent award in the form of unvested options (“</w:t>
      </w:r>
      <w:r>
        <w:rPr>
          <w:rFonts w:ascii="Arial" w:cs="Arial" w:eastAsia="Arial" w:hAnsi="Arial"/>
          <w:sz w:val="17"/>
          <w:szCs w:val="17"/>
          <w:b w:val="1"/>
          <w:bCs w:val="1"/>
          <w:u w:val="single" w:color="auto"/>
          <w:color w:val="auto"/>
        </w:rPr>
        <w:t>Employee Options</w:t>
      </w:r>
      <w:r>
        <w:rPr>
          <w:rFonts w:ascii="Arial" w:cs="Arial" w:eastAsia="Arial" w:hAnsi="Arial"/>
          <w:sz w:val="17"/>
          <w:szCs w:val="17"/>
          <w:color w:val="auto"/>
        </w:rPr>
        <w:t>”) to purchase Class C Units in the Parent at a per unit exercise price equal to the fair market value of a Class C Unit in the Parent on the date of grant, under the Parent’s 2019 Unit Incentive Plan or other plan adopted by the Parent (the “</w:t>
      </w:r>
      <w:r>
        <w:rPr>
          <w:rFonts w:ascii="Arial" w:cs="Arial" w:eastAsia="Arial" w:hAnsi="Arial"/>
          <w:sz w:val="17"/>
          <w:szCs w:val="17"/>
          <w:b w:val="1"/>
          <w:bCs w:val="1"/>
          <w:u w:val="single" w:color="auto"/>
          <w:color w:val="auto"/>
        </w:rPr>
        <w:t>2019 Option Plan</w:t>
      </w:r>
      <w:r>
        <w:rPr>
          <w:rFonts w:ascii="Arial" w:cs="Arial" w:eastAsia="Arial" w:hAnsi="Arial"/>
          <w:sz w:val="17"/>
          <w:szCs w:val="17"/>
          <w:color w:val="auto"/>
        </w:rPr>
        <w:t>”) and pursuant to the terms and conditions set forth in an option agreement (the “</w:t>
      </w:r>
      <w:r>
        <w:rPr>
          <w:rFonts w:ascii="Arial" w:cs="Arial" w:eastAsia="Arial" w:hAnsi="Arial"/>
          <w:sz w:val="17"/>
          <w:szCs w:val="17"/>
          <w:b w:val="1"/>
          <w:bCs w:val="1"/>
          <w:u w:val="single" w:color="auto"/>
          <w:color w:val="auto"/>
        </w:rPr>
        <w:t>Option Agreement</w:t>
      </w:r>
      <w:r>
        <w:rPr>
          <w:rFonts w:ascii="Arial" w:cs="Arial" w:eastAsia="Arial" w:hAnsi="Arial"/>
          <w:sz w:val="17"/>
          <w:szCs w:val="17"/>
          <w:color w:val="auto"/>
        </w:rPr>
        <w:t>”) thereunder, in each case of (a) or (b) to be granted following your employment start date with the Company and in accordance with its internal policies regarding the grant of equity incentive awards. Your Employee Class B Units or Employee Options, as applicable, will be scheduled to vest as to 25% of the units underlying the award on the one (1) year anniversary of your employment start date with the Company (the “</w:t>
      </w:r>
      <w:r>
        <w:rPr>
          <w:rFonts w:ascii="Arial" w:cs="Arial" w:eastAsia="Arial" w:hAnsi="Arial"/>
          <w:sz w:val="17"/>
          <w:szCs w:val="17"/>
          <w:b w:val="1"/>
          <w:bCs w:val="1"/>
          <w:u w:val="single" w:color="auto"/>
          <w:color w:val="auto"/>
        </w:rPr>
        <w:t>Vesting Cliff</w:t>
      </w:r>
      <w:r>
        <w:rPr>
          <w:rFonts w:ascii="Arial" w:cs="Arial" w:eastAsia="Arial" w:hAnsi="Arial"/>
          <w:sz w:val="17"/>
          <w:szCs w:val="17"/>
          <w:color w:val="auto"/>
        </w:rPr>
        <w:t>”), and thereafter, as to one-sixteenth (1/16th) of the units underlying the award on a quarterly basis over twelve (12) quarters following the Vesting Cliff on the same day of the month as your employment start date (or if there is no corresponding day in a given month, the last day of the month), in each case subject to your continued employment with the Company through the applicable vesting date. Your Employee Class B Units or Employee Options will be subject to the terms and conditions set forth in the Parent’s Profits Interests Incentive Plan or 2019 Option Plan, as applicable, in each case as may be amended from time to time.</w:t>
      </w:r>
    </w:p>
    <w:p>
      <w:pPr>
        <w:sectPr>
          <w:pgSz w:w="11900" w:h="16838" w:orient="portrait"/>
          <w:cols w:equalWidth="0" w:num="1">
            <w:col w:w="11240"/>
          </w:cols>
          <w:pgMar w:left="320" w:top="274" w:right="339" w:bottom="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0" w:gutter="0" w:footer="0" w:header="0"/>
          <w:type w:val="continuous"/>
        </w:sectPr>
      </w:pPr>
    </w:p>
    <w:bookmarkStart w:id="174" w:name="page175"/>
    <w:bookmarkEnd w:id="174"/>
    <w:p>
      <w:pPr>
        <w:ind w:left="1292" w:right="320" w:hanging="644"/>
        <w:spacing w:after="0" w:line="277" w:lineRule="auto"/>
        <w:tabs>
          <w:tab w:leader="none" w:pos="1292"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Withholdings and Deductions</w:t>
      </w:r>
      <w:r>
        <w:rPr>
          <w:rFonts w:ascii="Arial" w:cs="Arial" w:eastAsia="Arial" w:hAnsi="Arial"/>
          <w:sz w:val="18"/>
          <w:szCs w:val="18"/>
          <w:color w:val="auto"/>
        </w:rPr>
        <w:t>. All payments made under this Offer by the Company shall be subject to all required federal, state, and local withholdings and such other deductions as you may properly instruct the Company to take.</w:t>
      </w:r>
    </w:p>
    <w:p>
      <w:pPr>
        <w:spacing w:after="0" w:line="197" w:lineRule="exact"/>
        <w:rPr>
          <w:rFonts w:ascii="Arial" w:cs="Arial" w:eastAsia="Arial" w:hAnsi="Arial"/>
          <w:sz w:val="18"/>
          <w:szCs w:val="18"/>
          <w:color w:val="auto"/>
        </w:rPr>
      </w:pPr>
    </w:p>
    <w:p>
      <w:pPr>
        <w:ind w:left="1292" w:hanging="644"/>
        <w:spacing w:after="0" w:line="273" w:lineRule="auto"/>
        <w:tabs>
          <w:tab w:leader="none" w:pos="1292"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204" w:lineRule="exact"/>
        <w:rPr>
          <w:rFonts w:ascii="Arial" w:cs="Arial" w:eastAsia="Arial" w:hAnsi="Arial"/>
          <w:sz w:val="17"/>
          <w:szCs w:val="17"/>
          <w:color w:val="auto"/>
        </w:rPr>
      </w:pPr>
    </w:p>
    <w:p>
      <w:pPr>
        <w:ind w:left="1292" w:right="40" w:hanging="644"/>
        <w:spacing w:after="0" w:line="311" w:lineRule="auto"/>
        <w:tabs>
          <w:tab w:leader="none" w:pos="1292"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You will receive paid vacation according to the Company’s Vacation policy set forth in the Company’s Employee Handbook as may be amended from time to time (the “</w:t>
      </w:r>
      <w:r>
        <w:rPr>
          <w:rFonts w:ascii="Arial" w:cs="Arial" w:eastAsia="Arial" w:hAnsi="Arial"/>
          <w:sz w:val="16"/>
          <w:szCs w:val="16"/>
          <w:b w:val="1"/>
          <w:bCs w:val="1"/>
          <w:u w:val="single" w:color="auto"/>
          <w:color w:val="auto"/>
        </w:rPr>
        <w:t>Employee Handbook</w:t>
      </w:r>
      <w:r>
        <w:rPr>
          <w:rFonts w:ascii="Arial" w:cs="Arial" w:eastAsia="Arial" w:hAnsi="Arial"/>
          <w:sz w:val="16"/>
          <w:szCs w:val="16"/>
          <w:color w:val="auto"/>
        </w:rPr>
        <w:t>”). You will be eligible to accrue paid vacation at the rate set forth in the Employee Handbook. Payment of any accrued but unused vacation will be made upon termination of employment.</w:t>
      </w:r>
    </w:p>
    <w:p>
      <w:pPr>
        <w:spacing w:after="0" w:line="175" w:lineRule="exact"/>
        <w:rPr>
          <w:rFonts w:ascii="Arial" w:cs="Arial" w:eastAsia="Arial" w:hAnsi="Arial"/>
          <w:sz w:val="16"/>
          <w:szCs w:val="16"/>
          <w:color w:val="auto"/>
        </w:rPr>
      </w:pPr>
    </w:p>
    <w:p>
      <w:pPr>
        <w:ind w:left="1292" w:right="560" w:hanging="644"/>
        <w:spacing w:after="0" w:line="277" w:lineRule="auto"/>
        <w:tabs>
          <w:tab w:leader="none" w:pos="1292"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Paid Sick Leave</w:t>
      </w:r>
      <w:r>
        <w:rPr>
          <w:rFonts w:ascii="Arial" w:cs="Arial" w:eastAsia="Arial" w:hAnsi="Arial"/>
          <w:sz w:val="18"/>
          <w:szCs w:val="18"/>
          <w:color w:val="auto"/>
        </w:rPr>
        <w:t>. You will be eligible for paid sick leave according to the Company’s Sick Leave Policy set forth in the Employee Handbook.</w:t>
      </w:r>
    </w:p>
    <w:p>
      <w:pPr>
        <w:spacing w:after="0" w:line="197" w:lineRule="exact"/>
        <w:rPr>
          <w:rFonts w:ascii="Arial" w:cs="Arial" w:eastAsia="Arial" w:hAnsi="Arial"/>
          <w:sz w:val="18"/>
          <w:szCs w:val="18"/>
          <w:color w:val="auto"/>
        </w:rPr>
      </w:pPr>
    </w:p>
    <w:p>
      <w:pPr>
        <w:ind w:left="1292" w:right="500" w:hanging="644"/>
        <w:spacing w:after="0" w:line="277" w:lineRule="auto"/>
        <w:tabs>
          <w:tab w:leader="none" w:pos="1292"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Exclusive Compensation</w:t>
      </w:r>
      <w:r>
        <w:rPr>
          <w:rFonts w:ascii="Arial" w:cs="Arial" w:eastAsia="Arial" w:hAnsi="Arial"/>
          <w:sz w:val="18"/>
          <w:szCs w:val="18"/>
          <w:color w:val="auto"/>
        </w:rPr>
        <w:t xml:space="preserve">. You agree that your compensation under this </w:t>
      </w:r>
      <w:r>
        <w:rPr>
          <w:rFonts w:ascii="Arial" w:cs="Arial" w:eastAsia="Arial" w:hAnsi="Arial"/>
          <w:sz w:val="18"/>
          <w:szCs w:val="18"/>
          <w:u w:val="single" w:color="auto"/>
          <w:color w:val="auto"/>
        </w:rPr>
        <w:t>Compensation and Benefits Section</w:t>
      </w:r>
      <w:r>
        <w:rPr>
          <w:rFonts w:ascii="Arial" w:cs="Arial" w:eastAsia="Arial" w:hAnsi="Arial"/>
          <w:sz w:val="18"/>
          <w:szCs w:val="18"/>
          <w:color w:val="auto"/>
        </w:rPr>
        <w:t xml:space="preserve"> constitutes the full and exclusive consideration and compensation for all services rendered by you under this Offer.</w:t>
      </w:r>
    </w:p>
    <w:p>
      <w:pPr>
        <w:spacing w:after="0" w:line="197" w:lineRule="exact"/>
        <w:rPr>
          <w:rFonts w:ascii="Arial" w:cs="Arial" w:eastAsia="Arial" w:hAnsi="Arial"/>
          <w:sz w:val="18"/>
          <w:szCs w:val="18"/>
          <w:color w:val="auto"/>
        </w:rPr>
      </w:pPr>
    </w:p>
    <w:p>
      <w:pPr>
        <w:ind w:left="1292" w:right="60" w:hanging="644"/>
        <w:spacing w:after="0" w:line="271" w:lineRule="auto"/>
        <w:tabs>
          <w:tab w:leader="none" w:pos="1292"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Any of the following actions by you constitute Cause for termination of employment by the Company: (i) an act of fraud, embezzlement, dishonesty, material misappropriation or theft against the Company or any of its affiliates, or a customer or co-worker;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 breach of any of the terms of this Offer, the Confidential Information, Non-Solicitation and Inventions Assignment Agreement, the Mutual Agreement to Arbitrate Employment Disputes, or any written policy of the Company or any of its affiliates, including any policy in the Employee Handbook, applicable to you; or (v) willful failure to perform, or gross negligence in the performance of, your duties and responsibilities to the Company and its affiliates.</w:t>
      </w:r>
    </w:p>
    <w:p>
      <w:pPr>
        <w:spacing w:after="0" w:line="205" w:lineRule="exact"/>
        <w:rPr>
          <w:rFonts w:ascii="Arial" w:cs="Arial" w:eastAsia="Arial" w:hAnsi="Arial"/>
          <w:sz w:val="17"/>
          <w:szCs w:val="17"/>
          <w:color w:val="auto"/>
        </w:rPr>
      </w:pPr>
    </w:p>
    <w:p>
      <w:pPr>
        <w:ind w:left="1292" w:hanging="644"/>
        <w:spacing w:after="0" w:line="255" w:lineRule="auto"/>
        <w:tabs>
          <w:tab w:leader="none" w:pos="1292"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Clawback Provisions</w:t>
      </w:r>
      <w:r>
        <w:rPr>
          <w:rFonts w:ascii="Arial" w:cs="Arial" w:eastAsia="Arial" w:hAnsi="Arial"/>
          <w:sz w:val="18"/>
          <w:szCs w:val="18"/>
          <w:color w:val="auto"/>
        </w:rPr>
        <w:t>. Notwithstanding any other provisions in this letter to the contrary, any incentive-based compensation, or 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its affiliates pursuant to any such law, government regulation or stock exchange listing requirement).</w:t>
      </w:r>
    </w:p>
    <w:p>
      <w:pPr>
        <w:spacing w:after="0" w:line="219" w:lineRule="exact"/>
        <w:rPr>
          <w:rFonts w:ascii="Arial" w:cs="Arial" w:eastAsia="Arial" w:hAnsi="Arial"/>
          <w:sz w:val="18"/>
          <w:szCs w:val="18"/>
          <w:color w:val="auto"/>
        </w:rPr>
      </w:pPr>
    </w:p>
    <w:p>
      <w:pPr>
        <w:ind w:left="652" w:hanging="652"/>
        <w:spacing w:after="0"/>
        <w:tabs>
          <w:tab w:leader="none" w:pos="65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Conditions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80" w:hanging="644"/>
        <w:spacing w:after="0" w:line="263" w:lineRule="auto"/>
        <w:tabs>
          <w:tab w:leader="none" w:pos="129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Policies and Procedures</w:t>
      </w:r>
      <w:r>
        <w:rPr>
          <w:rFonts w:ascii="Arial" w:cs="Arial" w:eastAsia="Arial" w:hAnsi="Arial"/>
          <w:sz w:val="18"/>
          <w:szCs w:val="18"/>
          <w:color w:val="auto"/>
        </w:rPr>
        <w:t>. You agree to adhere to Company policies and procedures, including all policies contained in the Employee Handbook, which you will receive when you begin employment. From time to time, Company policies and procedures may be amended by the Company and will be called to your attention.</w:t>
      </w:r>
    </w:p>
    <w:p>
      <w:pPr>
        <w:spacing w:after="0" w:line="210" w:lineRule="exact"/>
        <w:rPr>
          <w:rFonts w:ascii="Arial" w:cs="Arial" w:eastAsia="Arial" w:hAnsi="Arial"/>
          <w:sz w:val="18"/>
          <w:szCs w:val="18"/>
          <w:color w:val="auto"/>
        </w:rPr>
      </w:pPr>
    </w:p>
    <w:p>
      <w:pPr>
        <w:ind w:left="1292" w:right="60" w:hanging="644"/>
        <w:spacing w:after="0" w:line="259" w:lineRule="auto"/>
        <w:tabs>
          <w:tab w:leader="none" w:pos="129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Background Check and Eligibility</w:t>
      </w:r>
      <w:r>
        <w:rPr>
          <w:rFonts w:ascii="Arial" w:cs="Arial" w:eastAsia="Arial" w:hAnsi="Arial"/>
          <w:sz w:val="18"/>
          <w:szCs w:val="18"/>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for the purpose of completing such background check.</w:t>
      </w:r>
    </w:p>
    <w:p>
      <w:pPr>
        <w:spacing w:after="0" w:line="213" w:lineRule="exact"/>
        <w:rPr>
          <w:rFonts w:ascii="Arial" w:cs="Arial" w:eastAsia="Arial" w:hAnsi="Arial"/>
          <w:sz w:val="18"/>
          <w:szCs w:val="18"/>
          <w:color w:val="auto"/>
        </w:rPr>
      </w:pPr>
    </w:p>
    <w:p>
      <w:pPr>
        <w:jc w:val="both"/>
        <w:ind w:left="1292" w:right="60" w:hanging="644"/>
        <w:spacing w:after="0" w:line="287" w:lineRule="auto"/>
        <w:tabs>
          <w:tab w:leader="none" w:pos="1292"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Right to Work</w:t>
      </w:r>
      <w:r>
        <w:rPr>
          <w:rFonts w:ascii="Arial" w:cs="Arial" w:eastAsia="Arial" w:hAnsi="Arial"/>
          <w:sz w:val="16"/>
          <w:szCs w:val="16"/>
          <w:color w:val="auto"/>
        </w:rPr>
        <w:t>. This Offer is conditional upon your having the unrestricted right to work in the United States. On or before your first day of employment, you will be required to complete Section 1 of the federal Form I-9. By the fourth day of employment, you must provide documentation that proves both your identity and right to work in the United States, or the Company must terminate your employment.</w:t>
      </w:r>
    </w:p>
    <w:p>
      <w:pPr>
        <w:spacing w:after="0" w:line="2"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 xml:space="preserve">For further information, see </w:t>
      </w:r>
      <w:r>
        <w:rPr>
          <w:rFonts w:ascii="Arial" w:cs="Arial" w:eastAsia="Arial" w:hAnsi="Arial"/>
          <w:sz w:val="18"/>
          <w:szCs w:val="18"/>
          <w:u w:val="single" w:color="auto"/>
          <w:color w:val="0000FF"/>
        </w:rPr>
        <w:t>https://www.uscis.gov/i-9</w:t>
      </w:r>
      <w:r>
        <w:rPr>
          <w:rFonts w:ascii="Arial" w:cs="Arial" w:eastAsia="Arial" w:hAnsi="Arial"/>
          <w:sz w:val="18"/>
          <w:szCs w:val="18"/>
          <w:color w:val="0000FF"/>
        </w:rPr>
        <w:t>.</w:t>
      </w:r>
    </w:p>
    <w:p>
      <w:pPr>
        <w:spacing w:after="0" w:line="200" w:lineRule="exact"/>
        <w:rPr>
          <w:sz w:val="20"/>
          <w:szCs w:val="20"/>
          <w:color w:val="auto"/>
        </w:rPr>
      </w:pPr>
    </w:p>
    <w:p>
      <w:pPr>
        <w:spacing w:after="0" w:line="20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175" w:name="page176"/>
    <w:bookmarkEnd w:id="175"/>
    <w:p>
      <w:pPr>
        <w:ind w:left="644" w:hanging="644"/>
        <w:spacing w:after="0" w:line="263" w:lineRule="auto"/>
        <w:tabs>
          <w:tab w:leader="none" w:pos="6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Non-Solicitation and Inventions Assignment Agreement</w:t>
      </w:r>
      <w:r>
        <w:rPr>
          <w:rFonts w:ascii="Arial" w:cs="Arial" w:eastAsia="Arial" w:hAnsi="Arial"/>
          <w:sz w:val="18"/>
          <w:szCs w:val="18"/>
          <w:color w:val="auto"/>
        </w:rPr>
        <w:t>. 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644" w:right="280" w:hanging="644"/>
        <w:spacing w:after="0" w:line="263" w:lineRule="auto"/>
        <w:tabs>
          <w:tab w:leader="none" w:pos="6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Arbitration Agreement</w:t>
      </w:r>
      <w:r>
        <w:rPr>
          <w:rFonts w:ascii="Arial" w:cs="Arial" w:eastAsia="Arial" w:hAnsi="Arial"/>
          <w:sz w:val="18"/>
          <w:szCs w:val="18"/>
          <w:color w:val="auto"/>
        </w:rPr>
        <w:t>. Enclosed is the Company’s Mutual Agreement to Arbitrate All Employment-Related Disputes,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The Company reserves the right to modify your position, duties, compensation, benefits, and/or other terms and conditions of employment at any time in its sole discretion, as allowed by law, except for the at-will employment policy.</w:t>
      </w:r>
    </w:p>
    <w:p>
      <w:pPr>
        <w:spacing w:after="0" w:line="197" w:lineRule="exact"/>
        <w:rPr>
          <w:rFonts w:ascii="Arial" w:cs="Arial" w:eastAsia="Arial" w:hAnsi="Arial"/>
          <w:sz w:val="18"/>
          <w:szCs w:val="18"/>
          <w:color w:val="auto"/>
        </w:rPr>
      </w:pPr>
    </w:p>
    <w:p>
      <w:pPr>
        <w:ind w:left="644" w:right="120" w:hanging="644"/>
        <w:spacing w:after="0" w:line="263" w:lineRule="auto"/>
        <w:tabs>
          <w:tab w:leader="none" w:pos="6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This letter supersedes any prior agreements regarding your employment with the Company.</w:t>
      </w:r>
    </w:p>
    <w:p>
      <w:pPr>
        <w:spacing w:after="0" w:line="252" w:lineRule="exact"/>
        <w:rPr>
          <w:rFonts w:ascii="Arial" w:cs="Arial" w:eastAsia="Arial" w:hAnsi="Arial"/>
          <w:sz w:val="18"/>
          <w:szCs w:val="18"/>
          <w:color w:val="auto"/>
        </w:rPr>
      </w:pPr>
    </w:p>
    <w:p>
      <w:pPr>
        <w:jc w:val="both"/>
        <w:ind w:left="644" w:right="40" w:hanging="644"/>
        <w:spacing w:after="0" w:line="311" w:lineRule="auto"/>
        <w:tabs>
          <w:tab w:leader="none" w:pos="64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The validity, interpretation, construction and performance of this letter will be governed by the laws of the State of California, with the exception of its conflict of laws provisions. The invalidity or unenforceability of any provision or provisions of this letter will not affect the validity or enforceability of any other provision hereof, which will remain in full force and effect.</w:t>
      </w:r>
    </w:p>
    <w:p>
      <w:pPr>
        <w:spacing w:after="0" w:line="175" w:lineRule="exact"/>
        <w:rPr>
          <w:rFonts w:ascii="Arial" w:cs="Arial" w:eastAsia="Arial" w:hAnsi="Arial"/>
          <w:sz w:val="16"/>
          <w:szCs w:val="16"/>
          <w:color w:val="auto"/>
        </w:rPr>
      </w:pPr>
    </w:p>
    <w:p>
      <w:pPr>
        <w:ind w:left="644" w:right="40" w:hanging="644"/>
        <w:spacing w:after="0" w:line="263" w:lineRule="auto"/>
        <w:tabs>
          <w:tab w:leader="none" w:pos="6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letter will be binding upon and inure to the benefit of (i) your heirs, executors and legal representatives upon your death and (ii) any successor of the Company. Any successor of the Company will be deemed substituted for the Company under the terms of this letter for all purposes.</w:t>
      </w:r>
    </w:p>
    <w:p>
      <w:pPr>
        <w:spacing w:after="0" w:line="203" w:lineRule="exact"/>
        <w:rPr>
          <w:sz w:val="20"/>
          <w:szCs w:val="20"/>
          <w:color w:val="auto"/>
        </w:rPr>
      </w:pPr>
    </w:p>
    <w:p>
      <w:pPr>
        <w:ind w:left="30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5" w:right="379" w:bottom="1440" w:gutter="0" w:footer="0" w:header="0"/>
        </w:sectPr>
      </w:pPr>
    </w:p>
    <w:bookmarkStart w:id="176" w:name="page177"/>
    <w:bookmarkEnd w:id="176"/>
    <w:p>
      <w:pPr>
        <w:spacing w:after="0" w:line="209" w:lineRule="auto"/>
        <w:framePr w:w="1040" w:h="160" w:wrap="auto" w:vAnchor="page" w:hAnchor="page" w:x="2040" w:y="3760"/>
        <w:rPr>
          <w:rFonts w:ascii="Arial" w:cs="Arial" w:eastAsia="Arial" w:hAnsi="Arial"/>
          <w:sz w:val="16"/>
          <w:szCs w:val="16"/>
          <w:color w:val="auto"/>
        </w:rPr>
      </w:pPr>
      <w:r>
        <w:rPr>
          <w:rFonts w:ascii="Arial" w:cs="Arial" w:eastAsia="Arial" w:hAnsi="Arial"/>
          <w:sz w:val="16"/>
          <w:szCs w:val="16"/>
          <w:color w:val="auto"/>
        </w:rPr>
        <w:t>Apr 30, 2019</w:t>
      </w:r>
    </w:p>
    <w:p>
      <w:pPr>
        <w:spacing w:after="0" w:line="209" w:lineRule="auto"/>
        <w:framePr w:w="1060" w:h="160" w:wrap="auto" w:vAnchor="page" w:hAnchor="page" w:x="2040" w:y="3409"/>
        <w:rPr>
          <w:rFonts w:ascii="Arial" w:cs="Arial" w:eastAsia="Arial" w:hAnsi="Arial"/>
          <w:sz w:val="16"/>
          <w:szCs w:val="16"/>
          <w:color w:val="auto"/>
        </w:rPr>
      </w:pPr>
      <w:r>
        <w:rPr>
          <w:rFonts w:ascii="Arial" w:cs="Arial" w:eastAsia="Arial" w:hAnsi="Arial"/>
          <w:sz w:val="16"/>
          <w:szCs w:val="16"/>
          <w:color w:val="auto"/>
        </w:rPr>
        <w:t>Juanjo Feijoo</w:t>
      </w:r>
    </w:p>
    <w:p>
      <w:pPr>
        <w:ind w:firstLine="648"/>
        <w:spacing w:after="0" w:line="251" w:lineRule="auto"/>
        <w:rPr>
          <w:sz w:val="20"/>
          <w:szCs w:val="20"/>
          <w:color w:val="auto"/>
        </w:rPr>
      </w:pPr>
      <w:r>
        <w:rPr>
          <w:rFonts w:ascii="Arial" w:cs="Arial" w:eastAsia="Arial" w:hAnsi="Arial"/>
          <w:sz w:val="22"/>
          <w:szCs w:val="22"/>
          <w:color w:val="auto"/>
        </w:rPr>
        <w:t xml:space="preserve">If you accept the terms of the foregoing offer of employment, please so indicate by signing and dating below and returning it to my attention </w:t>
      </w:r>
      <w:r>
        <w:rPr>
          <w:rFonts w:ascii="Arial" w:cs="Arial" w:eastAsia="Arial" w:hAnsi="Arial"/>
          <w:sz w:val="22"/>
          <w:szCs w:val="22"/>
          <w:i w:val="1"/>
          <w:iCs w:val="1"/>
          <w:color w:val="auto"/>
        </w:rPr>
        <w:t>no later than</w:t>
      </w:r>
      <w:r>
        <w:rPr>
          <w:rFonts w:ascii="Arial" w:cs="Arial" w:eastAsia="Arial" w:hAnsi="Arial"/>
          <w:sz w:val="22"/>
          <w:szCs w:val="22"/>
          <w:color w:val="auto"/>
        </w:rPr>
        <w:t xml:space="preserve"> </w:t>
      </w:r>
      <w:r>
        <w:rPr>
          <w:rFonts w:ascii="Arial" w:cs="Arial" w:eastAsia="Arial" w:hAnsi="Arial"/>
          <w:sz w:val="22"/>
          <w:szCs w:val="22"/>
          <w:b w:val="1"/>
          <w:bCs w:val="1"/>
          <w:color w:val="auto"/>
        </w:rPr>
        <w:t>May 2, 2019</w:t>
      </w:r>
      <w:r>
        <w:rPr>
          <w:rFonts w:ascii="Arial" w:cs="Arial" w:eastAsia="Arial" w:hAnsi="Arial"/>
          <w:sz w:val="22"/>
          <w:szCs w:val="22"/>
          <w:color w:val="auto"/>
        </w:rPr>
        <w:t>.</w:t>
      </w:r>
    </w:p>
    <w:p>
      <w:pPr>
        <w:spacing w:after="0" w:line="208" w:lineRule="exact"/>
        <w:rPr>
          <w:rFonts w:ascii="Arial" w:cs="Arial" w:eastAsia="Arial" w:hAnsi="Arial"/>
          <w:sz w:val="16"/>
          <w:szCs w:val="16"/>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25" w:lineRule="exact"/>
        <w:rPr>
          <w:rFonts w:ascii="Arial" w:cs="Arial" w:eastAsia="Arial" w:hAnsi="Arial"/>
          <w:sz w:val="16"/>
          <w:szCs w:val="16"/>
          <w:color w:val="auto"/>
        </w:rPr>
      </w:pPr>
    </w:p>
    <w:p>
      <w:pPr>
        <w:ind w:left="6080"/>
        <w:spacing w:after="0"/>
        <w:rPr>
          <w:sz w:val="20"/>
          <w:szCs w:val="20"/>
          <w:color w:val="auto"/>
        </w:rPr>
      </w:pPr>
      <w:r>
        <w:rPr>
          <w:rFonts w:ascii="Arial" w:cs="Arial" w:eastAsia="Arial" w:hAnsi="Arial"/>
          <w:sz w:val="18"/>
          <w:szCs w:val="18"/>
          <w:color w:val="auto"/>
        </w:rPr>
        <w:t>GHOST MANAGEMENT GROUP, LLC</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608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Beals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3103245" cy="17145"/>
                    </a:xfrm>
                    <a:prstGeom prst="rect">
                      <a:avLst/>
                    </a:prstGeom>
                    <a:noFill/>
                  </pic:spPr>
                </pic:pic>
              </a:graphicData>
            </a:graphic>
          </wp:anchor>
        </w:drawing>
      </w:r>
    </w:p>
    <w:p>
      <w:pPr>
        <w:spacing w:after="0" w:line="16" w:lineRule="exact"/>
        <w:rPr>
          <w:rFonts w:ascii="Arial" w:cs="Arial" w:eastAsia="Arial" w:hAnsi="Arial"/>
          <w:sz w:val="16"/>
          <w:szCs w:val="16"/>
          <w:color w:val="auto"/>
        </w:rPr>
      </w:pPr>
    </w:p>
    <w:p>
      <w:pPr>
        <w:ind w:left="7000"/>
        <w:spacing w:after="0"/>
        <w:rPr>
          <w:sz w:val="20"/>
          <w:szCs w:val="20"/>
          <w:color w:val="auto"/>
        </w:rPr>
      </w:pPr>
      <w:r>
        <w:rPr>
          <w:rFonts w:ascii="Arial" w:cs="Arial" w:eastAsia="Arial" w:hAnsi="Arial"/>
          <w:sz w:val="18"/>
          <w:szCs w:val="18"/>
          <w:color w:val="auto"/>
        </w:rPr>
        <w:t>Christopher Beals, CEO</w:t>
      </w:r>
    </w:p>
    <w:p>
      <w:pPr>
        <w:spacing w:after="0" w:line="225"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ACCEPTED AND AGREED:</w:t>
      </w:r>
    </w:p>
    <w:p>
      <w:pPr>
        <w:spacing w:after="0" w:line="225"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i w:val="1"/>
          <w:iCs w:val="1"/>
          <w:color w:val="auto"/>
        </w:rPr>
        <w:t xml:space="preserve">/s/ Juanjo Feijoo </w:t>
      </w:r>
      <w:r>
        <w:rPr>
          <w:rFonts w:ascii="Arial" w:cs="Arial" w:eastAsia="Arial" w:hAnsi="Arial"/>
          <w:sz w:val="18"/>
          <w:szCs w:val="18"/>
          <w:color w:val="auto"/>
        </w:rPr>
        <w:t>(Apr 30, 2019)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4614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6"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Print</w:t>
      </w:r>
    </w:p>
    <w:p>
      <w:pPr>
        <w:spacing w:after="0" w:line="2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274320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Date: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74320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sectPr>
      </w:pPr>
    </w:p>
    <w:bookmarkStart w:id="177" w:name="page178"/>
    <w:bookmarkEnd w:id="177"/>
    <w:p>
      <w:pPr>
        <w:jc w:val="center"/>
        <w:ind w:right="-79"/>
        <w:spacing w:after="0"/>
        <w:rPr>
          <w:sz w:val="20"/>
          <w:szCs w:val="20"/>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MENDMENT</w:t>
      </w:r>
      <w:r>
        <w:rPr>
          <w:rFonts w:ascii="Arial" w:cs="Arial" w:eastAsia="Arial" w:hAnsi="Arial"/>
          <w:sz w:val="22"/>
          <w:szCs w:val="22"/>
          <w:b w:val="1"/>
          <w:bCs w:val="1"/>
          <w:u w:val="single" w:color="auto"/>
          <w:color w:val="auto"/>
        </w:rPr>
        <w:t xml:space="preserve"> N</w:t>
      </w:r>
      <w:r>
        <w:rPr>
          <w:rFonts w:ascii="Arial" w:cs="Arial" w:eastAsia="Arial" w:hAnsi="Arial"/>
          <w:sz w:val="14"/>
          <w:szCs w:val="14"/>
          <w:b w:val="1"/>
          <w:bCs w:val="1"/>
          <w:u w:val="single" w:color="auto"/>
          <w:color w:val="auto"/>
        </w:rPr>
        <w:t>O</w:t>
      </w:r>
      <w:r>
        <w:rPr>
          <w:rFonts w:ascii="Arial" w:cs="Arial" w:eastAsia="Arial" w:hAnsi="Arial"/>
          <w:sz w:val="22"/>
          <w:szCs w:val="22"/>
          <w:b w:val="1"/>
          <w:bCs w:val="1"/>
          <w:u w:val="single" w:color="auto"/>
          <w:color w:val="auto"/>
        </w:rPr>
        <w:t xml:space="preserve">. 1 </w:t>
      </w:r>
      <w:r>
        <w:rPr>
          <w:rFonts w:ascii="Arial" w:cs="Arial" w:eastAsia="Arial" w:hAnsi="Arial"/>
          <w:sz w:val="14"/>
          <w:szCs w:val="14"/>
          <w:b w:val="1"/>
          <w:bCs w:val="1"/>
          <w:u w:val="single" w:color="auto"/>
          <w:color w:val="auto"/>
        </w:rPr>
        <w:t>TO</w:t>
      </w:r>
      <w:r>
        <w:rPr>
          <w:rFonts w:ascii="Arial" w:cs="Arial" w:eastAsia="Arial" w:hAnsi="Arial"/>
          <w:sz w:val="22"/>
          <w:szCs w:val="22"/>
          <w:b w:val="1"/>
          <w:bCs w:val="1"/>
          <w:u w:val="single" w:color="auto"/>
          <w:color w:val="auto"/>
        </w:rPr>
        <w:t xml:space="preserve"> T</w:t>
      </w:r>
      <w:r>
        <w:rPr>
          <w:rFonts w:ascii="Arial" w:cs="Arial" w:eastAsia="Arial" w:hAnsi="Arial"/>
          <w:sz w:val="14"/>
          <w:szCs w:val="14"/>
          <w:b w:val="1"/>
          <w:bCs w:val="1"/>
          <w:u w:val="single" w:color="auto"/>
          <w:color w:val="auto"/>
        </w:rPr>
        <w:t>HE</w:t>
      </w:r>
      <w:r>
        <w:rPr>
          <w:rFonts w:ascii="Arial" w:cs="Arial" w:eastAsia="Arial" w:hAnsi="Arial"/>
          <w:sz w:val="22"/>
          <w:szCs w:val="22"/>
          <w:b w:val="1"/>
          <w:bCs w:val="1"/>
          <w:u w:val="single" w:color="auto"/>
          <w:color w:val="auto"/>
        </w:rPr>
        <w:t xml:space="preserve"> O</w:t>
      </w:r>
      <w:r>
        <w:rPr>
          <w:rFonts w:ascii="Arial" w:cs="Arial" w:eastAsia="Arial" w:hAnsi="Arial"/>
          <w:sz w:val="14"/>
          <w:szCs w:val="14"/>
          <w:b w:val="1"/>
          <w:bCs w:val="1"/>
          <w:u w:val="single" w:color="auto"/>
          <w:color w:val="auto"/>
        </w:rPr>
        <w:t>FFER OF</w:t>
      </w:r>
      <w:r>
        <w:rPr>
          <w:rFonts w:ascii="Arial" w:cs="Arial" w:eastAsia="Arial" w:hAnsi="Arial"/>
          <w:sz w:val="22"/>
          <w:szCs w:val="22"/>
          <w:b w:val="1"/>
          <w:bCs w:val="1"/>
          <w:u w:val="single" w:color="auto"/>
          <w:color w:val="auto"/>
        </w:rPr>
        <w:t xml:space="preserve"> E</w:t>
      </w:r>
      <w:r>
        <w:rPr>
          <w:rFonts w:ascii="Arial" w:cs="Arial" w:eastAsia="Arial" w:hAnsi="Arial"/>
          <w:sz w:val="14"/>
          <w:szCs w:val="14"/>
          <w:b w:val="1"/>
          <w:bCs w:val="1"/>
          <w:u w:val="single" w:color="auto"/>
          <w:color w:val="auto"/>
        </w:rPr>
        <w:t>MPLOYMENT</w:t>
      </w:r>
    </w:p>
    <w:p>
      <w:pPr>
        <w:spacing w:after="0" w:line="240"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This Amendment No. 1, dated as of May 16, 2019 (this “</w:t>
      </w:r>
      <w:r>
        <w:rPr>
          <w:rFonts w:ascii="Arial" w:cs="Arial" w:eastAsia="Arial" w:hAnsi="Arial"/>
          <w:sz w:val="19"/>
          <w:szCs w:val="19"/>
          <w:u w:val="single" w:color="auto"/>
          <w:color w:val="auto"/>
        </w:rPr>
        <w:t>Amendment No. 1</w:t>
      </w:r>
      <w:r>
        <w:rPr>
          <w:rFonts w:ascii="Arial" w:cs="Arial" w:eastAsia="Arial" w:hAnsi="Arial"/>
          <w:sz w:val="19"/>
          <w:szCs w:val="19"/>
          <w:color w:val="auto"/>
        </w:rPr>
        <w:t>”), to the Offer of Employment executed as of April 30, 2019 (the “</w:t>
      </w:r>
      <w:r>
        <w:rPr>
          <w:rFonts w:ascii="Arial" w:cs="Arial" w:eastAsia="Arial" w:hAnsi="Arial"/>
          <w:sz w:val="19"/>
          <w:szCs w:val="19"/>
          <w:u w:val="single" w:color="auto"/>
          <w:color w:val="auto"/>
        </w:rPr>
        <w:t>Offer</w:t>
      </w:r>
      <w:r>
        <w:rPr>
          <w:rFonts w:ascii="Arial" w:cs="Arial" w:eastAsia="Arial" w:hAnsi="Arial"/>
          <w:sz w:val="19"/>
          <w:szCs w:val="19"/>
          <w:color w:val="auto"/>
        </w:rPr>
        <w:t>”), by and between Juanjo Feijoo (“</w:t>
      </w:r>
      <w:r>
        <w:rPr>
          <w:rFonts w:ascii="Arial" w:cs="Arial" w:eastAsia="Arial" w:hAnsi="Arial"/>
          <w:sz w:val="19"/>
          <w:szCs w:val="19"/>
          <w:u w:val="single" w:color="auto"/>
          <w:color w:val="auto"/>
        </w:rPr>
        <w:t>Employee</w:t>
      </w:r>
      <w:r>
        <w:rPr>
          <w:rFonts w:ascii="Arial" w:cs="Arial" w:eastAsia="Arial" w:hAnsi="Arial"/>
          <w:sz w:val="19"/>
          <w:szCs w:val="19"/>
          <w:color w:val="auto"/>
        </w:rPr>
        <w:t>”) and Ghost Management Group, LLC, a Delaware limited liability company (“</w:t>
      </w:r>
      <w:r>
        <w:rPr>
          <w:rFonts w:ascii="Arial" w:cs="Arial" w:eastAsia="Arial" w:hAnsi="Arial"/>
          <w:sz w:val="19"/>
          <w:szCs w:val="19"/>
          <w:u w:val="single" w:color="auto"/>
          <w:color w:val="auto"/>
        </w:rPr>
        <w:t>Employer</w:t>
      </w:r>
      <w:r>
        <w:rPr>
          <w:rFonts w:ascii="Arial" w:cs="Arial" w:eastAsia="Arial" w:hAnsi="Arial"/>
          <w:sz w:val="19"/>
          <w:szCs w:val="19"/>
          <w:color w:val="auto"/>
        </w:rPr>
        <w:t>” and together with Employee, the “</w:t>
      </w:r>
      <w:r>
        <w:rPr>
          <w:rFonts w:ascii="Arial" w:cs="Arial" w:eastAsia="Arial" w:hAnsi="Arial"/>
          <w:sz w:val="19"/>
          <w:szCs w:val="19"/>
          <w:u w:val="single" w:color="auto"/>
          <w:color w:val="auto"/>
        </w:rPr>
        <w:t>Parties</w:t>
      </w:r>
      <w:r>
        <w:rPr>
          <w:rFonts w:ascii="Arial" w:cs="Arial" w:eastAsia="Arial" w:hAnsi="Arial"/>
          <w:sz w:val="19"/>
          <w:szCs w:val="19"/>
          <w:color w:val="auto"/>
        </w:rPr>
        <w:t>”) is made and entered into by and among the Parties. Capitalized terms used but not defined in this Amendment No. 1 shall have the respective meanings as ascribed to such terms in the Offer, which will remain in full force and effect as amended hereby.</w:t>
      </w:r>
    </w:p>
    <w:p>
      <w:pPr>
        <w:spacing w:after="0" w:line="174"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NOW, THEREFORE, in consideration of the promises and agreements set forth herein, the Parties, each intending to be legally bound hereby, do promise and agree as follows:</w:t>
      </w:r>
    </w:p>
    <w:p>
      <w:pPr>
        <w:spacing w:after="0" w:line="202"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Amendments to the Offer</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start date of employment in Section 2 is hereby amended to be May 28, 2019.</w:t>
      </w:r>
    </w:p>
    <w:p>
      <w:pPr>
        <w:spacing w:after="0" w:line="233"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The Parties hereby acknowledge and agree that this Amendment No. 1 shall be effective as of the date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sz w:val="20"/>
          <w:szCs w:val="20"/>
          <w:color w:val="auto"/>
        </w:rPr>
      </w:pPr>
    </w:p>
    <w:p>
      <w:pPr>
        <w:ind w:right="200" w:firstLine="8"/>
        <w:spacing w:after="0" w:line="250" w:lineRule="auto"/>
        <w:tabs>
          <w:tab w:leader="none" w:pos="648"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Other Provisions</w:t>
      </w:r>
      <w:r>
        <w:rPr>
          <w:rFonts w:ascii="Arial" w:cs="Arial" w:eastAsia="Arial" w:hAnsi="Arial"/>
          <w:sz w:val="22"/>
          <w:szCs w:val="22"/>
          <w:color w:val="auto"/>
        </w:rPr>
        <w:t>. Except as expressly modified by this Amendment No. 1, all of the provisions of the Offer are equally applicable to this Amendment No. 1.</w:t>
      </w:r>
    </w:p>
    <w:p>
      <w:pPr>
        <w:spacing w:after="0" w:line="202"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Effect of Amendment No. 1</w:t>
      </w:r>
      <w:r>
        <w:rPr>
          <w:rFonts w:ascii="Arial" w:cs="Arial" w:eastAsia="Arial" w:hAnsi="Arial"/>
          <w:sz w:val="22"/>
          <w:szCs w:val="22"/>
          <w:color w:val="auto"/>
        </w:rPr>
        <w:t>.</w:t>
      </w:r>
    </w:p>
    <w:p>
      <w:pPr>
        <w:spacing w:after="0" w:line="233"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No Other Amendments</w:t>
      </w:r>
      <w:r>
        <w:rPr>
          <w:rFonts w:ascii="Arial" w:cs="Arial" w:eastAsia="Arial" w:hAnsi="Arial"/>
          <w:sz w:val="22"/>
          <w:szCs w:val="22"/>
          <w:color w:val="auto"/>
        </w:rPr>
        <w:t>. Except as expressly amended by this Amendment No. 1, the Offer will remain in full force and effect and is hereby ratified and confirmed.</w:t>
      </w:r>
    </w:p>
    <w:p>
      <w:pPr>
        <w:spacing w:after="0" w:line="202" w:lineRule="exact"/>
        <w:rPr>
          <w:sz w:val="20"/>
          <w:szCs w:val="20"/>
          <w:color w:val="auto"/>
        </w:rPr>
      </w:pPr>
    </w:p>
    <w:p>
      <w:pPr>
        <w:ind w:right="440" w:firstLine="648"/>
        <w:spacing w:after="0" w:line="29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References</w:t>
      </w:r>
      <w:r>
        <w:rPr>
          <w:rFonts w:ascii="Arial" w:cs="Arial" w:eastAsia="Arial" w:hAnsi="Arial"/>
          <w:sz w:val="19"/>
          <w:szCs w:val="19"/>
          <w:color w:val="auto"/>
        </w:rPr>
        <w:t>. On and after the date hereof, each reference in the Offer to “this Offer,” “hereunder,” “hereof,” “herein” or words of like import referring to the Offer, and each reference in any other document relating to the “Offer,” “thereunder,” “thereof,” or words of like import referring to the Offer, means and references the Offer as amended hereby.</w:t>
      </w:r>
    </w:p>
    <w:p>
      <w:pPr>
        <w:spacing w:after="0" w:line="161" w:lineRule="exact"/>
        <w:rPr>
          <w:sz w:val="20"/>
          <w:szCs w:val="20"/>
          <w:color w:val="auto"/>
        </w:rPr>
      </w:pPr>
    </w:p>
    <w:p>
      <w:pPr>
        <w:ind w:right="140" w:firstLine="8"/>
        <w:spacing w:after="0" w:line="287" w:lineRule="auto"/>
        <w:tabs>
          <w:tab w:leader="none" w:pos="648"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No. 1 may be executed in separate counterparts (including, without limitation, counterparts transmitted by facsimile or by other electronic means), each of which shall be an original and all of which taken together shall constitute one and the same agreement. Signatures of the Parties transmitted by facsimile or by other electronic means shall be deemed to be original signatures for all purposes and shall have the same force and effect as a manual signature.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78" w:name="page179"/>
    <w:bookmarkEnd w:id="178"/>
    <w:p>
      <w:pPr>
        <w:spacing w:after="0" w:line="251" w:lineRule="auto"/>
        <w:rPr>
          <w:sz w:val="20"/>
          <w:szCs w:val="20"/>
          <w:color w:val="auto"/>
        </w:rPr>
      </w:pPr>
      <w:r>
        <w:rPr>
          <w:rFonts w:ascii="Arial" w:cs="Arial" w:eastAsia="Arial" w:hAnsi="Arial"/>
          <w:sz w:val="22"/>
          <w:szCs w:val="22"/>
          <w:color w:val="auto"/>
        </w:rPr>
        <w:t>IN WITNESS WHEREOF, the undersigned parties hereto have executed and delivered this Amendment #1 as of the date first above written.</w:t>
      </w:r>
    </w:p>
    <w:p>
      <w:pPr>
        <w:spacing w:after="0" w:line="200" w:lineRule="exact"/>
        <w:rPr>
          <w:sz w:val="20"/>
          <w:szCs w:val="20"/>
          <w:color w:val="auto"/>
        </w:rPr>
      </w:pPr>
    </w:p>
    <w:p>
      <w:pPr>
        <w:spacing w:after="0" w:line="24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JUANJO FEIJOO</w:t>
      </w:r>
      <w:r>
        <w:rPr>
          <w:sz w:val="20"/>
          <w:szCs w:val="20"/>
          <w:color w:val="auto"/>
        </w:rPr>
        <w:tab/>
      </w:r>
      <w:r>
        <w:rPr>
          <w:rFonts w:ascii="Arial" w:cs="Arial" w:eastAsia="Arial" w:hAnsi="Arial"/>
          <w:sz w:val="18"/>
          <w:szCs w:val="18"/>
          <w:b w:val="1"/>
          <w:bCs w:val="1"/>
          <w:color w:val="auto"/>
        </w:rPr>
        <w:t>GHOST MANAGEMENT GROUP, LLC</w:t>
      </w:r>
    </w:p>
    <w:p>
      <w:pPr>
        <w:sectPr>
          <w:pgSz w:w="11900" w:h="16838" w:orient="portrait"/>
          <w:cols w:equalWidth="0" w:num="1">
            <w:col w:w="10880"/>
          </w:cols>
          <w:pgMar w:left="320" w:top="118" w:right="6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 xml:space="preserve">/s/ Juanjo Feijoo </w:t>
      </w:r>
      <w:r>
        <w:rPr>
          <w:rFonts w:ascii="Arial" w:cs="Arial" w:eastAsia="Arial" w:hAnsi="Arial"/>
          <w:sz w:val="16"/>
          <w:szCs w:val="16"/>
          <w:color w:val="auto"/>
        </w:rPr>
        <w:t>(May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29210</wp:posOffset>
            </wp:positionV>
            <wp:extent cx="306895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Name: Juanjo Feijoo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06895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06895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 xml:space="preserve">/s/ Chris Beals </w:t>
      </w:r>
      <w:r>
        <w:rPr>
          <w:rFonts w:ascii="Arial" w:cs="Arial" w:eastAsia="Arial" w:hAnsi="Arial"/>
          <w:sz w:val="16"/>
          <w:szCs w:val="16"/>
          <w:color w:val="auto"/>
        </w:rPr>
        <w:t>(May 17, 2019)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Beals</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0" w:lineRule="exact"/>
        <w:rPr>
          <w:sz w:val="20"/>
          <w:szCs w:val="20"/>
          <w:color w:val="auto"/>
        </w:rPr>
      </w:pPr>
    </w:p>
    <w:p>
      <w:pPr>
        <w:sectPr>
          <w:pgSz w:w="11900" w:h="16838" w:orient="portrait"/>
          <w:cols w:equalWidth="0" w:num="2">
            <w:col w:w="5140" w:space="720"/>
            <w:col w:w="5020"/>
          </w:cols>
          <w:pgMar w:left="320" w:top="118" w:right="699" w:bottom="1440" w:gutter="0" w:footer="0" w:header="0"/>
          <w:type w:val="continuous"/>
        </w:sectPr>
      </w:pPr>
    </w:p>
    <w:p>
      <w:pPr>
        <w:spacing w:after="0" w:line="72"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Amendment No. 1</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type w:val="continuous"/>
        </w:sectPr>
      </w:pPr>
    </w:p>
    <w:bookmarkStart w:id="179" w:name="page180"/>
    <w:bookmarkEnd w:id="179"/>
    <w:p>
      <w:pPr>
        <w:jc w:val="center"/>
        <w:ind w:right="-19"/>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HOST</w:t>
      </w:r>
      <w:r>
        <w:rPr>
          <w:rFonts w:ascii="Arial" w:cs="Arial" w:eastAsia="Arial" w:hAnsi="Arial"/>
          <w:sz w:val="22"/>
          <w:szCs w:val="22"/>
          <w:color w:val="auto"/>
        </w:rPr>
        <w:t xml:space="preserve"> M</w:t>
      </w:r>
      <w:r>
        <w:rPr>
          <w:rFonts w:ascii="Arial" w:cs="Arial" w:eastAsia="Arial" w:hAnsi="Arial"/>
          <w:sz w:val="14"/>
          <w:szCs w:val="14"/>
          <w:color w:val="auto"/>
        </w:rPr>
        <w:t>ANAGEMENT</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LLC</w:t>
      </w:r>
    </w:p>
    <w:p>
      <w:pPr>
        <w:ind w:left="5320" w:hanging="275"/>
        <w:spacing w:after="0" w:line="238" w:lineRule="auto"/>
        <w:tabs>
          <w:tab w:leader="none" w:pos="53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Discovery</w:t>
      </w:r>
    </w:p>
    <w:p>
      <w:pPr>
        <w:ind w:left="4580"/>
        <w:spacing w:after="0"/>
        <w:rPr>
          <w:rFonts w:ascii="Arial" w:cs="Arial" w:eastAsia="Arial" w:hAnsi="Arial"/>
          <w:sz w:val="22"/>
          <w:szCs w:val="22"/>
          <w:color w:val="auto"/>
        </w:rPr>
      </w:pPr>
      <w:r>
        <w:rPr>
          <w:rFonts w:ascii="Arial" w:cs="Arial" w:eastAsia="Arial" w:hAnsi="Arial"/>
          <w:sz w:val="22"/>
          <w:szCs w:val="22"/>
          <w:color w:val="auto"/>
        </w:rPr>
        <w:t>Irvine, California 92618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July 12,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Juanjo Feijoo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Juanjo:</w:t>
      </w:r>
    </w:p>
    <w:p>
      <w:pPr>
        <w:spacing w:after="0" w:line="23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letter, which is an addendum to your offer letter dated April 30, 2019, as amended (the “Offer Letter”), memorializes the agreement between you and Ghost Management Group, LLC (the “Company”) regarding the grant of a one-time discretionary bonus (the “Bonus”) of up to $100,000, according to the terms of this letter (the “Addendum”). The Offer Letter remains in full force and effect. Pursuant to this Addendum, the Company agrees to pay you the Bonus according to the following schedule and subject to the following terms: (1) $25,000 upon your signature of this Addendum, with payment to be made in the next applicable payroll; (2) $37,500 after the end of the third quarter of 2019 (September 30, 2019), subject to the achievement of quantifiable goals that will be set by you and senior management, with payment to be made in the next applicable payroll; and (3) $37,500 after the end of the fourth quarter of 2019 (December 31, 2019), subject to the achievement of quantifiable goals that will be set by you and senior management, with payment to be made in the next applicable payroll. Any bonus payable hereunder shall be paid within the “short-term deferral” period provided under Treasury Regulation Section 1.409A-(b)(4). By signing below, you acknowledge and agree to the terms contained herein.</w:t>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Should your employment with the Company end for any reason within twelve (12) months of the date of this Addendum, you must repay the Company a prorated portion of the full amount of the Bonus paid to you by the Company pursuant to this Addendum based on the ratio of (x) 12 minus the number of full months of your employment after the date of this Addendum, to</w:t>
      </w:r>
    </w:p>
    <w:p>
      <w:pPr>
        <w:spacing w:after="0" w:line="1" w:lineRule="exact"/>
        <w:rPr>
          <w:sz w:val="20"/>
          <w:szCs w:val="20"/>
          <w:color w:val="auto"/>
        </w:rPr>
      </w:pPr>
    </w:p>
    <w:p>
      <w:pPr>
        <w:ind w:right="580" w:firstLine="8"/>
        <w:spacing w:after="0" w:line="236" w:lineRule="auto"/>
        <w:tabs>
          <w:tab w:leader="none" w:pos="30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12 months. Should any amounts become due and payable under this paragraph, you agree to provide the Company with prompt payment by check.</w:t>
      </w:r>
    </w:p>
    <w:p>
      <w:pPr>
        <w:spacing w:after="0" w:line="214"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This Addendum and the Offer Letter constitute the entire understanding between the parties with respect to the matters described herein, and all prior agreements, understandings, representations, and statements, oral or written, are superseded by this Addendum and the Offer Letter. No modification of or amendment to this Addendum, nor any waiver of any rights under this Addendum, will be effective unless in writing signed by both parties hereto.</w:t>
      </w:r>
    </w:p>
    <w:p>
      <w:pPr>
        <w:spacing w:after="0" w:line="201" w:lineRule="exact"/>
        <w:rPr>
          <w:sz w:val="20"/>
          <w:szCs w:val="20"/>
          <w:color w:val="auto"/>
        </w:rPr>
      </w:pPr>
    </w:p>
    <w:p>
      <w:pPr>
        <w:ind w:right="760"/>
        <w:spacing w:after="0" w:line="328" w:lineRule="auto"/>
        <w:rPr>
          <w:sz w:val="20"/>
          <w:szCs w:val="20"/>
          <w:color w:val="auto"/>
        </w:rPr>
      </w:pPr>
      <w:r>
        <w:rPr>
          <w:rFonts w:ascii="Arial" w:cs="Arial" w:eastAsia="Arial" w:hAnsi="Arial"/>
          <w:sz w:val="19"/>
          <w:szCs w:val="19"/>
          <w:color w:val="auto"/>
        </w:rPr>
        <w:t>The validity, enforcement, and performance of this Addendum, including but not limited to all rights and remedies of the Company hereunder, are to be governed and construed in accordance with the laws of the State of California.</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Christopher Beals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Christopher Beals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CEO</w:t>
      </w:r>
    </w:p>
    <w:p>
      <w:pPr>
        <w:spacing w:after="0" w:line="215"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By signing below, I acknowledge that I have read and understand the terms of this Addendum and agree to the terms of the Addendum with the Company summarized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Juanjo Feijoo </w:t>
      </w:r>
      <w:r>
        <w:rPr>
          <w:rFonts w:ascii="Arial" w:cs="Arial" w:eastAsia="Arial" w:hAnsi="Arial"/>
          <w:sz w:val="18"/>
          <w:szCs w:val="18"/>
          <w:color w:val="auto"/>
        </w:rPr>
        <w:t>(Jul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Juanjo Feijoo, CMO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41"/>
    </w:lvl>
  </w:abstractNum>
  <w:abstractNum w:abstractNumId="1">
    <w:nsid w:val="47398C89"/>
    <w:multiLevelType w:val="hybridMultilevel"/>
    <w:lvl w:ilvl="0">
      <w:lvlJc w:val="left"/>
      <w:lvlText w:val="%1"/>
      <w:numFmt w:val="decimal"/>
      <w:start w:val="4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1)"/>
      <w:numFmt w:val="lowerRoman"/>
      <w:start w:val="2"/>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amp;"/>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1)"/>
      <w:numFmt w:val="decimal"/>
      <w:start w:val="1"/>
    </w:lvl>
  </w:abstractNum>
  <w:abstractNum w:abstractNumId="22">
    <w:nsid w:val="6590700B"/>
    <w:multiLevelType w:val="hybridMultilevel"/>
    <w:lvl w:ilvl="0">
      <w:lvlJc w:val="left"/>
      <w:lvlText w:val="(%1)"/>
      <w:numFmt w:val="lowerLetter"/>
      <w:start w:val="3"/>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1"/>
      <w:numFmt w:val="bullet"/>
      <w:start w:val="1"/>
    </w:lvl>
  </w:abstractNum>
  <w:abstractNum w:abstractNumId="27">
    <w:nsid w:val="6B94764"/>
    <w:multiLevelType w:val="hybridMultilevel"/>
    <w:lvl w:ilvl="0">
      <w:lvlJc w:val="left"/>
      <w:lvlText w:val="1"/>
      <w:numFmt w:val="bullet"/>
      <w:start w:val="1"/>
    </w:lvl>
  </w:abstractNum>
  <w:abstractNum w:abstractNumId="28">
    <w:nsid w:val="42C296BD"/>
    <w:multiLevelType w:val="hybridMultilevel"/>
    <w:lvl w:ilvl="0">
      <w:lvlJc w:val="left"/>
      <w:lvlText w:val="1"/>
      <w:numFmt w:val="bullet"/>
      <w:start w:val="1"/>
    </w:lvl>
  </w:abstractNum>
  <w:abstractNum w:abstractNumId="29">
    <w:nsid w:val="168E121F"/>
    <w:multiLevelType w:val="hybridMultilevel"/>
    <w:lvl w:ilvl="0">
      <w:lvlJc w:val="left"/>
      <w:lvlText w:val="(%1)"/>
      <w:numFmt w:val="lowerRoman"/>
      <w:start w:val="6"/>
    </w:lvl>
  </w:abstractNum>
  <w:abstractNum w:abstractNumId="30">
    <w:nsid w:val="1EBA5D23"/>
    <w:multiLevelType w:val="hybridMultilevel"/>
    <w:lvl w:ilvl="0">
      <w:lvlJc w:val="left"/>
      <w:lvlText w:val="%1"/>
      <w:numFmt w:val="decimal"/>
      <w:start w:val="12"/>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lvl w:ilvl="1">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amp;"/>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upperLetter"/>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lowerRoman"/>
      <w:start w:val="3"/>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1)"/>
      <w:numFmt w:val="decimal"/>
      <w:start w:val="3"/>
    </w:lvl>
  </w:abstractNum>
  <w:abstractNum w:abstractNumId="54">
    <w:nsid w:val="6EB5BD4"/>
    <w:multiLevelType w:val="hybridMultilevel"/>
    <w:lvl w:ilvl="0">
      <w:lvlJc w:val="left"/>
      <w:lvlText w:val="(%1)"/>
      <w:numFmt w:val="lowerRoman"/>
      <w:start w:val="2"/>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1)"/>
      <w:numFmt w:val="decimal"/>
      <w:start w:val="2"/>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1"/>
      <w:numFmt w:val="decimal"/>
      <w:start w:val="21"/>
    </w:lvl>
  </w:abstractNum>
  <w:abstractNum w:abstractNumId="66">
    <w:nsid w:val="46B7D447"/>
    <w:multiLevelType w:val="hybridMultilevel"/>
    <w:lvl w:ilvl="0">
      <w:lvlJc w:val="left"/>
      <w:lvlText w:val="(%1)"/>
      <w:numFmt w:val="decimal"/>
      <w:start w:val="2"/>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1"/>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1."/>
      <w:numFmt w:val="decimal"/>
      <w:start w:val="2"/>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1)"/>
      <w:numFmt w:val="decimal"/>
      <w:start w:val="1"/>
    </w:lvl>
  </w:abstractNum>
  <w:abstractNum w:abstractNumId="78">
    <w:nsid w:val="50801EE1"/>
    <w:multiLevelType w:val="hybridMultilevel"/>
    <w:lvl w:ilvl="0">
      <w:lvlJc w:val="left"/>
      <w:lvlText w:val="%1."/>
      <w:numFmt w:val="decimal"/>
      <w:start w:val="3"/>
    </w:lvl>
  </w:abstractNum>
  <w:abstractNum w:abstractNumId="79">
    <w:nsid w:val="488AC1A"/>
    <w:multiLevelType w:val="hybridMultilevel"/>
    <w:lvl w:ilvl="0">
      <w:lvlJc w:val="left"/>
      <w:lvlText w:val="%1."/>
      <w:numFmt w:val="decimal"/>
      <w:start w:val="4"/>
    </w:lvl>
  </w:abstractNum>
  <w:abstractNum w:abstractNumId="80">
    <w:nsid w:val="5FB8011C"/>
    <w:multiLevelType w:val="hybridMultilevel"/>
    <w:lvl w:ilvl="0">
      <w:lvlJc w:val="left"/>
      <w:lvlText w:val="%1."/>
      <w:numFmt w:val="decimal"/>
      <w:start w:val="5"/>
    </w:lvl>
  </w:abstractNum>
  <w:abstractNum w:abstractNumId="81">
    <w:nsid w:val="6AA78F7F"/>
    <w:multiLevelType w:val="hybridMultilevel"/>
    <w:lvl w:ilvl="0">
      <w:lvlJc w:val="left"/>
      <w:lvlText w:val="%1."/>
      <w:numFmt w:val="decimal"/>
      <w:start w:val="6"/>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1."/>
      <w:numFmt w:val="decimal"/>
      <w:start w:val="7"/>
    </w:lvl>
  </w:abstractNum>
  <w:abstractNum w:abstractNumId="85">
    <w:nsid w:val="7D5E18F8"/>
    <w:multiLevelType w:val="hybridMultilevel"/>
    <w:lvl w:ilvl="0">
      <w:lvlJc w:val="left"/>
      <w:lvlText w:val="(%1)"/>
      <w:numFmt w:val="decimal"/>
      <w:start w:val="1"/>
    </w:lvl>
  </w:abstractNum>
  <w:abstractNum w:abstractNumId="86">
    <w:nsid w:val="5F3534A4"/>
    <w:multiLevelType w:val="hybridMultilevel"/>
    <w:lvl w:ilvl="0">
      <w:lvlJc w:val="left"/>
      <w:lvlText w:val="(%1)"/>
      <w:numFmt w:val="decimal"/>
      <w:start w:val="1"/>
    </w:lvl>
  </w:abstractNum>
  <w:abstractNum w:abstractNumId="87">
    <w:nsid w:val="73A1821B"/>
    <w:multiLevelType w:val="hybridMultilevel"/>
    <w:lvl w:ilvl="0">
      <w:lvlJc w:val="left"/>
      <w:lvlText w:val="%1."/>
      <w:numFmt w:val="decimal"/>
      <w:start w:val="8"/>
    </w:lvl>
  </w:abstractNum>
  <w:abstractNum w:abstractNumId="88">
    <w:nsid w:val="7DE67713"/>
    <w:multiLevelType w:val="hybridMultilevel"/>
    <w:lvl w:ilvl="0">
      <w:lvlJc w:val="left"/>
      <w:lvlText w:val="%1."/>
      <w:numFmt w:val="decimal"/>
      <w:start w:val="9"/>
    </w:lvl>
  </w:abstractNum>
  <w:abstractNum w:abstractNumId="89">
    <w:nsid w:val="555C55B5"/>
    <w:multiLevelType w:val="hybridMultilevel"/>
    <w:lvl w:ilvl="0">
      <w:lvlJc w:val="left"/>
      <w:lvlText w:val="¹"/>
      <w:numFmt w:val="bullet"/>
      <w:start w:val="1"/>
    </w:lvl>
  </w:abstractNum>
  <w:abstractNum w:abstractNumId="90">
    <w:nsid w:val="3FA62ACA"/>
    <w:multiLevelType w:val="hybridMultilevel"/>
    <w:lvl w:ilvl="0">
      <w:lvlJc w:val="left"/>
      <w:lvlText w:val="•"/>
      <w:numFmt w:val="bullet"/>
      <w:start w:val="1"/>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5">
    <w:nsid w:val="53299938"/>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96">
    <w:nsid w:val="1FBFE8E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7">
    <w:nsid w:val="5092CA79"/>
    <w:multiLevelType w:val="hybridMultilevel"/>
    <w:lvl w:ilvl="0">
      <w:lvlJc w:val="left"/>
      <w:lvlText w:val="%1"/>
      <w:numFmt w:val="decimal"/>
      <w:start w:val="41"/>
    </w:lvl>
  </w:abstractNum>
  <w:abstractNum w:abstractNumId="98">
    <w:nsid w:val="1D545C4D"/>
    <w:multiLevelType w:val="hybridMultilevel"/>
    <w:lvl w:ilvl="0">
      <w:lvlJc w:val="left"/>
      <w:lvlText w:val="%1)"/>
      <w:numFmt w:val="decimal"/>
      <w:start w:val="1"/>
    </w:lvl>
    <w:lvl w:ilvl="1">
      <w:lvlJc w:val="left"/>
      <w:lvlText w:val="%2."/>
      <w:numFmt w:val="lowerLetter"/>
      <w:start w:val="1"/>
    </w:lvl>
  </w:abstractNum>
  <w:abstractNum w:abstractNumId="99">
    <w:nsid w:val="59ADEA3D"/>
    <w:multiLevelType w:val="hybridMultilevel"/>
    <w:lvl w:ilvl="0">
      <w:lvlJc w:val="left"/>
      <w:lvlText w:val="%1."/>
      <w:numFmt w:val="lowerLetter"/>
      <w:start w:val="3"/>
    </w:lvl>
    <w:lvl w:ilvl="1">
      <w:lvlJc w:val="left"/>
      <w:lvlText w:val="%2."/>
      <w:numFmt w:val="lowerRoman"/>
      <w:start w:val="1"/>
    </w:lvl>
  </w:abstractNum>
  <w:abstractNum w:abstractNumId="100">
    <w:nsid w:val="288F1A34"/>
    <w:multiLevelType w:val="hybridMultilevel"/>
    <w:lvl w:ilvl="0">
      <w:lvlJc w:val="left"/>
      <w:lvlText w:val="%1"/>
      <w:numFmt w:val="decimal"/>
      <w:start w:val="1"/>
    </w:lvl>
    <w:lvl w:ilvl="1">
      <w:lvlJc w:val="left"/>
      <w:lvlText w:val="%2."/>
      <w:numFmt w:val="lowerLetter"/>
      <w:start w:val="10"/>
    </w:lvl>
  </w:abstractNum>
  <w:abstractNum w:abstractNumId="101">
    <w:nsid w:val="2A155DBC"/>
    <w:multiLevelType w:val="hybridMultilevel"/>
    <w:lvl w:ilvl="0">
      <w:lvlJc w:val="left"/>
      <w:lvlText w:val="%1)"/>
      <w:numFmt w:val="decimal"/>
      <w:start w:val="5"/>
    </w:lvl>
    <w:lvl w:ilvl="1">
      <w:lvlJc w:val="left"/>
      <w:lvlText w:val="%2."/>
      <w:numFmt w:val="lowerLetter"/>
      <w:start w:val="1"/>
    </w:lvl>
  </w:abstractNum>
  <w:abstractNum w:abstractNumId="102">
    <w:nsid w:val="1D9F6E5F"/>
    <w:multiLevelType w:val="hybridMultilevel"/>
    <w:lvl w:ilvl="0">
      <w:lvlJc w:val="left"/>
      <w:lvlText w:val="%1."/>
      <w:numFmt w:val="lowerLetter"/>
      <w:start w:val="6"/>
    </w:lvl>
  </w:abstractNum>
  <w:abstractNum w:abstractNumId="103">
    <w:nsid w:val="97E1B4E"/>
    <w:multiLevelType w:val="hybridMultilevel"/>
    <w:lvl w:ilvl="0">
      <w:lvlJc w:val="left"/>
      <w:lvlText w:val="%1"/>
      <w:numFmt w:val="decimal"/>
      <w:start w:val="41"/>
    </w:lvl>
  </w:abstractNum>
  <w:abstractNum w:abstractNumId="104">
    <w:nsid w:val="51088277"/>
    <w:multiLevelType w:val="hybridMultilevel"/>
    <w:lvl w:ilvl="0">
      <w:lvlJc w:val="left"/>
      <w:lvlText w:val="%1)"/>
      <w:numFmt w:val="decimal"/>
      <w:start w:val="1"/>
    </w:lvl>
    <w:lvl w:ilvl="1">
      <w:lvlJc w:val="left"/>
      <w:lvlText w:val="%2."/>
      <w:numFmt w:val="lowerLetter"/>
      <w:start w:val="1"/>
    </w:lvl>
  </w:abstractNum>
  <w:abstractNum w:abstractNumId="105">
    <w:nsid w:val="1CA0C5FA"/>
    <w:multiLevelType w:val="hybridMultilevel"/>
    <w:lvl w:ilvl="0">
      <w:lvlJc w:val="left"/>
      <w:lvlText w:val="%1"/>
      <w:numFmt w:val="decimal"/>
      <w:start w:val="1"/>
    </w:lvl>
    <w:lvl w:ilvl="1">
      <w:lvlJc w:val="left"/>
      <w:lvlText w:val="%2."/>
      <w:numFmt w:val="lowerLetter"/>
      <w:start w:val="4"/>
    </w:lvl>
  </w:abstractNum>
  <w:abstractNum w:abstractNumId="106">
    <w:nsid w:val="53584BCB"/>
    <w:multiLevelType w:val="hybridMultilevel"/>
    <w:lvl w:ilvl="0">
      <w:lvlJc w:val="left"/>
      <w:lvlText w:val="%1)"/>
      <w:numFmt w:val="decimal"/>
      <w:start w:val="5"/>
    </w:lvl>
    <w:lvl w:ilvl="1">
      <w:lvlJc w:val="left"/>
      <w:lvlText w:val="%2."/>
      <w:numFmt w:val="lowerLetter"/>
      <w:start w:val="1"/>
    </w:lvl>
  </w:abstractNum>
  <w:abstractNum w:abstractNumId="107">
    <w:nsid w:val="415E286C"/>
    <w:multiLevelType w:val="hybridMultilevel"/>
    <w:lvl w:ilvl="0">
      <w:lvlJc w:val="left"/>
      <w:lvlText w:val="%1."/>
      <w:numFmt w:val="lowerLetter"/>
      <w:start w:val="4"/>
    </w:lvl>
  </w:abstractNum>
  <w:abstractNum w:abstractNumId="108">
    <w:nsid w:val="7C58FD05"/>
    <w:multiLevelType w:val="hybridMultilevel"/>
    <w:lvl w:ilvl="0">
      <w:lvlJc w:val="left"/>
      <w:lvlText w:val="1"/>
      <w:numFmt w:val="bullet"/>
      <w:start w:val="1"/>
    </w:lvl>
  </w:abstractNum>
  <w:abstractNum w:abstractNumId="109">
    <w:nsid w:val="23D86AAC"/>
    <w:multiLevelType w:val="hybridMultilevel"/>
    <w:lvl w:ilvl="0">
      <w:lvlJc w:val="left"/>
      <w:lvlText w:val="2"/>
      <w:numFmt w:val="bullet"/>
      <w:start w:val="1"/>
    </w:lvl>
  </w:abstractNum>
  <w:abstractNum w:abstractNumId="110">
    <w:nsid w:val="45E6D486"/>
    <w:multiLevelType w:val="hybridMultilevel"/>
    <w:lvl w:ilvl="0">
      <w:lvlJc w:val="left"/>
      <w:lvlText w:val="3"/>
      <w:numFmt w:val="bullet"/>
      <w:start w:val="1"/>
    </w:lvl>
  </w:abstractNum>
  <w:abstractNum w:abstractNumId="111">
    <w:nsid w:val="5C10FE21"/>
    <w:multiLevelType w:val="hybridMultilevel"/>
    <w:lvl w:ilvl="0">
      <w:lvlJc w:val="left"/>
      <w:lvlText w:val="4"/>
      <w:numFmt w:val="bullet"/>
      <w:start w:val="1"/>
    </w:lvl>
  </w:abstractNum>
  <w:abstractNum w:abstractNumId="112">
    <w:nsid w:val="E7FFA2B"/>
    <w:multiLevelType w:val="hybridMultilevel"/>
    <w:lvl w:ilvl="0">
      <w:lvlJc w:val="left"/>
      <w:lvlText w:val="5"/>
      <w:numFmt w:val="bullet"/>
      <w:start w:val="1"/>
    </w:lvl>
  </w:abstractNum>
  <w:abstractNum w:abstractNumId="113">
    <w:nsid w:val="3C5991AA"/>
    <w:multiLevelType w:val="hybridMultilevel"/>
    <w:lvl w:ilvl="0">
      <w:lvlJc w:val="left"/>
      <w:lvlText w:val="%1"/>
      <w:numFmt w:val="decimal"/>
      <w:start w:val="41"/>
    </w:lvl>
  </w:abstractNum>
  <w:abstractNum w:abstractNumId="114">
    <w:nsid w:val="4BD8591A"/>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426" Type="http://schemas.openxmlformats.org/officeDocument/2006/relationships/image" Target="media/image390.png"/><Relationship Id="rId427" Type="http://schemas.openxmlformats.org/officeDocument/2006/relationships/image" Target="media/image391.png"/><Relationship Id="rId428" Type="http://schemas.openxmlformats.org/officeDocument/2006/relationships/image" Target="media/image392.png"/><Relationship Id="rId429"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3" Type="http://schemas.openxmlformats.org/officeDocument/2006/relationships/image" Target="media/image397.png"/><Relationship Id="rId434" Type="http://schemas.openxmlformats.org/officeDocument/2006/relationships/image" Target="media/image398.png"/><Relationship Id="rId435" Type="http://schemas.openxmlformats.org/officeDocument/2006/relationships/image" Target="media/image399.png"/><Relationship Id="rId436" Type="http://schemas.openxmlformats.org/officeDocument/2006/relationships/image" Target="media/image400.png"/><Relationship Id="rId437" Type="http://schemas.openxmlformats.org/officeDocument/2006/relationships/image" Target="media/image401.png"/><Relationship Id="rId438" Type="http://schemas.openxmlformats.org/officeDocument/2006/relationships/image" Target="media/image402.png"/><Relationship Id="rId439"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2" Type="http://schemas.openxmlformats.org/officeDocument/2006/relationships/image" Target="media/image406.png"/><Relationship Id="rId443" Type="http://schemas.openxmlformats.org/officeDocument/2006/relationships/image" Target="media/image407.png"/><Relationship Id="rId444" Type="http://schemas.openxmlformats.org/officeDocument/2006/relationships/image" Target="media/image408.png"/><Relationship Id="rId445" Type="http://schemas.openxmlformats.org/officeDocument/2006/relationships/image" Target="media/image409.png"/><Relationship Id="rId446" Type="http://schemas.openxmlformats.org/officeDocument/2006/relationships/image" Target="media/image410.png"/><Relationship Id="rId447" Type="http://schemas.openxmlformats.org/officeDocument/2006/relationships/image" Target="media/image411.png"/><Relationship Id="rId448" Type="http://schemas.openxmlformats.org/officeDocument/2006/relationships/image" Target="media/image412.png"/><Relationship Id="rId449" Type="http://schemas.openxmlformats.org/officeDocument/2006/relationships/image" Target="media/image413.png"/><Relationship Id="rId389" Type="http://schemas.openxmlformats.org/officeDocument/2006/relationships/hyperlink" Target="https://www.sec.gov/Archives/edgar/data/1779474/000095010320024045/dp142700_ex0201.htm" TargetMode="External"/><Relationship Id="rId390" Type="http://schemas.openxmlformats.org/officeDocument/2006/relationships/hyperlink" Target="https://www.sec.gov/Archives/edgar/data/1779474/000114036121021785/brhc10025756_ex3-1.htm" TargetMode="External"/><Relationship Id="rId391" Type="http://schemas.openxmlformats.org/officeDocument/2006/relationships/hyperlink" Target="https://www.sec.gov/Archives/edgar/data/1779474/000114036121021785/brhc10025756_ex3-2.htm" TargetMode="External"/><Relationship Id="rId392" Type="http://schemas.openxmlformats.org/officeDocument/2006/relationships/hyperlink" Target="https://www.sec.gov/Archives/edgar/data/1779474/000114036121021785/brhc10025756_ex4-1.htm" TargetMode="External"/><Relationship Id="rId393" Type="http://schemas.openxmlformats.org/officeDocument/2006/relationships/hyperlink" Target="https://www.sec.gov/Archives/edgar/data/1779474/000114036121021785/brhc10025756_ex4-2.htm" TargetMode="External"/><Relationship Id="rId394" Type="http://schemas.openxmlformats.org/officeDocument/2006/relationships/hyperlink" Target="https://www.sec.gov/Archives/edgar/data/1779474/000095010319010751/dp111173_ex0401.htm" TargetMode="External"/><Relationship Id="rId395" Type="http://schemas.openxmlformats.org/officeDocument/2006/relationships/hyperlink" Target="https://www.sec.gov/Archives/edgar/data/1779474/000177947422000010/exhibit45descriptionofsecu.htm" TargetMode="External"/><Relationship Id="rId398" Type="http://schemas.openxmlformats.org/officeDocument/2006/relationships/hyperlink" Target="https://www.sec.gov/Archives/edgar/data/1779474/000114036121040114/brhc10031383_ex5-1.htm" TargetMode="External"/><Relationship Id="rId399" Type="http://schemas.openxmlformats.org/officeDocument/2006/relationships/hyperlink" Target="https://www.sec.gov/Archives/edgar/data/1779474/000114036121021785/brhc10025756_ex10-1.htm" TargetMode="External"/><Relationship Id="rId400" Type="http://schemas.openxmlformats.org/officeDocument/2006/relationships/hyperlink" Target="https://www.sec.gov/Archives/edgar/data/1779474/000177947422000010/exhibit101non-employeedire.htm" TargetMode="External"/><Relationship Id="rId401" Type="http://schemas.openxmlformats.org/officeDocument/2006/relationships/hyperlink" Target="https://www.sec.gov/Archives/edgar/data/1779474/000114036121021785/brhc10025756_ex10-2.htm" TargetMode="External"/><Relationship Id="rId402" Type="http://schemas.openxmlformats.org/officeDocument/2006/relationships/hyperlink" Target="https://www.sec.gov/Archives/edgar/data/1779474/000114036121021785/brhc10025756_ex10-3.htm" TargetMode="External"/><Relationship Id="rId403" Type="http://schemas.openxmlformats.org/officeDocument/2006/relationships/hyperlink" Target="https://www.sec.gov/Archives/edgar/data/1779474/000095010320024045/dp142700_ex1001.htm" TargetMode="External"/><Relationship Id="rId404" Type="http://schemas.openxmlformats.org/officeDocument/2006/relationships/hyperlink" Target="https://www.sec.gov/Archives/edgar/data/1779474/000114036121021785/brhc10025756_ex10-5.htm" TargetMode="External"/><Relationship Id="rId405" Type="http://schemas.openxmlformats.org/officeDocument/2006/relationships/hyperlink" Target="https://www.sec.gov/Archives/edgar/data/1779474/000114036121021785/brhc10025756_ex10-6.htm" TargetMode="External"/><Relationship Id="rId406" Type="http://schemas.openxmlformats.org/officeDocument/2006/relationships/hyperlink" Target="https://www.sec.gov/Archives/edgar/data/1779474/000114036121021785/brhc10025756_ex10-7.htm" TargetMode="External"/><Relationship Id="rId407" Type="http://schemas.openxmlformats.org/officeDocument/2006/relationships/hyperlink" Target="https://www.sec.gov/Archives/edgar/data/1779474/000114036121021785/brhc10025756_ex10-7a.htm" TargetMode="External"/><Relationship Id="rId408" Type="http://schemas.openxmlformats.org/officeDocument/2006/relationships/hyperlink" Target="https://www.sec.gov/Archives/edgar/data/1779474/000114036121021785/brhc10025756_ex10-7b.htm" TargetMode="External"/><Relationship Id="rId409" Type="http://schemas.openxmlformats.org/officeDocument/2006/relationships/hyperlink" Target="https://www.sec.gov/Archives/edgar/data/1779474/000114036121021785/brhc10025756_ex10-8.htm" TargetMode="External"/><Relationship Id="rId410" Type="http://schemas.openxmlformats.org/officeDocument/2006/relationships/hyperlink" Target="https://www.sec.gov/Archives/edgar/data/1779474/000114036121021785/brhc10025756_ex10-9.htm" TargetMode="External"/><Relationship Id="rId411" Type="http://schemas.openxmlformats.org/officeDocument/2006/relationships/hyperlink" Target="https://www.sec.gov/Archives/edgar/data/1779474/000114036121021785/brhc10025756_ex10-12.htm" TargetMode="External"/><Relationship Id="rId412" Type="http://schemas.openxmlformats.org/officeDocument/2006/relationships/hyperlink" Target="https://www.sec.gov/Archives/edgar/data/1779474/000114036121021785/brhc10025756_ex10-13.htm" TargetMode="External"/><Relationship Id="rId413" Type="http://schemas.openxmlformats.org/officeDocument/2006/relationships/hyperlink" Target="https://www.sec.gov/Archives/edgar/data/1779474/000114036121021785/brhc10025756_ex10-14.htm" TargetMode="External"/><Relationship Id="rId414" Type="http://schemas.openxmlformats.org/officeDocument/2006/relationships/hyperlink" Target="https://www.sec.gov/Archives/edgar/data/1779474/000114036121021785/brhc10025756_ex10-15.htm" TargetMode="External"/><Relationship Id="rId415" Type="http://schemas.openxmlformats.org/officeDocument/2006/relationships/hyperlink" Target="https://www.sec.gov/Archives/edgar/data/1779474/000114036121021785/brhc10025756_ex10-16.htm" TargetMode="External"/><Relationship Id="rId418" Type="http://schemas.openxmlformats.org/officeDocument/2006/relationships/hyperlink" Target="https://www.sec.gov/Archives/edgar/data/1779474/000114036121021785/brhc10025756_ex10-17.htm" TargetMode="External"/><Relationship Id="rId419" Type="http://schemas.openxmlformats.org/officeDocument/2006/relationships/hyperlink" Target="https://www.sec.gov/Archives/edgar/data/1779474/000177947421000027/exhibit101.htm" TargetMode="External"/><Relationship Id="rId420" Type="http://schemas.openxmlformats.org/officeDocument/2006/relationships/hyperlink" Target="https://www.sec.gov/Archives/edgar/data/1779474/000177947422000010/exhibit211listofsubsidiari.htm" TargetMode="External"/><Relationship Id="rId421" Type="http://schemas.openxmlformats.org/officeDocument/2006/relationships/hyperlink" Target="https://www.sec.gov/Archives/edgar/data/1779474/000114036122008037/ny20003064x2_ex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2022-03-11T16:34:34Z</dcterms:created>
  <dcterms:modified xsi:type="dcterms:W3CDTF">2022-03-11T16:34:34Z</dcterms:modified>
</cp:coreProperties>
</file>