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1)</w:t>
      </w:r>
    </w:p>
    <w:p>
      <w:pPr>
        <w:spacing w:after="0" w:line="26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SILVER SPIKE ACQUISITION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17145</wp:posOffset>
            </wp:positionV>
            <wp:extent cx="42862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30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CLASS A ORDINARY SHARES,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17145</wp:posOffset>
            </wp:positionV>
            <wp:extent cx="42862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30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G8136L106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17145</wp:posOffset>
            </wp:positionV>
            <wp:extent cx="42862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86250" cy="8890"/>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30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17145</wp:posOffset>
            </wp:positionV>
            <wp:extent cx="42862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8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85" w:lineRule="exact"/>
        <w:rPr>
          <w:sz w:val="24"/>
          <w:szCs w:val="24"/>
          <w:color w:val="auto"/>
        </w:rPr>
      </w:pPr>
    </w:p>
    <w:p>
      <w:pPr>
        <w:ind w:left="220"/>
        <w:spacing w:after="0"/>
        <w:rPr>
          <w:sz w:val="20"/>
          <w:szCs w:val="20"/>
          <w:color w:val="auto"/>
        </w:rPr>
      </w:pPr>
      <w:r>
        <w:rPr>
          <w:rFonts w:ascii="Arial" w:cs="Arial" w:eastAsia="Arial" w:hAnsi="Arial"/>
          <w:sz w:val="18"/>
          <w:szCs w:val="18"/>
          <w:color w:val="auto"/>
        </w:rPr>
        <w:t>o Rule 13d-1(b)</w:t>
      </w:r>
    </w:p>
    <w:p>
      <w:pPr>
        <w:spacing w:after="0" w:line="198" w:lineRule="exact"/>
        <w:rPr>
          <w:sz w:val="24"/>
          <w:szCs w:val="24"/>
          <w:color w:val="auto"/>
        </w:rPr>
      </w:pPr>
    </w:p>
    <w:p>
      <w:pPr>
        <w:ind w:left="220" w:right="9800" w:firstLine="7"/>
        <w:spacing w:after="0" w:line="510" w:lineRule="auto"/>
        <w:tabs>
          <w:tab w:leader="none" w:pos="426" w:val="left"/>
        </w:tabs>
        <w:numPr>
          <w:ilvl w:val="1"/>
          <w:numId w:val="1"/>
        </w:numPr>
        <w:rPr>
          <w:rFonts w:ascii="MS PGothic" w:cs="MS PGothic" w:eastAsia="MS PGothic" w:hAnsi="MS PGothic"/>
          <w:sz w:val="16"/>
          <w:szCs w:val="16"/>
          <w:color w:val="auto"/>
        </w:rPr>
      </w:pPr>
      <w:r>
        <w:rPr>
          <w:rFonts w:ascii="Arial" w:cs="Arial" w:eastAsia="Arial" w:hAnsi="Arial"/>
          <w:sz w:val="16"/>
          <w:szCs w:val="16"/>
          <w:color w:val="auto"/>
        </w:rPr>
        <w:t>Rule 13d-1(c) o Rule 13d-1(d)</w:t>
      </w:r>
    </w:p>
    <w:p>
      <w:pPr>
        <w:spacing w:after="0" w:line="1" w:lineRule="exact"/>
        <w:rPr>
          <w:rFonts w:ascii="MS PGothic" w:cs="MS PGothic" w:eastAsia="MS PGothic" w:hAnsi="MS PGothic"/>
          <w:sz w:val="16"/>
          <w:szCs w:val="16"/>
          <w:color w:val="auto"/>
        </w:rPr>
      </w:pPr>
    </w:p>
    <w:p>
      <w:pPr>
        <w:spacing w:after="0" w:line="268" w:lineRule="auto"/>
        <w:rPr>
          <w:rFonts w:ascii="MS PGothic" w:cs="MS PGothic" w:eastAsia="MS PGothic" w:hAnsi="MS PGothic"/>
          <w:sz w:val="16"/>
          <w:szCs w:val="16"/>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5" w:lineRule="exact"/>
        <w:rPr>
          <w:sz w:val="24"/>
          <w:szCs w:val="24"/>
          <w:color w:val="auto"/>
        </w:rPr>
      </w:pPr>
    </w:p>
    <w:p>
      <w:pPr>
        <w:spacing w:after="0" w:line="331"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220"/>
          </w:cols>
          <w:pgMar w:left="320" w:top="233" w:right="359" w:bottom="1440"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t>CUSIP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G8136L106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-121285</wp:posOffset>
            </wp:positionV>
            <wp:extent cx="1298575" cy="1758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8575" cy="1758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3440" w:val="left"/>
        </w:tabs>
        <w:rPr>
          <w:sz w:val="20"/>
          <w:szCs w:val="20"/>
          <w:color w:val="auto"/>
        </w:rPr>
      </w:pP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21"/>
          <w:szCs w:val="21"/>
          <w:color w:val="auto"/>
          <w:vertAlign w:val="superscript"/>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-3234690</wp:posOffset>
            </wp:positionH>
            <wp:positionV relativeFrom="paragraph">
              <wp:posOffset>158750</wp:posOffset>
            </wp:positionV>
            <wp:extent cx="7136130" cy="50272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50272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-121285</wp:posOffset>
            </wp:positionV>
            <wp:extent cx="570230" cy="158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0230" cy="1587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8"/>
          <w:szCs w:val="18"/>
          <w:color w:val="auto"/>
        </w:rPr>
        <w:t>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-117475</wp:posOffset>
            </wp:positionV>
            <wp:extent cx="578485" cy="1587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8485" cy="158750"/>
                    </a:xfrm>
                    <a:prstGeom prst="rect">
                      <a:avLst/>
                    </a:prstGeom>
                    <a:noFill/>
                  </pic:spPr>
                </pic:pic>
              </a:graphicData>
            </a:graphic>
          </wp:anchor>
        </w:drawing>
      </w:r>
    </w:p>
    <w:p>
      <w:pPr>
        <w:spacing w:after="0" w:line="249" w:lineRule="exact"/>
        <w:rPr>
          <w:sz w:val="20"/>
          <w:szCs w:val="20"/>
          <w:color w:val="auto"/>
        </w:rPr>
      </w:pPr>
    </w:p>
    <w:p>
      <w:pPr>
        <w:sectPr>
          <w:pgSz w:w="11900" w:h="16838" w:orient="portrait"/>
          <w:cols w:equalWidth="0" w:num="6">
            <w:col w:w="800" w:space="700"/>
            <w:col w:w="2880" w:space="720"/>
            <w:col w:w="3800" w:space="520"/>
            <w:col w:w="100" w:space="500"/>
            <w:col w:w="160" w:space="520"/>
            <w:col w:w="540"/>
          </w:cols>
          <w:pgMar w:left="320" w:top="563" w:right="339" w:bottom="1440" w:gutter="0" w:footer="0" w:header="0"/>
        </w:sectPr>
      </w:pPr>
    </w:p>
    <w:p>
      <w:pPr>
        <w:spacing w:after="0" w:line="12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Integrated Core Strategies (US) LLC</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680" w:hanging="405"/>
        <w:spacing w:after="0"/>
        <w:tabs>
          <w:tab w:leader="none" w:pos="68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b w:val="1"/>
          <w:bCs w:val="1"/>
          <w:color w:val="auto"/>
        </w:rPr>
      </w:pPr>
    </w:p>
    <w:p>
      <w:pPr>
        <w:ind w:left="1000" w:hanging="327"/>
        <w:spacing w:after="0" w:line="207" w:lineRule="exact"/>
        <w:tabs>
          <w:tab w:leader="none" w:pos="100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0" w:lineRule="exact"/>
        <w:rPr>
          <w:sz w:val="20"/>
          <w:szCs w:val="20"/>
          <w:color w:val="auto"/>
        </w:rPr>
      </w:pPr>
    </w:p>
    <w:p>
      <w:pPr>
        <w:ind w:left="680" w:hanging="405"/>
        <w:spacing w:after="0"/>
        <w:tabs>
          <w:tab w:leader="none" w:pos="68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Delaware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4"/>
        </w:trPr>
        <w:tc>
          <w:tcPr>
            <w:tcW w:w="196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60" w:type="dxa"/>
            <w:vAlign w:val="bottom"/>
            <w:tcBorders>
              <w:top w:val="single" w:sz="8" w:color="auto"/>
              <w:bottom w:val="single" w:sz="8" w:color="auto"/>
            </w:tcBorders>
          </w:tcPr>
          <w:p>
            <w:pPr>
              <w:spacing w:after="0"/>
              <w:rPr>
                <w:sz w:val="6"/>
                <w:szCs w:val="6"/>
                <w:color w:val="auto"/>
              </w:rPr>
            </w:pPr>
          </w:p>
        </w:tc>
        <w:tc>
          <w:tcPr>
            <w:tcW w:w="850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196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vMerge w:val="restart"/>
          </w:tcPr>
          <w:p>
            <w:pPr>
              <w:jc w:val="right"/>
              <w:ind w:right="272"/>
              <w:spacing w:after="0"/>
              <w:rPr>
                <w:sz w:val="20"/>
                <w:szCs w:val="20"/>
                <w:color w:val="auto"/>
              </w:rPr>
            </w:pPr>
            <w:r>
              <w:rPr>
                <w:rFonts w:ascii="Arial" w:cs="Arial" w:eastAsia="Arial" w:hAnsi="Arial"/>
                <w:sz w:val="18"/>
                <w:szCs w:val="18"/>
                <w:b w:val="1"/>
                <w:bCs w:val="1"/>
                <w:color w:val="auto"/>
              </w:rPr>
              <w:t>5</w:t>
            </w:r>
          </w:p>
        </w:tc>
        <w:tc>
          <w:tcPr>
            <w:tcW w:w="85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196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vMerge w:val="continue"/>
          </w:tcPr>
          <w:p>
            <w:pPr>
              <w:spacing w:after="0"/>
              <w:rPr>
                <w:sz w:val="17"/>
                <w:szCs w:val="17"/>
                <w:color w:val="auto"/>
              </w:rPr>
            </w:pPr>
          </w:p>
        </w:tc>
        <w:tc>
          <w:tcPr>
            <w:tcW w:w="85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NUMBER OF</w:t>
            </w:r>
          </w:p>
        </w:tc>
        <w:tc>
          <w:tcPr>
            <w:tcW w:w="760" w:type="dxa"/>
            <w:vAlign w:val="bottom"/>
            <w:tcBorders>
              <w:bottom w:val="single" w:sz="8" w:color="auto"/>
              <w:right w:val="single" w:sz="8" w:color="auto"/>
            </w:tcBorders>
          </w:tcPr>
          <w:p>
            <w:pPr>
              <w:spacing w:after="0"/>
              <w:rPr>
                <w:sz w:val="19"/>
                <w:szCs w:val="19"/>
                <w:color w:val="auto"/>
              </w:rPr>
            </w:pPr>
          </w:p>
        </w:tc>
        <w:tc>
          <w:tcPr>
            <w:tcW w:w="850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960" w:type="dxa"/>
            <w:vAlign w:val="bottom"/>
            <w:tcBorders>
              <w:right w:val="single" w:sz="8" w:color="auto"/>
            </w:tcBorders>
            <w:vMerge w:val="continue"/>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85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760" w:type="dxa"/>
            <w:vAlign w:val="bottom"/>
            <w:tcBorders>
              <w:right w:val="single" w:sz="8" w:color="auto"/>
            </w:tcBorders>
            <w:vMerge w:val="restart"/>
          </w:tcPr>
          <w:p>
            <w:pPr>
              <w:jc w:val="right"/>
              <w:ind w:right="272"/>
              <w:spacing w:after="0"/>
              <w:rPr>
                <w:sz w:val="20"/>
                <w:szCs w:val="20"/>
                <w:color w:val="auto"/>
              </w:rPr>
            </w:pPr>
            <w:r>
              <w:rPr>
                <w:rFonts w:ascii="Arial" w:cs="Arial" w:eastAsia="Arial" w:hAnsi="Arial"/>
                <w:sz w:val="18"/>
                <w:szCs w:val="18"/>
                <w:b w:val="1"/>
                <w:bCs w:val="1"/>
                <w:color w:val="auto"/>
              </w:rPr>
              <w:t>6</w:t>
            </w:r>
          </w:p>
        </w:tc>
        <w:tc>
          <w:tcPr>
            <w:tcW w:w="850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960" w:type="dxa"/>
            <w:vAlign w:val="bottom"/>
            <w:tcBorders>
              <w:right w:val="single" w:sz="8" w:color="auto"/>
            </w:tcBorders>
            <w:vMerge w:val="continue"/>
          </w:tcPr>
          <w:p>
            <w:pPr>
              <w:spacing w:after="0"/>
              <w:rPr>
                <w:sz w:val="9"/>
                <w:szCs w:val="9"/>
                <w:color w:val="auto"/>
              </w:rPr>
            </w:pPr>
          </w:p>
        </w:tc>
        <w:tc>
          <w:tcPr>
            <w:tcW w:w="760" w:type="dxa"/>
            <w:vAlign w:val="bottom"/>
            <w:tcBorders>
              <w:right w:val="single" w:sz="8" w:color="auto"/>
            </w:tcBorders>
            <w:vMerge w:val="continue"/>
          </w:tcPr>
          <w:p>
            <w:pPr>
              <w:spacing w:after="0"/>
              <w:rPr>
                <w:sz w:val="9"/>
                <w:szCs w:val="9"/>
                <w:color w:val="auto"/>
              </w:rPr>
            </w:pPr>
          </w:p>
        </w:tc>
        <w:tc>
          <w:tcPr>
            <w:tcW w:w="850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60" w:type="dxa"/>
            <w:vAlign w:val="bottom"/>
            <w:tcBorders>
              <w:right w:val="single" w:sz="8" w:color="auto"/>
            </w:tcBorders>
            <w:vMerge w:val="continue"/>
          </w:tcPr>
          <w:p>
            <w:pPr>
              <w:spacing w:after="0"/>
              <w:rPr>
                <w:sz w:val="8"/>
                <w:szCs w:val="8"/>
                <w:color w:val="auto"/>
              </w:rPr>
            </w:pPr>
          </w:p>
        </w:tc>
        <w:tc>
          <w:tcPr>
            <w:tcW w:w="85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 (See Item 4(a))</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960" w:type="dxa"/>
            <w:vAlign w:val="bottom"/>
            <w:tcBorders>
              <w:right w:val="single" w:sz="8" w:color="auto"/>
            </w:tcBorders>
            <w:vMerge w:val="continue"/>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850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760" w:type="dxa"/>
            <w:vAlign w:val="bottom"/>
            <w:tcBorders>
              <w:bottom w:val="single" w:sz="8" w:color="auto"/>
              <w:right w:val="single" w:sz="8" w:color="auto"/>
            </w:tcBorders>
          </w:tcPr>
          <w:p>
            <w:pPr>
              <w:spacing w:after="0"/>
              <w:rPr>
                <w:sz w:val="9"/>
                <w:szCs w:val="9"/>
                <w:color w:val="auto"/>
              </w:rPr>
            </w:pPr>
          </w:p>
        </w:tc>
        <w:tc>
          <w:tcPr>
            <w:tcW w:w="8500" w:type="dxa"/>
            <w:vAlign w:val="bottom"/>
            <w:tcBorders>
              <w:bottom w:val="single" w:sz="8" w:color="auto"/>
              <w:right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1960" w:type="dxa"/>
            <w:vAlign w:val="bottom"/>
            <w:tcBorders>
              <w:right w:val="single" w:sz="8" w:color="auto"/>
            </w:tcBorders>
            <w:vMerge w:val="continue"/>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85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60" w:type="dxa"/>
            <w:vAlign w:val="bottom"/>
            <w:tcBorders>
              <w:right w:val="single" w:sz="8" w:color="auto"/>
            </w:tcBorders>
            <w:vMerge w:val="restart"/>
          </w:tcPr>
          <w:p>
            <w:pPr>
              <w:jc w:val="right"/>
              <w:ind w:right="272"/>
              <w:spacing w:after="0"/>
              <w:rPr>
                <w:sz w:val="20"/>
                <w:szCs w:val="20"/>
                <w:color w:val="auto"/>
              </w:rPr>
            </w:pPr>
            <w:r>
              <w:rPr>
                <w:rFonts w:ascii="Arial" w:cs="Arial" w:eastAsia="Arial" w:hAnsi="Arial"/>
                <w:sz w:val="18"/>
                <w:szCs w:val="18"/>
                <w:b w:val="1"/>
                <w:bCs w:val="1"/>
                <w:color w:val="auto"/>
              </w:rPr>
              <w:t>7</w:t>
            </w:r>
          </w:p>
        </w:tc>
        <w:tc>
          <w:tcPr>
            <w:tcW w:w="850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1960" w:type="dxa"/>
            <w:vAlign w:val="bottom"/>
            <w:tcBorders>
              <w:right w:val="single" w:sz="8" w:color="auto"/>
            </w:tcBorders>
            <w:vMerge w:val="continue"/>
          </w:tcPr>
          <w:p>
            <w:pPr>
              <w:spacing w:after="0"/>
              <w:rPr>
                <w:sz w:val="6"/>
                <w:szCs w:val="6"/>
                <w:color w:val="auto"/>
              </w:rPr>
            </w:pPr>
          </w:p>
        </w:tc>
        <w:tc>
          <w:tcPr>
            <w:tcW w:w="760" w:type="dxa"/>
            <w:vAlign w:val="bottom"/>
            <w:tcBorders>
              <w:right w:val="single" w:sz="8" w:color="auto"/>
            </w:tcBorders>
            <w:vMerge w:val="continue"/>
          </w:tcPr>
          <w:p>
            <w:pPr>
              <w:spacing w:after="0"/>
              <w:rPr>
                <w:sz w:val="6"/>
                <w:szCs w:val="6"/>
                <w:color w:val="auto"/>
              </w:rPr>
            </w:pPr>
          </w:p>
        </w:tc>
        <w:tc>
          <w:tcPr>
            <w:tcW w:w="850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REPORTING</w:t>
            </w:r>
          </w:p>
        </w:tc>
        <w:tc>
          <w:tcPr>
            <w:tcW w:w="760" w:type="dxa"/>
            <w:vAlign w:val="bottom"/>
            <w:tcBorders>
              <w:right w:val="single" w:sz="8" w:color="auto"/>
            </w:tcBorders>
            <w:vMerge w:val="continue"/>
          </w:tcPr>
          <w:p>
            <w:pPr>
              <w:spacing w:after="0"/>
              <w:rPr>
                <w:sz w:val="11"/>
                <w:szCs w:val="11"/>
                <w:color w:val="auto"/>
              </w:rPr>
            </w:pPr>
          </w:p>
        </w:tc>
        <w:tc>
          <w:tcPr>
            <w:tcW w:w="85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1960" w:type="dxa"/>
            <w:vAlign w:val="bottom"/>
            <w:tcBorders>
              <w:right w:val="single" w:sz="8" w:color="auto"/>
            </w:tcBorders>
            <w:vMerge w:val="continue"/>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850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PERSON WITH</w:t>
            </w:r>
          </w:p>
        </w:tc>
        <w:tc>
          <w:tcPr>
            <w:tcW w:w="760" w:type="dxa"/>
            <w:vAlign w:val="bottom"/>
            <w:tcBorders>
              <w:bottom w:val="single" w:sz="8" w:color="auto"/>
              <w:right w:val="single" w:sz="8" w:color="auto"/>
            </w:tcBorders>
          </w:tcPr>
          <w:p>
            <w:pPr>
              <w:spacing w:after="0"/>
              <w:rPr>
                <w:sz w:val="12"/>
                <w:szCs w:val="12"/>
                <w:color w:val="auto"/>
              </w:rPr>
            </w:pPr>
          </w:p>
        </w:tc>
        <w:tc>
          <w:tcPr>
            <w:tcW w:w="850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1960" w:type="dxa"/>
            <w:vAlign w:val="bottom"/>
            <w:tcBorders>
              <w:right w:val="single" w:sz="8" w:color="auto"/>
            </w:tcBorders>
            <w:vMerge w:val="continue"/>
          </w:tcPr>
          <w:p>
            <w:pPr>
              <w:spacing w:after="0"/>
              <w:rPr>
                <w:sz w:val="5"/>
                <w:szCs w:val="5"/>
                <w:color w:val="auto"/>
              </w:rPr>
            </w:pPr>
          </w:p>
        </w:tc>
        <w:tc>
          <w:tcPr>
            <w:tcW w:w="760" w:type="dxa"/>
            <w:vAlign w:val="bottom"/>
            <w:tcBorders>
              <w:right w:val="single" w:sz="8" w:color="auto"/>
            </w:tcBorders>
            <w:vMerge w:val="restart"/>
          </w:tcPr>
          <w:p>
            <w:pPr>
              <w:jc w:val="right"/>
              <w:ind w:right="272"/>
              <w:spacing w:after="0"/>
              <w:rPr>
                <w:sz w:val="20"/>
                <w:szCs w:val="20"/>
                <w:color w:val="auto"/>
              </w:rPr>
            </w:pPr>
            <w:r>
              <w:rPr>
                <w:rFonts w:ascii="Arial" w:cs="Arial" w:eastAsia="Arial" w:hAnsi="Arial"/>
                <w:sz w:val="18"/>
                <w:szCs w:val="18"/>
                <w:b w:val="1"/>
                <w:bCs w:val="1"/>
                <w:color w:val="auto"/>
              </w:rPr>
              <w:t>8</w:t>
            </w:r>
          </w:p>
        </w:tc>
        <w:tc>
          <w:tcPr>
            <w:tcW w:w="85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196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vMerge w:val="continue"/>
          </w:tcPr>
          <w:p>
            <w:pPr>
              <w:spacing w:after="0"/>
              <w:rPr>
                <w:sz w:val="13"/>
                <w:szCs w:val="13"/>
                <w:color w:val="auto"/>
              </w:rPr>
            </w:pPr>
          </w:p>
        </w:tc>
        <w:tc>
          <w:tcPr>
            <w:tcW w:w="850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196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vMerge w:val="continue"/>
          </w:tcPr>
          <w:p>
            <w:pPr>
              <w:spacing w:after="0"/>
              <w:rPr>
                <w:sz w:val="17"/>
                <w:szCs w:val="17"/>
                <w:color w:val="auto"/>
              </w:rPr>
            </w:pPr>
          </w:p>
        </w:tc>
        <w:tc>
          <w:tcPr>
            <w:tcW w:w="85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 (See Item 4(a))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1960" w:type="dxa"/>
            <w:vAlign w:val="bottom"/>
            <w:tcBorders>
              <w:bottom w:val="single" w:sz="8" w:color="auto"/>
              <w:right w:val="single" w:sz="8" w:color="auto"/>
            </w:tcBorders>
          </w:tcPr>
          <w:p>
            <w:pPr>
              <w:spacing w:after="0"/>
              <w:rPr>
                <w:sz w:val="21"/>
                <w:szCs w:val="21"/>
                <w:color w:val="auto"/>
              </w:rPr>
            </w:pPr>
          </w:p>
        </w:tc>
        <w:tc>
          <w:tcPr>
            <w:tcW w:w="760" w:type="dxa"/>
            <w:vAlign w:val="bottom"/>
            <w:tcBorders>
              <w:bottom w:val="single" w:sz="8" w:color="auto"/>
              <w:right w:val="single" w:sz="8" w:color="auto"/>
            </w:tcBorders>
          </w:tcPr>
          <w:p>
            <w:pPr>
              <w:spacing w:after="0"/>
              <w:rPr>
                <w:sz w:val="21"/>
                <w:szCs w:val="21"/>
                <w:color w:val="auto"/>
              </w:rPr>
            </w:pPr>
          </w:p>
        </w:tc>
        <w:tc>
          <w:tcPr>
            <w:tcW w:w="850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-0- (See Item 4(a))</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0.0%</w:t>
      </w:r>
    </w:p>
    <w:p>
      <w:pPr>
        <w:spacing w:after="0" w:line="3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OO</w:t>
      </w:r>
    </w:p>
    <w:p>
      <w:pPr>
        <w:sectPr>
          <w:pgSz w:w="11900" w:h="16838" w:orient="portrait"/>
          <w:cols w:equalWidth="0" w:num="1">
            <w:col w:w="11240"/>
          </w:cols>
          <w:pgMar w:left="320" w:top="563" w:right="33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6"/>
          <w:szCs w:val="16"/>
          <w:color w:val="auto"/>
        </w:rPr>
        <w:t>CUSIP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G8136L106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-121285</wp:posOffset>
            </wp:positionV>
            <wp:extent cx="1298575" cy="1758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98575" cy="1758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3460" w:val="left"/>
        </w:tabs>
        <w:rPr>
          <w:sz w:val="20"/>
          <w:szCs w:val="20"/>
          <w:color w:val="auto"/>
        </w:rPr>
      </w:pP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21"/>
          <w:szCs w:val="21"/>
          <w:color w:val="auto"/>
          <w:vertAlign w:val="superscript"/>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-3247390</wp:posOffset>
            </wp:positionH>
            <wp:positionV relativeFrom="paragraph">
              <wp:posOffset>158750</wp:posOffset>
            </wp:positionV>
            <wp:extent cx="7136130" cy="50272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130" cy="50272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-247015</wp:posOffset>
            </wp:positionH>
            <wp:positionV relativeFrom="paragraph">
              <wp:posOffset>-121285</wp:posOffset>
            </wp:positionV>
            <wp:extent cx="561340" cy="1587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1340" cy="1587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-117475</wp:posOffset>
            </wp:positionV>
            <wp:extent cx="570230" cy="1587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0230" cy="158750"/>
                    </a:xfrm>
                    <a:prstGeom prst="rect">
                      <a:avLst/>
                    </a:prstGeom>
                    <a:noFill/>
                  </pic:spPr>
                </pic:pic>
              </a:graphicData>
            </a:graphic>
          </wp:anchor>
        </w:drawing>
      </w:r>
    </w:p>
    <w:p>
      <w:pPr>
        <w:spacing w:after="0" w:line="249" w:lineRule="exact"/>
        <w:rPr>
          <w:sz w:val="20"/>
          <w:szCs w:val="20"/>
          <w:color w:val="auto"/>
        </w:rPr>
      </w:pPr>
    </w:p>
    <w:p>
      <w:pPr>
        <w:sectPr>
          <w:pgSz w:w="11900" w:h="16838" w:orient="portrait"/>
          <w:cols w:equalWidth="0" w:num="6">
            <w:col w:w="800" w:space="700"/>
            <w:col w:w="2900" w:space="720"/>
            <w:col w:w="3820" w:space="500"/>
            <w:col w:w="100" w:space="500"/>
            <w:col w:w="140" w:space="520"/>
            <w:col w:w="540"/>
          </w:cols>
          <w:pgMar w:left="320" w:top="563" w:right="339" w:bottom="1440" w:gutter="0" w:footer="0" w:header="0"/>
        </w:sectPr>
      </w:pPr>
    </w:p>
    <w:p>
      <w:pPr>
        <w:spacing w:after="0" w:line="12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Riverview Group LLC</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680" w:hanging="405"/>
        <w:spacing w:after="0"/>
        <w:tabs>
          <w:tab w:leader="none" w:pos="6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b w:val="1"/>
          <w:bCs w:val="1"/>
          <w:color w:val="auto"/>
        </w:rPr>
      </w:pPr>
    </w:p>
    <w:p>
      <w:pPr>
        <w:ind w:left="1000" w:hanging="327"/>
        <w:spacing w:after="0" w:line="207" w:lineRule="exact"/>
        <w:tabs>
          <w:tab w:leader="none" w:pos="1000" w:val="left"/>
        </w:tabs>
        <w:numPr>
          <w:ilvl w:val="1"/>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0" w:lineRule="exact"/>
        <w:rPr>
          <w:sz w:val="20"/>
          <w:szCs w:val="20"/>
          <w:color w:val="auto"/>
        </w:rPr>
      </w:pPr>
    </w:p>
    <w:p>
      <w:pPr>
        <w:ind w:left="680" w:hanging="405"/>
        <w:spacing w:after="0"/>
        <w:tabs>
          <w:tab w:leader="none" w:pos="6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Delaware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4"/>
        </w:trPr>
        <w:tc>
          <w:tcPr>
            <w:tcW w:w="268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00" w:type="dxa"/>
            <w:vAlign w:val="bottom"/>
            <w:tcBorders>
              <w:top w:val="single" w:sz="8" w:color="auto"/>
              <w:bottom w:val="single" w:sz="8" w:color="auto"/>
            </w:tcBorders>
          </w:tcPr>
          <w:p>
            <w:pPr>
              <w:spacing w:after="0"/>
              <w:rPr>
                <w:sz w:val="6"/>
                <w:szCs w:val="6"/>
                <w:color w:val="auto"/>
              </w:rPr>
            </w:pPr>
          </w:p>
        </w:tc>
        <w:tc>
          <w:tcPr>
            <w:tcW w:w="78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5</w:t>
            </w:r>
          </w:p>
        </w:tc>
        <w:tc>
          <w:tcPr>
            <w:tcW w:w="78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700" w:type="dxa"/>
            <w:vAlign w:val="bottom"/>
            <w:tcBorders>
              <w:bottom w:val="single" w:sz="8" w:color="auto"/>
              <w:right w:val="single" w:sz="8" w:color="auto"/>
            </w:tcBorders>
          </w:tcPr>
          <w:p>
            <w:pPr>
              <w:spacing w:after="0"/>
              <w:rPr>
                <w:sz w:val="19"/>
                <w:szCs w:val="19"/>
                <w:color w:val="auto"/>
              </w:rPr>
            </w:pPr>
          </w:p>
        </w:tc>
        <w:tc>
          <w:tcPr>
            <w:tcW w:w="784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6</w:t>
            </w:r>
          </w:p>
        </w:tc>
        <w:tc>
          <w:tcPr>
            <w:tcW w:w="78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78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00" w:type="dxa"/>
            <w:vAlign w:val="bottom"/>
            <w:tcBorders>
              <w:right w:val="single" w:sz="8" w:color="auto"/>
            </w:tcBorders>
            <w:vMerge w:val="continue"/>
          </w:tcPr>
          <w:p>
            <w:pPr>
              <w:spacing w:after="0"/>
              <w:rPr>
                <w:sz w:val="8"/>
                <w:szCs w:val="8"/>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648,081 (See Item 4(a))</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680" w:type="dxa"/>
            <w:vAlign w:val="bottom"/>
            <w:tcBorders>
              <w:right w:val="single" w:sz="8" w:color="auto"/>
            </w:tcBorders>
            <w:vMerge w:val="continue"/>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8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700" w:type="dxa"/>
            <w:vAlign w:val="bottom"/>
            <w:tcBorders>
              <w:bottom w:val="single" w:sz="8" w:color="auto"/>
              <w:right w:val="single" w:sz="8" w:color="auto"/>
            </w:tcBorders>
          </w:tcPr>
          <w:p>
            <w:pPr>
              <w:spacing w:after="0"/>
              <w:rPr>
                <w:sz w:val="9"/>
                <w:szCs w:val="9"/>
                <w:color w:val="auto"/>
              </w:rPr>
            </w:pPr>
          </w:p>
        </w:tc>
        <w:tc>
          <w:tcPr>
            <w:tcW w:w="7840" w:type="dxa"/>
            <w:vAlign w:val="bottom"/>
            <w:tcBorders>
              <w:bottom w:val="single" w:sz="8" w:color="auto"/>
              <w:right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7</w:t>
            </w:r>
          </w:p>
        </w:tc>
        <w:tc>
          <w:tcPr>
            <w:tcW w:w="784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vMerge w:val="continue"/>
          </w:tcPr>
          <w:p>
            <w:pPr>
              <w:spacing w:after="0"/>
              <w:rPr>
                <w:sz w:val="6"/>
                <w:szCs w:val="6"/>
                <w:color w:val="auto"/>
              </w:rPr>
            </w:pPr>
          </w:p>
        </w:tc>
        <w:tc>
          <w:tcPr>
            <w:tcW w:w="784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700" w:type="dxa"/>
            <w:vAlign w:val="bottom"/>
            <w:tcBorders>
              <w:right w:val="single" w:sz="8" w:color="auto"/>
            </w:tcBorders>
            <w:vMerge w:val="continue"/>
          </w:tcPr>
          <w:p>
            <w:pPr>
              <w:spacing w:after="0"/>
              <w:rPr>
                <w:sz w:val="11"/>
                <w:szCs w:val="11"/>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PERSON WITH</w:t>
            </w:r>
          </w:p>
        </w:tc>
        <w:tc>
          <w:tcPr>
            <w:tcW w:w="700" w:type="dxa"/>
            <w:vAlign w:val="bottom"/>
            <w:tcBorders>
              <w:bottom w:val="single" w:sz="8" w:color="auto"/>
              <w:right w:val="single" w:sz="8" w:color="auto"/>
            </w:tcBorders>
          </w:tcPr>
          <w:p>
            <w:pPr>
              <w:spacing w:after="0"/>
              <w:rPr>
                <w:sz w:val="12"/>
                <w:szCs w:val="12"/>
                <w:color w:val="auto"/>
              </w:rPr>
            </w:pPr>
          </w:p>
        </w:tc>
        <w:tc>
          <w:tcPr>
            <w:tcW w:w="784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8</w:t>
            </w: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68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784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648,081 (See Item 4(a))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648,081 (See Item 4(a))</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2.6%</w:t>
      </w:r>
    </w:p>
    <w:p>
      <w:pPr>
        <w:spacing w:after="0" w:line="3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OO</w:t>
      </w:r>
    </w:p>
    <w:p>
      <w:pPr>
        <w:sectPr>
          <w:pgSz w:w="11900" w:h="16838" w:orient="portrait"/>
          <w:cols w:equalWidth="0" w:num="1">
            <w:col w:w="11240"/>
          </w:cols>
          <w:pgMar w:left="320" w:top="563" w:right="3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6"/>
          <w:szCs w:val="16"/>
          <w:color w:val="auto"/>
        </w:rPr>
        <w:t>CUSIP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G8136L106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-121285</wp:posOffset>
            </wp:positionV>
            <wp:extent cx="1298575" cy="1758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98575" cy="1758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3460" w:val="left"/>
        </w:tabs>
        <w:rPr>
          <w:sz w:val="20"/>
          <w:szCs w:val="20"/>
          <w:color w:val="auto"/>
        </w:rPr>
      </w:pP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21"/>
          <w:szCs w:val="21"/>
          <w:color w:val="auto"/>
          <w:vertAlign w:val="superscript"/>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-3247390</wp:posOffset>
            </wp:positionH>
            <wp:positionV relativeFrom="paragraph">
              <wp:posOffset>158750</wp:posOffset>
            </wp:positionV>
            <wp:extent cx="7136130" cy="50272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130" cy="50272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-247015</wp:posOffset>
            </wp:positionH>
            <wp:positionV relativeFrom="paragraph">
              <wp:posOffset>-121285</wp:posOffset>
            </wp:positionV>
            <wp:extent cx="561340" cy="1587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1340" cy="1587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-117475</wp:posOffset>
            </wp:positionV>
            <wp:extent cx="570230" cy="1587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0230" cy="158750"/>
                    </a:xfrm>
                    <a:prstGeom prst="rect">
                      <a:avLst/>
                    </a:prstGeom>
                    <a:noFill/>
                  </pic:spPr>
                </pic:pic>
              </a:graphicData>
            </a:graphic>
          </wp:anchor>
        </w:drawing>
      </w:r>
    </w:p>
    <w:p>
      <w:pPr>
        <w:spacing w:after="0" w:line="249" w:lineRule="exact"/>
        <w:rPr>
          <w:sz w:val="20"/>
          <w:szCs w:val="20"/>
          <w:color w:val="auto"/>
        </w:rPr>
      </w:pPr>
    </w:p>
    <w:p>
      <w:pPr>
        <w:sectPr>
          <w:pgSz w:w="11900" w:h="16838" w:orient="portrait"/>
          <w:cols w:equalWidth="0" w:num="6">
            <w:col w:w="800" w:space="700"/>
            <w:col w:w="2900" w:space="720"/>
            <w:col w:w="3820" w:space="500"/>
            <w:col w:w="100" w:space="500"/>
            <w:col w:w="140" w:space="520"/>
            <w:col w:w="540"/>
          </w:cols>
          <w:pgMar w:left="320" w:top="563" w:right="339" w:bottom="1440" w:gutter="0" w:footer="0" w:header="0"/>
        </w:sectPr>
      </w:pPr>
    </w:p>
    <w:p>
      <w:pPr>
        <w:spacing w:after="0" w:line="12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Integrated Assets II LLC</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680" w:hanging="405"/>
        <w:spacing w:after="0"/>
        <w:tabs>
          <w:tab w:leader="none" w:pos="6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b w:val="1"/>
          <w:bCs w:val="1"/>
          <w:color w:val="auto"/>
        </w:rPr>
      </w:pPr>
    </w:p>
    <w:p>
      <w:pPr>
        <w:ind w:left="1000" w:hanging="327"/>
        <w:spacing w:after="0" w:line="207" w:lineRule="exact"/>
        <w:tabs>
          <w:tab w:leader="none" w:pos="1000" w:val="left"/>
        </w:tabs>
        <w:numPr>
          <w:ilvl w:val="1"/>
          <w:numId w:val="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0" w:lineRule="exact"/>
        <w:rPr>
          <w:sz w:val="20"/>
          <w:szCs w:val="20"/>
          <w:color w:val="auto"/>
        </w:rPr>
      </w:pPr>
    </w:p>
    <w:p>
      <w:pPr>
        <w:ind w:left="680" w:hanging="405"/>
        <w:spacing w:after="0"/>
        <w:tabs>
          <w:tab w:leader="none" w:pos="6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Cayman Islands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4"/>
        </w:trPr>
        <w:tc>
          <w:tcPr>
            <w:tcW w:w="268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00" w:type="dxa"/>
            <w:vAlign w:val="bottom"/>
            <w:tcBorders>
              <w:top w:val="single" w:sz="8" w:color="auto"/>
              <w:bottom w:val="single" w:sz="8" w:color="auto"/>
            </w:tcBorders>
          </w:tcPr>
          <w:p>
            <w:pPr>
              <w:spacing w:after="0"/>
              <w:rPr>
                <w:sz w:val="6"/>
                <w:szCs w:val="6"/>
                <w:color w:val="auto"/>
              </w:rPr>
            </w:pPr>
          </w:p>
        </w:tc>
        <w:tc>
          <w:tcPr>
            <w:tcW w:w="78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5</w:t>
            </w:r>
          </w:p>
        </w:tc>
        <w:tc>
          <w:tcPr>
            <w:tcW w:w="78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700" w:type="dxa"/>
            <w:vAlign w:val="bottom"/>
            <w:tcBorders>
              <w:bottom w:val="single" w:sz="8" w:color="auto"/>
              <w:right w:val="single" w:sz="8" w:color="auto"/>
            </w:tcBorders>
          </w:tcPr>
          <w:p>
            <w:pPr>
              <w:spacing w:after="0"/>
              <w:rPr>
                <w:sz w:val="19"/>
                <w:szCs w:val="19"/>
                <w:color w:val="auto"/>
              </w:rPr>
            </w:pPr>
          </w:p>
        </w:tc>
        <w:tc>
          <w:tcPr>
            <w:tcW w:w="784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6</w:t>
            </w:r>
          </w:p>
        </w:tc>
        <w:tc>
          <w:tcPr>
            <w:tcW w:w="78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78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00" w:type="dxa"/>
            <w:vAlign w:val="bottom"/>
            <w:tcBorders>
              <w:right w:val="single" w:sz="8" w:color="auto"/>
            </w:tcBorders>
            <w:vMerge w:val="continue"/>
          </w:tcPr>
          <w:p>
            <w:pPr>
              <w:spacing w:after="0"/>
              <w:rPr>
                <w:sz w:val="8"/>
                <w:szCs w:val="8"/>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 (See Item 4(a))</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680" w:type="dxa"/>
            <w:vAlign w:val="bottom"/>
            <w:tcBorders>
              <w:right w:val="single" w:sz="8" w:color="auto"/>
            </w:tcBorders>
            <w:vMerge w:val="continue"/>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8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700" w:type="dxa"/>
            <w:vAlign w:val="bottom"/>
            <w:tcBorders>
              <w:bottom w:val="single" w:sz="8" w:color="auto"/>
              <w:right w:val="single" w:sz="8" w:color="auto"/>
            </w:tcBorders>
          </w:tcPr>
          <w:p>
            <w:pPr>
              <w:spacing w:after="0"/>
              <w:rPr>
                <w:sz w:val="9"/>
                <w:szCs w:val="9"/>
                <w:color w:val="auto"/>
              </w:rPr>
            </w:pPr>
          </w:p>
        </w:tc>
        <w:tc>
          <w:tcPr>
            <w:tcW w:w="7840" w:type="dxa"/>
            <w:vAlign w:val="bottom"/>
            <w:tcBorders>
              <w:bottom w:val="single" w:sz="8" w:color="auto"/>
              <w:right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7</w:t>
            </w:r>
          </w:p>
        </w:tc>
        <w:tc>
          <w:tcPr>
            <w:tcW w:w="784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vMerge w:val="continue"/>
          </w:tcPr>
          <w:p>
            <w:pPr>
              <w:spacing w:after="0"/>
              <w:rPr>
                <w:sz w:val="6"/>
                <w:szCs w:val="6"/>
                <w:color w:val="auto"/>
              </w:rPr>
            </w:pPr>
          </w:p>
        </w:tc>
        <w:tc>
          <w:tcPr>
            <w:tcW w:w="784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700" w:type="dxa"/>
            <w:vAlign w:val="bottom"/>
            <w:tcBorders>
              <w:right w:val="single" w:sz="8" w:color="auto"/>
            </w:tcBorders>
            <w:vMerge w:val="continue"/>
          </w:tcPr>
          <w:p>
            <w:pPr>
              <w:spacing w:after="0"/>
              <w:rPr>
                <w:sz w:val="11"/>
                <w:szCs w:val="11"/>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PERSON WITH</w:t>
            </w:r>
          </w:p>
        </w:tc>
        <w:tc>
          <w:tcPr>
            <w:tcW w:w="700" w:type="dxa"/>
            <w:vAlign w:val="bottom"/>
            <w:tcBorders>
              <w:bottom w:val="single" w:sz="8" w:color="auto"/>
              <w:right w:val="single" w:sz="8" w:color="auto"/>
            </w:tcBorders>
          </w:tcPr>
          <w:p>
            <w:pPr>
              <w:spacing w:after="0"/>
              <w:rPr>
                <w:sz w:val="12"/>
                <w:szCs w:val="12"/>
                <w:color w:val="auto"/>
              </w:rPr>
            </w:pPr>
          </w:p>
        </w:tc>
        <w:tc>
          <w:tcPr>
            <w:tcW w:w="784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8</w:t>
            </w: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68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784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 (See Item 4(a))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-0- (See Item 4(a))</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0.0%</w:t>
      </w:r>
    </w:p>
    <w:p>
      <w:pPr>
        <w:spacing w:after="0" w:line="3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OO</w:t>
      </w:r>
    </w:p>
    <w:p>
      <w:pPr>
        <w:sectPr>
          <w:pgSz w:w="11900" w:h="16838" w:orient="portrait"/>
          <w:cols w:equalWidth="0" w:num="1">
            <w:col w:w="11240"/>
          </w:cols>
          <w:pgMar w:left="320" w:top="563"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6"/>
          <w:szCs w:val="16"/>
          <w:color w:val="auto"/>
        </w:rPr>
        <w:t>CUSIP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G8136L106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-121285</wp:posOffset>
            </wp:positionV>
            <wp:extent cx="1298575" cy="1758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98575" cy="1758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3460" w:val="left"/>
        </w:tabs>
        <w:rPr>
          <w:sz w:val="20"/>
          <w:szCs w:val="20"/>
          <w:color w:val="auto"/>
        </w:rPr>
      </w:pP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21"/>
          <w:szCs w:val="21"/>
          <w:color w:val="auto"/>
          <w:vertAlign w:val="superscript"/>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-3247390</wp:posOffset>
            </wp:positionH>
            <wp:positionV relativeFrom="paragraph">
              <wp:posOffset>158750</wp:posOffset>
            </wp:positionV>
            <wp:extent cx="7136130" cy="50272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130" cy="50272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-247015</wp:posOffset>
            </wp:positionH>
            <wp:positionV relativeFrom="paragraph">
              <wp:posOffset>-121285</wp:posOffset>
            </wp:positionV>
            <wp:extent cx="561340" cy="1587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1340" cy="1587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-117475</wp:posOffset>
            </wp:positionV>
            <wp:extent cx="570230" cy="1587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0230" cy="158750"/>
                    </a:xfrm>
                    <a:prstGeom prst="rect">
                      <a:avLst/>
                    </a:prstGeom>
                    <a:noFill/>
                  </pic:spPr>
                </pic:pic>
              </a:graphicData>
            </a:graphic>
          </wp:anchor>
        </w:drawing>
      </w:r>
    </w:p>
    <w:p>
      <w:pPr>
        <w:spacing w:after="0" w:line="249" w:lineRule="exact"/>
        <w:rPr>
          <w:sz w:val="20"/>
          <w:szCs w:val="20"/>
          <w:color w:val="auto"/>
        </w:rPr>
      </w:pPr>
    </w:p>
    <w:p>
      <w:pPr>
        <w:sectPr>
          <w:pgSz w:w="11900" w:h="16838" w:orient="portrait"/>
          <w:cols w:equalWidth="0" w:num="6">
            <w:col w:w="800" w:space="700"/>
            <w:col w:w="2900" w:space="720"/>
            <w:col w:w="3820" w:space="500"/>
            <w:col w:w="100" w:space="500"/>
            <w:col w:w="140" w:space="520"/>
            <w:col w:w="540"/>
          </w:cols>
          <w:pgMar w:left="320" w:top="563" w:right="339" w:bottom="1440" w:gutter="0" w:footer="0" w:header="0"/>
        </w:sectPr>
      </w:pPr>
    </w:p>
    <w:p>
      <w:pPr>
        <w:spacing w:after="0" w:line="12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Millennium International Management LP</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680" w:hanging="405"/>
        <w:spacing w:after="0"/>
        <w:tabs>
          <w:tab w:leader="none" w:pos="6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b w:val="1"/>
          <w:bCs w:val="1"/>
          <w:color w:val="auto"/>
        </w:rPr>
      </w:pPr>
    </w:p>
    <w:p>
      <w:pPr>
        <w:ind w:left="1000" w:hanging="327"/>
        <w:spacing w:after="0" w:line="207" w:lineRule="exact"/>
        <w:tabs>
          <w:tab w:leader="none" w:pos="1000" w:val="left"/>
        </w:tabs>
        <w:numPr>
          <w:ilvl w:val="1"/>
          <w:numId w:val="8"/>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0" w:lineRule="exact"/>
        <w:rPr>
          <w:sz w:val="20"/>
          <w:szCs w:val="20"/>
          <w:color w:val="auto"/>
        </w:rPr>
      </w:pPr>
    </w:p>
    <w:p>
      <w:pPr>
        <w:ind w:left="680" w:hanging="405"/>
        <w:spacing w:after="0"/>
        <w:tabs>
          <w:tab w:leader="none" w:pos="6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Delaware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4"/>
        </w:trPr>
        <w:tc>
          <w:tcPr>
            <w:tcW w:w="268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00" w:type="dxa"/>
            <w:vAlign w:val="bottom"/>
            <w:tcBorders>
              <w:top w:val="single" w:sz="8" w:color="auto"/>
              <w:bottom w:val="single" w:sz="8" w:color="auto"/>
            </w:tcBorders>
          </w:tcPr>
          <w:p>
            <w:pPr>
              <w:spacing w:after="0"/>
              <w:rPr>
                <w:sz w:val="6"/>
                <w:szCs w:val="6"/>
                <w:color w:val="auto"/>
              </w:rPr>
            </w:pPr>
          </w:p>
        </w:tc>
        <w:tc>
          <w:tcPr>
            <w:tcW w:w="78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5</w:t>
            </w:r>
          </w:p>
        </w:tc>
        <w:tc>
          <w:tcPr>
            <w:tcW w:w="78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700" w:type="dxa"/>
            <w:vAlign w:val="bottom"/>
            <w:tcBorders>
              <w:bottom w:val="single" w:sz="8" w:color="auto"/>
              <w:right w:val="single" w:sz="8" w:color="auto"/>
            </w:tcBorders>
          </w:tcPr>
          <w:p>
            <w:pPr>
              <w:spacing w:after="0"/>
              <w:rPr>
                <w:sz w:val="19"/>
                <w:szCs w:val="19"/>
                <w:color w:val="auto"/>
              </w:rPr>
            </w:pPr>
          </w:p>
        </w:tc>
        <w:tc>
          <w:tcPr>
            <w:tcW w:w="784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6</w:t>
            </w:r>
          </w:p>
        </w:tc>
        <w:tc>
          <w:tcPr>
            <w:tcW w:w="78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78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00" w:type="dxa"/>
            <w:vAlign w:val="bottom"/>
            <w:tcBorders>
              <w:right w:val="single" w:sz="8" w:color="auto"/>
            </w:tcBorders>
            <w:vMerge w:val="continue"/>
          </w:tcPr>
          <w:p>
            <w:pPr>
              <w:spacing w:after="0"/>
              <w:rPr>
                <w:sz w:val="8"/>
                <w:szCs w:val="8"/>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 (See Item 4(a))</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680" w:type="dxa"/>
            <w:vAlign w:val="bottom"/>
            <w:tcBorders>
              <w:right w:val="single" w:sz="8" w:color="auto"/>
            </w:tcBorders>
            <w:vMerge w:val="continue"/>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8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700" w:type="dxa"/>
            <w:vAlign w:val="bottom"/>
            <w:tcBorders>
              <w:bottom w:val="single" w:sz="8" w:color="auto"/>
              <w:right w:val="single" w:sz="8" w:color="auto"/>
            </w:tcBorders>
          </w:tcPr>
          <w:p>
            <w:pPr>
              <w:spacing w:after="0"/>
              <w:rPr>
                <w:sz w:val="9"/>
                <w:szCs w:val="9"/>
                <w:color w:val="auto"/>
              </w:rPr>
            </w:pPr>
          </w:p>
        </w:tc>
        <w:tc>
          <w:tcPr>
            <w:tcW w:w="7840" w:type="dxa"/>
            <w:vAlign w:val="bottom"/>
            <w:tcBorders>
              <w:bottom w:val="single" w:sz="8" w:color="auto"/>
              <w:right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7</w:t>
            </w:r>
          </w:p>
        </w:tc>
        <w:tc>
          <w:tcPr>
            <w:tcW w:w="784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vMerge w:val="continue"/>
          </w:tcPr>
          <w:p>
            <w:pPr>
              <w:spacing w:after="0"/>
              <w:rPr>
                <w:sz w:val="6"/>
                <w:szCs w:val="6"/>
                <w:color w:val="auto"/>
              </w:rPr>
            </w:pPr>
          </w:p>
        </w:tc>
        <w:tc>
          <w:tcPr>
            <w:tcW w:w="784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700" w:type="dxa"/>
            <w:vAlign w:val="bottom"/>
            <w:tcBorders>
              <w:right w:val="single" w:sz="8" w:color="auto"/>
            </w:tcBorders>
            <w:vMerge w:val="continue"/>
          </w:tcPr>
          <w:p>
            <w:pPr>
              <w:spacing w:after="0"/>
              <w:rPr>
                <w:sz w:val="11"/>
                <w:szCs w:val="11"/>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PERSON WITH</w:t>
            </w:r>
          </w:p>
        </w:tc>
        <w:tc>
          <w:tcPr>
            <w:tcW w:w="700" w:type="dxa"/>
            <w:vAlign w:val="bottom"/>
            <w:tcBorders>
              <w:bottom w:val="single" w:sz="8" w:color="auto"/>
              <w:right w:val="single" w:sz="8" w:color="auto"/>
            </w:tcBorders>
          </w:tcPr>
          <w:p>
            <w:pPr>
              <w:spacing w:after="0"/>
              <w:rPr>
                <w:sz w:val="12"/>
                <w:szCs w:val="12"/>
                <w:color w:val="auto"/>
              </w:rPr>
            </w:pPr>
          </w:p>
        </w:tc>
        <w:tc>
          <w:tcPr>
            <w:tcW w:w="784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8</w:t>
            </w: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68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784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 (See Item 4(a))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-0- (See Item 4(a))</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0.0%</w:t>
      </w:r>
    </w:p>
    <w:p>
      <w:pPr>
        <w:spacing w:after="0" w:line="3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PN</w:t>
      </w:r>
    </w:p>
    <w:p>
      <w:pPr>
        <w:sectPr>
          <w:pgSz w:w="11900" w:h="16838" w:orient="portrait"/>
          <w:cols w:equalWidth="0" w:num="1">
            <w:col w:w="11240"/>
          </w:cols>
          <w:pgMar w:left="320" w:top="563"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6"/>
          <w:szCs w:val="16"/>
          <w:color w:val="auto"/>
        </w:rPr>
        <w:t>CUSIP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G8136L106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-121285</wp:posOffset>
            </wp:positionV>
            <wp:extent cx="1298575" cy="1758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98575" cy="1758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3460" w:val="left"/>
        </w:tabs>
        <w:rPr>
          <w:sz w:val="20"/>
          <w:szCs w:val="20"/>
          <w:color w:val="auto"/>
        </w:rPr>
      </w:pP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21"/>
          <w:szCs w:val="21"/>
          <w:color w:val="auto"/>
          <w:vertAlign w:val="superscript"/>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-3247390</wp:posOffset>
            </wp:positionH>
            <wp:positionV relativeFrom="paragraph">
              <wp:posOffset>158750</wp:posOffset>
            </wp:positionV>
            <wp:extent cx="7136130" cy="50272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130" cy="50272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-247015</wp:posOffset>
            </wp:positionH>
            <wp:positionV relativeFrom="paragraph">
              <wp:posOffset>-121285</wp:posOffset>
            </wp:positionV>
            <wp:extent cx="561340" cy="1587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1340" cy="1587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-117475</wp:posOffset>
            </wp:positionV>
            <wp:extent cx="570230" cy="1587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0230" cy="158750"/>
                    </a:xfrm>
                    <a:prstGeom prst="rect">
                      <a:avLst/>
                    </a:prstGeom>
                    <a:noFill/>
                  </pic:spPr>
                </pic:pic>
              </a:graphicData>
            </a:graphic>
          </wp:anchor>
        </w:drawing>
      </w:r>
    </w:p>
    <w:p>
      <w:pPr>
        <w:spacing w:after="0" w:line="249" w:lineRule="exact"/>
        <w:rPr>
          <w:sz w:val="20"/>
          <w:szCs w:val="20"/>
          <w:color w:val="auto"/>
        </w:rPr>
      </w:pPr>
    </w:p>
    <w:p>
      <w:pPr>
        <w:sectPr>
          <w:pgSz w:w="11900" w:h="16838" w:orient="portrait"/>
          <w:cols w:equalWidth="0" w:num="6">
            <w:col w:w="800" w:space="700"/>
            <w:col w:w="2900" w:space="720"/>
            <w:col w:w="3820" w:space="500"/>
            <w:col w:w="100" w:space="500"/>
            <w:col w:w="140" w:space="520"/>
            <w:col w:w="540"/>
          </w:cols>
          <w:pgMar w:left="320" w:top="563" w:right="339" w:bottom="1440" w:gutter="0" w:footer="0" w:header="0"/>
        </w:sectPr>
      </w:pPr>
    </w:p>
    <w:p>
      <w:pPr>
        <w:spacing w:after="0" w:line="12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Millennium Management LLC</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680" w:hanging="405"/>
        <w:spacing w:after="0"/>
        <w:tabs>
          <w:tab w:leader="none" w:pos="68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b w:val="1"/>
          <w:bCs w:val="1"/>
          <w:color w:val="auto"/>
        </w:rPr>
      </w:pPr>
    </w:p>
    <w:p>
      <w:pPr>
        <w:ind w:left="1000" w:hanging="327"/>
        <w:spacing w:after="0" w:line="207" w:lineRule="exact"/>
        <w:tabs>
          <w:tab w:leader="none" w:pos="1000" w:val="left"/>
        </w:tabs>
        <w:numPr>
          <w:ilvl w:val="1"/>
          <w:numId w:val="10"/>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0" w:lineRule="exact"/>
        <w:rPr>
          <w:sz w:val="20"/>
          <w:szCs w:val="20"/>
          <w:color w:val="auto"/>
        </w:rPr>
      </w:pPr>
    </w:p>
    <w:p>
      <w:pPr>
        <w:ind w:left="680" w:hanging="405"/>
        <w:spacing w:after="0"/>
        <w:tabs>
          <w:tab w:leader="none" w:pos="68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Delaware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4"/>
        </w:trPr>
        <w:tc>
          <w:tcPr>
            <w:tcW w:w="268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00" w:type="dxa"/>
            <w:vAlign w:val="bottom"/>
            <w:tcBorders>
              <w:top w:val="single" w:sz="8" w:color="auto"/>
              <w:bottom w:val="single" w:sz="8" w:color="auto"/>
            </w:tcBorders>
          </w:tcPr>
          <w:p>
            <w:pPr>
              <w:spacing w:after="0"/>
              <w:rPr>
                <w:sz w:val="6"/>
                <w:szCs w:val="6"/>
                <w:color w:val="auto"/>
              </w:rPr>
            </w:pPr>
          </w:p>
        </w:tc>
        <w:tc>
          <w:tcPr>
            <w:tcW w:w="78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5</w:t>
            </w:r>
          </w:p>
        </w:tc>
        <w:tc>
          <w:tcPr>
            <w:tcW w:w="78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700" w:type="dxa"/>
            <w:vAlign w:val="bottom"/>
            <w:tcBorders>
              <w:bottom w:val="single" w:sz="8" w:color="auto"/>
              <w:right w:val="single" w:sz="8" w:color="auto"/>
            </w:tcBorders>
          </w:tcPr>
          <w:p>
            <w:pPr>
              <w:spacing w:after="0"/>
              <w:rPr>
                <w:sz w:val="19"/>
                <w:szCs w:val="19"/>
                <w:color w:val="auto"/>
              </w:rPr>
            </w:pPr>
          </w:p>
        </w:tc>
        <w:tc>
          <w:tcPr>
            <w:tcW w:w="784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6</w:t>
            </w:r>
          </w:p>
        </w:tc>
        <w:tc>
          <w:tcPr>
            <w:tcW w:w="78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78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00" w:type="dxa"/>
            <w:vAlign w:val="bottom"/>
            <w:tcBorders>
              <w:right w:val="single" w:sz="8" w:color="auto"/>
            </w:tcBorders>
            <w:vMerge w:val="continue"/>
          </w:tcPr>
          <w:p>
            <w:pPr>
              <w:spacing w:after="0"/>
              <w:rPr>
                <w:sz w:val="8"/>
                <w:szCs w:val="8"/>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648,081 (See Item 4(a))</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680" w:type="dxa"/>
            <w:vAlign w:val="bottom"/>
            <w:tcBorders>
              <w:right w:val="single" w:sz="8" w:color="auto"/>
            </w:tcBorders>
            <w:vMerge w:val="continue"/>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8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700" w:type="dxa"/>
            <w:vAlign w:val="bottom"/>
            <w:tcBorders>
              <w:bottom w:val="single" w:sz="8" w:color="auto"/>
              <w:right w:val="single" w:sz="8" w:color="auto"/>
            </w:tcBorders>
          </w:tcPr>
          <w:p>
            <w:pPr>
              <w:spacing w:after="0"/>
              <w:rPr>
                <w:sz w:val="9"/>
                <w:szCs w:val="9"/>
                <w:color w:val="auto"/>
              </w:rPr>
            </w:pPr>
          </w:p>
        </w:tc>
        <w:tc>
          <w:tcPr>
            <w:tcW w:w="7840" w:type="dxa"/>
            <w:vAlign w:val="bottom"/>
            <w:tcBorders>
              <w:bottom w:val="single" w:sz="8" w:color="auto"/>
              <w:right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7</w:t>
            </w:r>
          </w:p>
        </w:tc>
        <w:tc>
          <w:tcPr>
            <w:tcW w:w="784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vMerge w:val="continue"/>
          </w:tcPr>
          <w:p>
            <w:pPr>
              <w:spacing w:after="0"/>
              <w:rPr>
                <w:sz w:val="6"/>
                <w:szCs w:val="6"/>
                <w:color w:val="auto"/>
              </w:rPr>
            </w:pPr>
          </w:p>
        </w:tc>
        <w:tc>
          <w:tcPr>
            <w:tcW w:w="784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700" w:type="dxa"/>
            <w:vAlign w:val="bottom"/>
            <w:tcBorders>
              <w:right w:val="single" w:sz="8" w:color="auto"/>
            </w:tcBorders>
            <w:vMerge w:val="continue"/>
          </w:tcPr>
          <w:p>
            <w:pPr>
              <w:spacing w:after="0"/>
              <w:rPr>
                <w:sz w:val="11"/>
                <w:szCs w:val="11"/>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PERSON WITH</w:t>
            </w:r>
          </w:p>
        </w:tc>
        <w:tc>
          <w:tcPr>
            <w:tcW w:w="700" w:type="dxa"/>
            <w:vAlign w:val="bottom"/>
            <w:tcBorders>
              <w:bottom w:val="single" w:sz="8" w:color="auto"/>
              <w:right w:val="single" w:sz="8" w:color="auto"/>
            </w:tcBorders>
          </w:tcPr>
          <w:p>
            <w:pPr>
              <w:spacing w:after="0"/>
              <w:rPr>
                <w:sz w:val="12"/>
                <w:szCs w:val="12"/>
                <w:color w:val="auto"/>
              </w:rPr>
            </w:pPr>
          </w:p>
        </w:tc>
        <w:tc>
          <w:tcPr>
            <w:tcW w:w="784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8</w:t>
            </w: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68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784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648,081 (See Item 4(a))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648,081 (See Item 4(a))</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2.6%</w:t>
      </w:r>
    </w:p>
    <w:p>
      <w:pPr>
        <w:spacing w:after="0" w:line="3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OO</w:t>
      </w:r>
    </w:p>
    <w:p>
      <w:pPr>
        <w:sectPr>
          <w:pgSz w:w="11900" w:h="16838" w:orient="portrait"/>
          <w:cols w:equalWidth="0" w:num="1">
            <w:col w:w="11240"/>
          </w:cols>
          <w:pgMar w:left="320" w:top="563"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6"/>
          <w:szCs w:val="16"/>
          <w:color w:val="auto"/>
        </w:rPr>
        <w:t>CUSIP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G8136L106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-121285</wp:posOffset>
            </wp:positionV>
            <wp:extent cx="1298575" cy="1758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98575" cy="1758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3460" w:val="left"/>
        </w:tabs>
        <w:rPr>
          <w:sz w:val="20"/>
          <w:szCs w:val="20"/>
          <w:color w:val="auto"/>
        </w:rPr>
      </w:pP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21"/>
          <w:szCs w:val="21"/>
          <w:color w:val="auto"/>
          <w:vertAlign w:val="superscript"/>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-3247390</wp:posOffset>
            </wp:positionH>
            <wp:positionV relativeFrom="paragraph">
              <wp:posOffset>158750</wp:posOffset>
            </wp:positionV>
            <wp:extent cx="7136130" cy="50272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6130" cy="50272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-247015</wp:posOffset>
            </wp:positionH>
            <wp:positionV relativeFrom="paragraph">
              <wp:posOffset>-121285</wp:posOffset>
            </wp:positionV>
            <wp:extent cx="561340" cy="1587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1340" cy="1587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-117475</wp:posOffset>
            </wp:positionV>
            <wp:extent cx="570230" cy="1587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0230" cy="158750"/>
                    </a:xfrm>
                    <a:prstGeom prst="rect">
                      <a:avLst/>
                    </a:prstGeom>
                    <a:noFill/>
                  </pic:spPr>
                </pic:pic>
              </a:graphicData>
            </a:graphic>
          </wp:anchor>
        </w:drawing>
      </w:r>
    </w:p>
    <w:p>
      <w:pPr>
        <w:spacing w:after="0" w:line="249" w:lineRule="exact"/>
        <w:rPr>
          <w:sz w:val="20"/>
          <w:szCs w:val="20"/>
          <w:color w:val="auto"/>
        </w:rPr>
      </w:pPr>
    </w:p>
    <w:p>
      <w:pPr>
        <w:sectPr>
          <w:pgSz w:w="11900" w:h="16838" w:orient="portrait"/>
          <w:cols w:equalWidth="0" w:num="6">
            <w:col w:w="800" w:space="700"/>
            <w:col w:w="2900" w:space="720"/>
            <w:col w:w="3820" w:space="500"/>
            <w:col w:w="100" w:space="500"/>
            <w:col w:w="140" w:space="520"/>
            <w:col w:w="540"/>
          </w:cols>
          <w:pgMar w:left="320" w:top="563" w:right="339" w:bottom="1440" w:gutter="0" w:footer="0" w:header="0"/>
        </w:sectPr>
      </w:pPr>
    </w:p>
    <w:p>
      <w:pPr>
        <w:spacing w:after="0" w:line="12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Millennium Group Management LLC</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680" w:hanging="405"/>
        <w:spacing w:after="0"/>
        <w:tabs>
          <w:tab w:leader="none" w:pos="68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b w:val="1"/>
          <w:bCs w:val="1"/>
          <w:color w:val="auto"/>
        </w:rPr>
      </w:pPr>
    </w:p>
    <w:p>
      <w:pPr>
        <w:ind w:left="1000" w:hanging="327"/>
        <w:spacing w:after="0" w:line="207" w:lineRule="exact"/>
        <w:tabs>
          <w:tab w:leader="none" w:pos="1000" w:val="left"/>
        </w:tabs>
        <w:numPr>
          <w:ilvl w:val="1"/>
          <w:numId w:val="1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0" w:lineRule="exact"/>
        <w:rPr>
          <w:sz w:val="20"/>
          <w:szCs w:val="20"/>
          <w:color w:val="auto"/>
        </w:rPr>
      </w:pPr>
    </w:p>
    <w:p>
      <w:pPr>
        <w:ind w:left="680" w:hanging="405"/>
        <w:spacing w:after="0"/>
        <w:tabs>
          <w:tab w:leader="none" w:pos="68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Delaware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4"/>
        </w:trPr>
        <w:tc>
          <w:tcPr>
            <w:tcW w:w="268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00" w:type="dxa"/>
            <w:vAlign w:val="bottom"/>
            <w:tcBorders>
              <w:top w:val="single" w:sz="8" w:color="auto"/>
              <w:bottom w:val="single" w:sz="8" w:color="auto"/>
            </w:tcBorders>
          </w:tcPr>
          <w:p>
            <w:pPr>
              <w:spacing w:after="0"/>
              <w:rPr>
                <w:sz w:val="6"/>
                <w:szCs w:val="6"/>
                <w:color w:val="auto"/>
              </w:rPr>
            </w:pPr>
          </w:p>
        </w:tc>
        <w:tc>
          <w:tcPr>
            <w:tcW w:w="78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5</w:t>
            </w:r>
          </w:p>
        </w:tc>
        <w:tc>
          <w:tcPr>
            <w:tcW w:w="78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700" w:type="dxa"/>
            <w:vAlign w:val="bottom"/>
            <w:tcBorders>
              <w:bottom w:val="single" w:sz="8" w:color="auto"/>
              <w:right w:val="single" w:sz="8" w:color="auto"/>
            </w:tcBorders>
          </w:tcPr>
          <w:p>
            <w:pPr>
              <w:spacing w:after="0"/>
              <w:rPr>
                <w:sz w:val="19"/>
                <w:szCs w:val="19"/>
                <w:color w:val="auto"/>
              </w:rPr>
            </w:pPr>
          </w:p>
        </w:tc>
        <w:tc>
          <w:tcPr>
            <w:tcW w:w="784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6</w:t>
            </w:r>
          </w:p>
        </w:tc>
        <w:tc>
          <w:tcPr>
            <w:tcW w:w="78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78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00" w:type="dxa"/>
            <w:vAlign w:val="bottom"/>
            <w:tcBorders>
              <w:right w:val="single" w:sz="8" w:color="auto"/>
            </w:tcBorders>
            <w:vMerge w:val="continue"/>
          </w:tcPr>
          <w:p>
            <w:pPr>
              <w:spacing w:after="0"/>
              <w:rPr>
                <w:sz w:val="8"/>
                <w:szCs w:val="8"/>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648,081 (See Item 4(a))</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680" w:type="dxa"/>
            <w:vAlign w:val="bottom"/>
            <w:tcBorders>
              <w:right w:val="single" w:sz="8" w:color="auto"/>
            </w:tcBorders>
            <w:vMerge w:val="continue"/>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8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700" w:type="dxa"/>
            <w:vAlign w:val="bottom"/>
            <w:tcBorders>
              <w:bottom w:val="single" w:sz="8" w:color="auto"/>
              <w:right w:val="single" w:sz="8" w:color="auto"/>
            </w:tcBorders>
          </w:tcPr>
          <w:p>
            <w:pPr>
              <w:spacing w:after="0"/>
              <w:rPr>
                <w:sz w:val="9"/>
                <w:szCs w:val="9"/>
                <w:color w:val="auto"/>
              </w:rPr>
            </w:pPr>
          </w:p>
        </w:tc>
        <w:tc>
          <w:tcPr>
            <w:tcW w:w="7840" w:type="dxa"/>
            <w:vAlign w:val="bottom"/>
            <w:tcBorders>
              <w:bottom w:val="single" w:sz="8" w:color="auto"/>
              <w:right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7</w:t>
            </w:r>
          </w:p>
        </w:tc>
        <w:tc>
          <w:tcPr>
            <w:tcW w:w="784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vMerge w:val="continue"/>
          </w:tcPr>
          <w:p>
            <w:pPr>
              <w:spacing w:after="0"/>
              <w:rPr>
                <w:sz w:val="6"/>
                <w:szCs w:val="6"/>
                <w:color w:val="auto"/>
              </w:rPr>
            </w:pPr>
          </w:p>
        </w:tc>
        <w:tc>
          <w:tcPr>
            <w:tcW w:w="784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700" w:type="dxa"/>
            <w:vAlign w:val="bottom"/>
            <w:tcBorders>
              <w:right w:val="single" w:sz="8" w:color="auto"/>
            </w:tcBorders>
            <w:vMerge w:val="continue"/>
          </w:tcPr>
          <w:p>
            <w:pPr>
              <w:spacing w:after="0"/>
              <w:rPr>
                <w:sz w:val="11"/>
                <w:szCs w:val="11"/>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PERSON WITH</w:t>
            </w:r>
          </w:p>
        </w:tc>
        <w:tc>
          <w:tcPr>
            <w:tcW w:w="700" w:type="dxa"/>
            <w:vAlign w:val="bottom"/>
            <w:tcBorders>
              <w:bottom w:val="single" w:sz="8" w:color="auto"/>
              <w:right w:val="single" w:sz="8" w:color="auto"/>
            </w:tcBorders>
          </w:tcPr>
          <w:p>
            <w:pPr>
              <w:spacing w:after="0"/>
              <w:rPr>
                <w:sz w:val="12"/>
                <w:szCs w:val="12"/>
                <w:color w:val="auto"/>
              </w:rPr>
            </w:pPr>
          </w:p>
        </w:tc>
        <w:tc>
          <w:tcPr>
            <w:tcW w:w="784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8</w:t>
            </w: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68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784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648,081 (See Item 4(a))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648,081 (See Item 4(a))</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2.6%</w:t>
      </w:r>
    </w:p>
    <w:p>
      <w:pPr>
        <w:spacing w:after="0" w:line="3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OO</w:t>
      </w:r>
    </w:p>
    <w:p>
      <w:pPr>
        <w:sectPr>
          <w:pgSz w:w="11900" w:h="16838" w:orient="portrait"/>
          <w:cols w:equalWidth="0" w:num="1">
            <w:col w:w="11240"/>
          </w:cols>
          <w:pgMar w:left="320" w:top="563"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6"/>
          <w:szCs w:val="16"/>
          <w:color w:val="auto"/>
        </w:rPr>
        <w:t>CUSIP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G8136L106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-121285</wp:posOffset>
            </wp:positionV>
            <wp:extent cx="1298575" cy="1758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98575" cy="1758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3460" w:val="left"/>
        </w:tabs>
        <w:rPr>
          <w:sz w:val="20"/>
          <w:szCs w:val="20"/>
          <w:color w:val="auto"/>
        </w:rPr>
      </w:pP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21"/>
          <w:szCs w:val="21"/>
          <w:color w:val="auto"/>
          <w:vertAlign w:val="superscript"/>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-3247390</wp:posOffset>
            </wp:positionH>
            <wp:positionV relativeFrom="paragraph">
              <wp:posOffset>158750</wp:posOffset>
            </wp:positionV>
            <wp:extent cx="7136130" cy="50272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6130" cy="50272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-247015</wp:posOffset>
            </wp:positionH>
            <wp:positionV relativeFrom="paragraph">
              <wp:posOffset>-121285</wp:posOffset>
            </wp:positionV>
            <wp:extent cx="561340" cy="1587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1340" cy="1587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-117475</wp:posOffset>
            </wp:positionV>
            <wp:extent cx="570230" cy="1587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0230" cy="158750"/>
                    </a:xfrm>
                    <a:prstGeom prst="rect">
                      <a:avLst/>
                    </a:prstGeom>
                    <a:noFill/>
                  </pic:spPr>
                </pic:pic>
              </a:graphicData>
            </a:graphic>
          </wp:anchor>
        </w:drawing>
      </w:r>
    </w:p>
    <w:p>
      <w:pPr>
        <w:spacing w:after="0" w:line="249" w:lineRule="exact"/>
        <w:rPr>
          <w:sz w:val="20"/>
          <w:szCs w:val="20"/>
          <w:color w:val="auto"/>
        </w:rPr>
      </w:pPr>
    </w:p>
    <w:p>
      <w:pPr>
        <w:sectPr>
          <w:pgSz w:w="11900" w:h="16838" w:orient="portrait"/>
          <w:cols w:equalWidth="0" w:num="6">
            <w:col w:w="800" w:space="700"/>
            <w:col w:w="2900" w:space="720"/>
            <w:col w:w="3820" w:space="500"/>
            <w:col w:w="100" w:space="500"/>
            <w:col w:w="140" w:space="520"/>
            <w:col w:w="540"/>
          </w:cols>
          <w:pgMar w:left="320" w:top="563" w:right="339" w:bottom="1440" w:gutter="0" w:footer="0" w:header="0"/>
        </w:sectPr>
      </w:pPr>
    </w:p>
    <w:p>
      <w:pPr>
        <w:spacing w:after="0" w:line="12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Israel A. Englander</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680" w:hanging="405"/>
        <w:spacing w:after="0"/>
        <w:tabs>
          <w:tab w:leader="none" w:pos="68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b w:val="1"/>
          <w:bCs w:val="1"/>
          <w:color w:val="auto"/>
        </w:rPr>
      </w:pPr>
    </w:p>
    <w:p>
      <w:pPr>
        <w:ind w:left="1000" w:hanging="327"/>
        <w:spacing w:after="0" w:line="207" w:lineRule="exact"/>
        <w:tabs>
          <w:tab w:leader="none" w:pos="1000" w:val="left"/>
        </w:tabs>
        <w:numPr>
          <w:ilvl w:val="1"/>
          <w:numId w:val="1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0" w:lineRule="exact"/>
        <w:rPr>
          <w:sz w:val="20"/>
          <w:szCs w:val="20"/>
          <w:color w:val="auto"/>
        </w:rPr>
      </w:pPr>
    </w:p>
    <w:p>
      <w:pPr>
        <w:ind w:left="680" w:hanging="405"/>
        <w:spacing w:after="0"/>
        <w:tabs>
          <w:tab w:leader="none" w:pos="68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United States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4"/>
        </w:trPr>
        <w:tc>
          <w:tcPr>
            <w:tcW w:w="268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00" w:type="dxa"/>
            <w:vAlign w:val="bottom"/>
            <w:tcBorders>
              <w:top w:val="single" w:sz="8" w:color="auto"/>
              <w:bottom w:val="single" w:sz="8" w:color="auto"/>
            </w:tcBorders>
          </w:tcPr>
          <w:p>
            <w:pPr>
              <w:spacing w:after="0"/>
              <w:rPr>
                <w:sz w:val="6"/>
                <w:szCs w:val="6"/>
                <w:color w:val="auto"/>
              </w:rPr>
            </w:pPr>
          </w:p>
        </w:tc>
        <w:tc>
          <w:tcPr>
            <w:tcW w:w="78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5</w:t>
            </w:r>
          </w:p>
        </w:tc>
        <w:tc>
          <w:tcPr>
            <w:tcW w:w="78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700" w:type="dxa"/>
            <w:vAlign w:val="bottom"/>
            <w:tcBorders>
              <w:bottom w:val="single" w:sz="8" w:color="auto"/>
              <w:right w:val="single" w:sz="8" w:color="auto"/>
            </w:tcBorders>
          </w:tcPr>
          <w:p>
            <w:pPr>
              <w:spacing w:after="0"/>
              <w:rPr>
                <w:sz w:val="19"/>
                <w:szCs w:val="19"/>
                <w:color w:val="auto"/>
              </w:rPr>
            </w:pPr>
          </w:p>
        </w:tc>
        <w:tc>
          <w:tcPr>
            <w:tcW w:w="784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6</w:t>
            </w:r>
          </w:p>
        </w:tc>
        <w:tc>
          <w:tcPr>
            <w:tcW w:w="78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78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00" w:type="dxa"/>
            <w:vAlign w:val="bottom"/>
            <w:tcBorders>
              <w:right w:val="single" w:sz="8" w:color="auto"/>
            </w:tcBorders>
            <w:vMerge w:val="continue"/>
          </w:tcPr>
          <w:p>
            <w:pPr>
              <w:spacing w:after="0"/>
              <w:rPr>
                <w:sz w:val="8"/>
                <w:szCs w:val="8"/>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648,081 (See Item 4(a))</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680" w:type="dxa"/>
            <w:vAlign w:val="bottom"/>
            <w:tcBorders>
              <w:right w:val="single" w:sz="8" w:color="auto"/>
            </w:tcBorders>
            <w:vMerge w:val="continue"/>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8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700" w:type="dxa"/>
            <w:vAlign w:val="bottom"/>
            <w:tcBorders>
              <w:bottom w:val="single" w:sz="8" w:color="auto"/>
              <w:right w:val="single" w:sz="8" w:color="auto"/>
            </w:tcBorders>
          </w:tcPr>
          <w:p>
            <w:pPr>
              <w:spacing w:after="0"/>
              <w:rPr>
                <w:sz w:val="9"/>
                <w:szCs w:val="9"/>
                <w:color w:val="auto"/>
              </w:rPr>
            </w:pPr>
          </w:p>
        </w:tc>
        <w:tc>
          <w:tcPr>
            <w:tcW w:w="7840" w:type="dxa"/>
            <w:vAlign w:val="bottom"/>
            <w:tcBorders>
              <w:bottom w:val="single" w:sz="8" w:color="auto"/>
              <w:right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7</w:t>
            </w:r>
          </w:p>
        </w:tc>
        <w:tc>
          <w:tcPr>
            <w:tcW w:w="784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vMerge w:val="continue"/>
          </w:tcPr>
          <w:p>
            <w:pPr>
              <w:spacing w:after="0"/>
              <w:rPr>
                <w:sz w:val="6"/>
                <w:szCs w:val="6"/>
                <w:color w:val="auto"/>
              </w:rPr>
            </w:pPr>
          </w:p>
        </w:tc>
        <w:tc>
          <w:tcPr>
            <w:tcW w:w="784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700" w:type="dxa"/>
            <w:vAlign w:val="bottom"/>
            <w:tcBorders>
              <w:right w:val="single" w:sz="8" w:color="auto"/>
            </w:tcBorders>
            <w:vMerge w:val="continue"/>
          </w:tcPr>
          <w:p>
            <w:pPr>
              <w:spacing w:after="0"/>
              <w:rPr>
                <w:sz w:val="11"/>
                <w:szCs w:val="11"/>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PERSON WITH</w:t>
            </w:r>
          </w:p>
        </w:tc>
        <w:tc>
          <w:tcPr>
            <w:tcW w:w="700" w:type="dxa"/>
            <w:vAlign w:val="bottom"/>
            <w:tcBorders>
              <w:bottom w:val="single" w:sz="8" w:color="auto"/>
              <w:right w:val="single" w:sz="8" w:color="auto"/>
            </w:tcBorders>
          </w:tcPr>
          <w:p>
            <w:pPr>
              <w:spacing w:after="0"/>
              <w:rPr>
                <w:sz w:val="12"/>
                <w:szCs w:val="12"/>
                <w:color w:val="auto"/>
              </w:rPr>
            </w:pPr>
          </w:p>
        </w:tc>
        <w:tc>
          <w:tcPr>
            <w:tcW w:w="784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8</w:t>
            </w: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68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784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648,081 (See Item 4(a))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648,081 (See Item 4(a))</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2.6%</w:t>
      </w:r>
    </w:p>
    <w:p>
      <w:pPr>
        <w:spacing w:after="0" w:line="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IN</w:t>
      </w:r>
    </w:p>
    <w:p>
      <w:pPr>
        <w:sectPr>
          <w:pgSz w:w="11900" w:h="16838" w:orient="portrait"/>
          <w:cols w:equalWidth="0" w:num="1">
            <w:col w:w="11240"/>
          </w:cols>
          <w:pgMar w:left="320" w:top="563" w:right="33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ind w:left="580"/>
              <w:spacing w:after="0"/>
              <w:rPr>
                <w:sz w:val="20"/>
                <w:szCs w:val="20"/>
                <w:color w:val="auto"/>
              </w:rPr>
            </w:pPr>
            <w:r>
              <w:rPr>
                <w:rFonts w:ascii="Arial" w:cs="Arial" w:eastAsia="Arial" w:hAnsi="Arial"/>
                <w:sz w:val="18"/>
                <w:szCs w:val="18"/>
                <w:color w:val="auto"/>
              </w:rPr>
              <w:t>G8136L106</w:t>
            </w:r>
          </w:p>
        </w:tc>
        <w:tc>
          <w:tcPr>
            <w:tcW w:w="3500" w:type="dxa"/>
            <w:vAlign w:val="bottom"/>
          </w:tcPr>
          <w:p>
            <w:pPr>
              <w:ind w:left="2180"/>
              <w:spacing w:after="0"/>
              <w:rPr>
                <w:sz w:val="20"/>
                <w:szCs w:val="20"/>
                <w:color w:val="auto"/>
              </w:rPr>
            </w:pPr>
            <w:r>
              <w:rPr>
                <w:rFonts w:ascii="Arial" w:cs="Arial" w:eastAsia="Arial" w:hAnsi="Arial"/>
                <w:sz w:val="18"/>
                <w:szCs w:val="18"/>
                <w:b w:val="1"/>
                <w:bCs w:val="1"/>
                <w:color w:val="auto"/>
                <w:w w:val="94"/>
              </w:rPr>
              <w:t>SCHEDULE 13G</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w:t>
      </w:r>
    </w:p>
    <w:p>
      <w:pPr>
        <w:spacing w:after="0" w:line="15" w:lineRule="exact"/>
        <w:rPr>
          <w:sz w:val="20"/>
          <w:szCs w:val="20"/>
          <w:color w:val="auto"/>
        </w:rPr>
      </w:pPr>
    </w:p>
    <w:p>
      <w:pPr>
        <w:ind w:left="1180" w:hanging="349"/>
        <w:spacing w:after="0"/>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Name of Issuer</w:t>
      </w:r>
      <w:r>
        <w:rPr>
          <w:rFonts w:ascii="Arial" w:cs="Arial" w:eastAsia="Arial" w:hAnsi="Arial"/>
          <w:sz w:val="18"/>
          <w:szCs w:val="18"/>
          <w:color w:val="auto"/>
        </w:rPr>
        <w:t>:</w:t>
      </w:r>
    </w:p>
    <w:p>
      <w:pPr>
        <w:spacing w:after="0" w:line="226" w:lineRule="exact"/>
        <w:rPr>
          <w:rFonts w:ascii="Arial" w:cs="Arial" w:eastAsia="Arial" w:hAnsi="Arial"/>
          <w:sz w:val="18"/>
          <w:szCs w:val="18"/>
          <w:color w:val="auto"/>
        </w:rPr>
      </w:pPr>
    </w:p>
    <w:p>
      <w:pPr>
        <w:ind w:left="1180"/>
        <w:spacing w:after="0"/>
        <w:rPr>
          <w:rFonts w:ascii="Arial" w:cs="Arial" w:eastAsia="Arial" w:hAnsi="Arial"/>
          <w:sz w:val="18"/>
          <w:szCs w:val="18"/>
          <w:color w:val="auto"/>
        </w:rPr>
      </w:pPr>
      <w:r>
        <w:rPr>
          <w:rFonts w:ascii="Arial" w:cs="Arial" w:eastAsia="Arial" w:hAnsi="Arial"/>
          <w:sz w:val="16"/>
          <w:szCs w:val="16"/>
          <w:color w:val="auto"/>
        </w:rPr>
        <w:t>Silver Spike Acquisition Corp., a Cayman Islands exempted company (the "Issuer").</w:t>
      </w:r>
    </w:p>
    <w:p>
      <w:pPr>
        <w:spacing w:after="0" w:line="253" w:lineRule="exact"/>
        <w:rPr>
          <w:rFonts w:ascii="Arial" w:cs="Arial" w:eastAsia="Arial" w:hAnsi="Arial"/>
          <w:sz w:val="18"/>
          <w:szCs w:val="18"/>
          <w:color w:val="auto"/>
        </w:rPr>
      </w:pPr>
    </w:p>
    <w:p>
      <w:pPr>
        <w:ind w:left="1180" w:hanging="349"/>
        <w:spacing w:after="0"/>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Address of Issuer’s Principal Executive Offices</w:t>
      </w:r>
      <w:r>
        <w:rPr>
          <w:rFonts w:ascii="Arial" w:cs="Arial" w:eastAsia="Arial" w:hAnsi="Arial"/>
          <w:sz w:val="18"/>
          <w:szCs w:val="18"/>
          <w:color w:val="auto"/>
        </w:rPr>
        <w:t>:</w:t>
      </w:r>
    </w:p>
    <w:p>
      <w:pPr>
        <w:spacing w:after="0" w:line="219"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600 Madison Avenue, Suite 1600</w:t>
      </w:r>
    </w:p>
    <w:p>
      <w:pPr>
        <w:spacing w:after="0" w:line="2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New York, New York 10022</w:t>
      </w:r>
    </w:p>
    <w:p>
      <w:pPr>
        <w:spacing w:after="0" w:line="217" w:lineRule="exact"/>
        <w:rPr>
          <w:sz w:val="20"/>
          <w:szCs w:val="20"/>
          <w:color w:val="auto"/>
        </w:rPr>
      </w:pPr>
    </w:p>
    <w:p>
      <w:pPr>
        <w:spacing w:after="0"/>
        <w:tabs>
          <w:tab w:leader="none" w:pos="820" w:val="left"/>
          <w:tab w:leader="none" w:pos="1160" w:val="left"/>
        </w:tabs>
        <w:rPr>
          <w:sz w:val="20"/>
          <w:szCs w:val="20"/>
          <w:color w:val="auto"/>
        </w:rPr>
      </w:pPr>
      <w:r>
        <w:rPr>
          <w:rFonts w:ascii="Arial" w:cs="Arial" w:eastAsia="Arial" w:hAnsi="Arial"/>
          <w:sz w:val="18"/>
          <w:szCs w:val="18"/>
          <w:u w:val="single" w:color="auto"/>
          <w:color w:val="auto"/>
        </w:rPr>
        <w:t>Item 2.</w:t>
      </w:r>
      <w:r>
        <w:rPr>
          <w:sz w:val="20"/>
          <w:szCs w:val="20"/>
          <w:color w:val="auto"/>
        </w:rPr>
        <w:tab/>
      </w:r>
      <w:r>
        <w:rPr>
          <w:rFonts w:ascii="Arial" w:cs="Arial" w:eastAsia="Arial" w:hAnsi="Arial"/>
          <w:sz w:val="18"/>
          <w:szCs w:val="18"/>
          <w:color w:val="auto"/>
        </w:rPr>
        <w:t>(a)</w:t>
      </w:r>
      <w:r>
        <w:rPr>
          <w:sz w:val="20"/>
          <w:szCs w:val="20"/>
          <w:color w:val="auto"/>
        </w:rPr>
        <w:tab/>
      </w:r>
      <w:r>
        <w:rPr>
          <w:rFonts w:ascii="Arial" w:cs="Arial" w:eastAsia="Arial" w:hAnsi="Arial"/>
          <w:sz w:val="16"/>
          <w:szCs w:val="16"/>
          <w:u w:val="single" w:color="auto"/>
          <w:color w:val="auto"/>
        </w:rPr>
        <w:t>Name of Person Filing</w:t>
      </w:r>
      <w:r>
        <w:rPr>
          <w:rFonts w:ascii="Arial" w:cs="Arial" w:eastAsia="Arial" w:hAnsi="Arial"/>
          <w:sz w:val="16"/>
          <w:szCs w:val="16"/>
          <w:color w:val="auto"/>
        </w:rPr>
        <w:t>:</w:t>
      </w:r>
    </w:p>
    <w:p>
      <w:pPr>
        <w:spacing w:after="0" w:line="15" w:lineRule="exact"/>
        <w:rPr>
          <w:sz w:val="20"/>
          <w:szCs w:val="20"/>
          <w:color w:val="auto"/>
        </w:rPr>
      </w:pPr>
    </w:p>
    <w:p>
      <w:pPr>
        <w:ind w:left="1180" w:hanging="349"/>
        <w:spacing w:after="0"/>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Address of Principal Business Office</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180" w:hanging="349"/>
        <w:spacing w:after="0"/>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Citizenship</w:t>
      </w:r>
      <w:r>
        <w:rPr>
          <w:rFonts w:ascii="Arial" w:cs="Arial" w:eastAsia="Arial" w:hAnsi="Arial"/>
          <w:sz w:val="18"/>
          <w:szCs w:val="18"/>
          <w:color w:val="auto"/>
        </w:rPr>
        <w:t>:</w:t>
      </w:r>
    </w:p>
    <w:p>
      <w:pPr>
        <w:spacing w:after="0" w:line="218" w:lineRule="exact"/>
        <w:rPr>
          <w:rFonts w:ascii="Arial" w:cs="Arial" w:eastAsia="Arial" w:hAnsi="Arial"/>
          <w:sz w:val="18"/>
          <w:szCs w:val="18"/>
          <w:color w:val="auto"/>
        </w:rPr>
      </w:pPr>
    </w:p>
    <w:p>
      <w:pPr>
        <w:ind w:left="1180" w:right="4100"/>
        <w:spacing w:after="0" w:line="284" w:lineRule="auto"/>
        <w:rPr>
          <w:rFonts w:ascii="Arial" w:cs="Arial" w:eastAsia="Arial" w:hAnsi="Arial"/>
          <w:sz w:val="18"/>
          <w:szCs w:val="18"/>
          <w:color w:val="auto"/>
        </w:rPr>
      </w:pPr>
      <w:r>
        <w:rPr>
          <w:rFonts w:ascii="Arial" w:cs="Arial" w:eastAsia="Arial" w:hAnsi="Arial"/>
          <w:sz w:val="16"/>
          <w:szCs w:val="16"/>
          <w:color w:val="auto"/>
        </w:rPr>
        <w:t>Integrated Core Strategies (US) LLC c/o Millennium Management LLC 666 Fifth Avenue</w:t>
      </w:r>
    </w:p>
    <w:p>
      <w:pPr>
        <w:spacing w:after="0" w:line="1" w:lineRule="exact"/>
        <w:rPr>
          <w:rFonts w:ascii="Arial" w:cs="Arial" w:eastAsia="Arial" w:hAnsi="Arial"/>
          <w:sz w:val="18"/>
          <w:szCs w:val="18"/>
          <w:color w:val="auto"/>
        </w:rPr>
      </w:pPr>
    </w:p>
    <w:p>
      <w:pPr>
        <w:ind w:left="1180" w:right="470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10103 Citizenship: Delaware</w:t>
      </w:r>
    </w:p>
    <w:p>
      <w:pPr>
        <w:spacing w:after="0" w:line="146" w:lineRule="exact"/>
        <w:rPr>
          <w:rFonts w:ascii="Arial" w:cs="Arial" w:eastAsia="Arial" w:hAnsi="Arial"/>
          <w:sz w:val="18"/>
          <w:szCs w:val="18"/>
          <w:color w:val="auto"/>
        </w:rPr>
      </w:pPr>
    </w:p>
    <w:p>
      <w:pPr>
        <w:ind w:left="1180"/>
        <w:spacing w:after="0"/>
        <w:rPr>
          <w:rFonts w:ascii="Arial" w:cs="Arial" w:eastAsia="Arial" w:hAnsi="Arial"/>
          <w:sz w:val="18"/>
          <w:szCs w:val="18"/>
          <w:color w:val="auto"/>
        </w:rPr>
      </w:pPr>
      <w:r>
        <w:rPr>
          <w:rFonts w:ascii="Arial" w:cs="Arial" w:eastAsia="Arial" w:hAnsi="Arial"/>
          <w:sz w:val="18"/>
          <w:szCs w:val="18"/>
          <w:color w:val="auto"/>
        </w:rPr>
        <w:t>Riverview Group LLC</w:t>
      </w:r>
    </w:p>
    <w:p>
      <w:pPr>
        <w:spacing w:after="0" w:line="15" w:lineRule="exact"/>
        <w:rPr>
          <w:rFonts w:ascii="Arial" w:cs="Arial" w:eastAsia="Arial" w:hAnsi="Arial"/>
          <w:sz w:val="18"/>
          <w:szCs w:val="18"/>
          <w:color w:val="auto"/>
        </w:rPr>
      </w:pPr>
    </w:p>
    <w:p>
      <w:pPr>
        <w:ind w:left="1180" w:right="4280"/>
        <w:spacing w:after="0" w:line="250" w:lineRule="auto"/>
        <w:rPr>
          <w:rFonts w:ascii="Arial" w:cs="Arial" w:eastAsia="Arial" w:hAnsi="Arial"/>
          <w:sz w:val="18"/>
          <w:szCs w:val="18"/>
          <w:color w:val="auto"/>
        </w:rPr>
      </w:pPr>
      <w:r>
        <w:rPr>
          <w:rFonts w:ascii="Arial" w:cs="Arial" w:eastAsia="Arial" w:hAnsi="Arial"/>
          <w:sz w:val="18"/>
          <w:szCs w:val="18"/>
          <w:color w:val="auto"/>
        </w:rPr>
        <w:t>c/o Millennium Management LLC 666 Fifth Avenue</w:t>
      </w:r>
    </w:p>
    <w:p>
      <w:pPr>
        <w:ind w:left="1180" w:right="470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10103 Citizenship: Delaware</w:t>
      </w:r>
    </w:p>
    <w:p>
      <w:pPr>
        <w:spacing w:after="0" w:line="146" w:lineRule="exact"/>
        <w:rPr>
          <w:rFonts w:ascii="Arial" w:cs="Arial" w:eastAsia="Arial" w:hAnsi="Arial"/>
          <w:sz w:val="18"/>
          <w:szCs w:val="18"/>
          <w:color w:val="auto"/>
        </w:rPr>
      </w:pPr>
    </w:p>
    <w:p>
      <w:pPr>
        <w:ind w:left="1180"/>
        <w:spacing w:after="0"/>
        <w:rPr>
          <w:rFonts w:ascii="Arial" w:cs="Arial" w:eastAsia="Arial" w:hAnsi="Arial"/>
          <w:sz w:val="18"/>
          <w:szCs w:val="18"/>
          <w:color w:val="auto"/>
        </w:rPr>
      </w:pPr>
      <w:r>
        <w:rPr>
          <w:rFonts w:ascii="Arial" w:cs="Arial" w:eastAsia="Arial" w:hAnsi="Arial"/>
          <w:sz w:val="18"/>
          <w:szCs w:val="18"/>
          <w:color w:val="auto"/>
        </w:rPr>
        <w:t>Integrated Assets II LLC</w:t>
      </w:r>
    </w:p>
    <w:p>
      <w:pPr>
        <w:spacing w:after="0" w:line="15" w:lineRule="exact"/>
        <w:rPr>
          <w:rFonts w:ascii="Arial" w:cs="Arial" w:eastAsia="Arial" w:hAnsi="Arial"/>
          <w:sz w:val="18"/>
          <w:szCs w:val="18"/>
          <w:color w:val="auto"/>
        </w:rPr>
      </w:pPr>
    </w:p>
    <w:p>
      <w:pPr>
        <w:ind w:left="1180" w:right="3460"/>
        <w:spacing w:after="0" w:line="250" w:lineRule="auto"/>
        <w:rPr>
          <w:rFonts w:ascii="Arial" w:cs="Arial" w:eastAsia="Arial" w:hAnsi="Arial"/>
          <w:sz w:val="18"/>
          <w:szCs w:val="18"/>
          <w:color w:val="auto"/>
        </w:rPr>
      </w:pPr>
      <w:r>
        <w:rPr>
          <w:rFonts w:ascii="Arial" w:cs="Arial" w:eastAsia="Arial" w:hAnsi="Arial"/>
          <w:sz w:val="18"/>
          <w:szCs w:val="18"/>
          <w:color w:val="auto"/>
        </w:rPr>
        <w:t>c/o Millennium International Management LP 666 Fifth Avenue</w:t>
      </w:r>
    </w:p>
    <w:p>
      <w:pPr>
        <w:jc w:val="both"/>
        <w:ind w:left="1180" w:right="468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10103 Citizenship: Cayman Islands</w:t>
      </w:r>
    </w:p>
    <w:p>
      <w:pPr>
        <w:spacing w:after="0" w:line="146" w:lineRule="exact"/>
        <w:rPr>
          <w:rFonts w:ascii="Arial" w:cs="Arial" w:eastAsia="Arial" w:hAnsi="Arial"/>
          <w:sz w:val="18"/>
          <w:szCs w:val="18"/>
          <w:color w:val="auto"/>
        </w:rPr>
      </w:pPr>
    </w:p>
    <w:p>
      <w:pPr>
        <w:ind w:left="1180" w:right="3720"/>
        <w:spacing w:after="0" w:line="254" w:lineRule="auto"/>
        <w:rPr>
          <w:rFonts w:ascii="Arial" w:cs="Arial" w:eastAsia="Arial" w:hAnsi="Arial"/>
          <w:sz w:val="18"/>
          <w:szCs w:val="18"/>
          <w:color w:val="auto"/>
        </w:rPr>
      </w:pPr>
      <w:r>
        <w:rPr>
          <w:rFonts w:ascii="Arial" w:cs="Arial" w:eastAsia="Arial" w:hAnsi="Arial"/>
          <w:sz w:val="18"/>
          <w:szCs w:val="18"/>
          <w:color w:val="auto"/>
        </w:rPr>
        <w:t>Millennium International Management LP 666 Fifth Avenue</w:t>
      </w:r>
    </w:p>
    <w:p>
      <w:pPr>
        <w:ind w:left="1180" w:right="470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10103 Citizenship: Delaware</w:t>
      </w:r>
    </w:p>
    <w:p>
      <w:pPr>
        <w:spacing w:after="0" w:line="146" w:lineRule="exact"/>
        <w:rPr>
          <w:rFonts w:ascii="Arial" w:cs="Arial" w:eastAsia="Arial" w:hAnsi="Arial"/>
          <w:sz w:val="18"/>
          <w:szCs w:val="18"/>
          <w:color w:val="auto"/>
        </w:rPr>
      </w:pPr>
    </w:p>
    <w:p>
      <w:pPr>
        <w:ind w:left="1180" w:right="4540"/>
        <w:spacing w:after="0" w:line="254" w:lineRule="auto"/>
        <w:rPr>
          <w:rFonts w:ascii="Arial" w:cs="Arial" w:eastAsia="Arial" w:hAnsi="Arial"/>
          <w:sz w:val="18"/>
          <w:szCs w:val="18"/>
          <w:color w:val="auto"/>
        </w:rPr>
      </w:pPr>
      <w:r>
        <w:rPr>
          <w:rFonts w:ascii="Arial" w:cs="Arial" w:eastAsia="Arial" w:hAnsi="Arial"/>
          <w:sz w:val="18"/>
          <w:szCs w:val="18"/>
          <w:color w:val="auto"/>
        </w:rPr>
        <w:t>Millennium Management LLC 666 Fifth Avenue</w:t>
      </w:r>
    </w:p>
    <w:p>
      <w:pPr>
        <w:ind w:left="1180" w:right="470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10103 Citizenship: Delaware</w:t>
      </w:r>
    </w:p>
    <w:p>
      <w:pPr>
        <w:spacing w:after="0" w:line="146" w:lineRule="exact"/>
        <w:rPr>
          <w:rFonts w:ascii="Arial" w:cs="Arial" w:eastAsia="Arial" w:hAnsi="Arial"/>
          <w:sz w:val="18"/>
          <w:szCs w:val="18"/>
          <w:color w:val="auto"/>
        </w:rPr>
      </w:pPr>
    </w:p>
    <w:p>
      <w:pPr>
        <w:ind w:left="1180" w:right="4040"/>
        <w:spacing w:after="0" w:line="254" w:lineRule="auto"/>
        <w:rPr>
          <w:rFonts w:ascii="Arial" w:cs="Arial" w:eastAsia="Arial" w:hAnsi="Arial"/>
          <w:sz w:val="18"/>
          <w:szCs w:val="18"/>
          <w:color w:val="auto"/>
        </w:rPr>
      </w:pPr>
      <w:r>
        <w:rPr>
          <w:rFonts w:ascii="Arial" w:cs="Arial" w:eastAsia="Arial" w:hAnsi="Arial"/>
          <w:sz w:val="18"/>
          <w:szCs w:val="18"/>
          <w:color w:val="auto"/>
        </w:rPr>
        <w:t>Millennium Group Management LLC 666 Fifth Avenue</w:t>
      </w:r>
    </w:p>
    <w:p>
      <w:pPr>
        <w:ind w:left="1180" w:right="470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10103 Citizenship: Delaware</w:t>
      </w:r>
    </w:p>
    <w:p>
      <w:pPr>
        <w:spacing w:after="0" w:line="146" w:lineRule="exact"/>
        <w:rPr>
          <w:rFonts w:ascii="Arial" w:cs="Arial" w:eastAsia="Arial" w:hAnsi="Arial"/>
          <w:sz w:val="18"/>
          <w:szCs w:val="18"/>
          <w:color w:val="auto"/>
        </w:rPr>
      </w:pPr>
    </w:p>
    <w:p>
      <w:pPr>
        <w:ind w:left="1180"/>
        <w:spacing w:after="0"/>
        <w:rPr>
          <w:rFonts w:ascii="Arial" w:cs="Arial" w:eastAsia="Arial" w:hAnsi="Arial"/>
          <w:sz w:val="18"/>
          <w:szCs w:val="18"/>
          <w:color w:val="auto"/>
        </w:rPr>
      </w:pPr>
      <w:r>
        <w:rPr>
          <w:rFonts w:ascii="Arial" w:cs="Arial" w:eastAsia="Arial" w:hAnsi="Arial"/>
          <w:sz w:val="18"/>
          <w:szCs w:val="18"/>
          <w:color w:val="auto"/>
        </w:rPr>
        <w:t>Israel A. Englander</w:t>
      </w:r>
    </w:p>
    <w:p>
      <w:pPr>
        <w:spacing w:after="0" w:line="15" w:lineRule="exact"/>
        <w:rPr>
          <w:rFonts w:ascii="Arial" w:cs="Arial" w:eastAsia="Arial" w:hAnsi="Arial"/>
          <w:sz w:val="18"/>
          <w:szCs w:val="18"/>
          <w:color w:val="auto"/>
        </w:rPr>
      </w:pPr>
    </w:p>
    <w:p>
      <w:pPr>
        <w:ind w:left="1180" w:right="4280"/>
        <w:spacing w:after="0" w:line="250" w:lineRule="auto"/>
        <w:rPr>
          <w:rFonts w:ascii="Arial" w:cs="Arial" w:eastAsia="Arial" w:hAnsi="Arial"/>
          <w:sz w:val="18"/>
          <w:szCs w:val="18"/>
          <w:color w:val="auto"/>
        </w:rPr>
      </w:pPr>
      <w:r>
        <w:rPr>
          <w:rFonts w:ascii="Arial" w:cs="Arial" w:eastAsia="Arial" w:hAnsi="Arial"/>
          <w:sz w:val="18"/>
          <w:szCs w:val="18"/>
          <w:color w:val="auto"/>
        </w:rPr>
        <w:t>c/o Millennium Management LLC 666 Fifth Avenue</w:t>
      </w:r>
    </w:p>
    <w:p>
      <w:pPr>
        <w:ind w:left="1180" w:right="470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10103 Citizenship: United States</w:t>
      </w:r>
    </w:p>
    <w:p>
      <w:pPr>
        <w:spacing w:after="0" w:line="146" w:lineRule="exact"/>
        <w:rPr>
          <w:rFonts w:ascii="Arial" w:cs="Arial" w:eastAsia="Arial" w:hAnsi="Arial"/>
          <w:sz w:val="18"/>
          <w:szCs w:val="18"/>
          <w:color w:val="auto"/>
        </w:rPr>
      </w:pPr>
    </w:p>
    <w:p>
      <w:pPr>
        <w:ind w:left="1180" w:hanging="349"/>
        <w:spacing w:after="0"/>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Title of Class of Securities</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1180"/>
        <w:spacing w:after="0"/>
        <w:rPr>
          <w:rFonts w:ascii="Arial" w:cs="Arial" w:eastAsia="Arial" w:hAnsi="Arial"/>
          <w:sz w:val="18"/>
          <w:szCs w:val="18"/>
          <w:color w:val="auto"/>
        </w:rPr>
      </w:pPr>
      <w:r>
        <w:rPr>
          <w:rFonts w:ascii="Arial" w:cs="Arial" w:eastAsia="Arial" w:hAnsi="Arial"/>
          <w:sz w:val="16"/>
          <w:szCs w:val="16"/>
          <w:color w:val="auto"/>
        </w:rPr>
        <w:t>Class A ordinary shares, par value $0.0001 per share ("Class A Ordinary Shares")</w:t>
      </w:r>
    </w:p>
    <w:p>
      <w:pPr>
        <w:spacing w:after="0" w:line="275" w:lineRule="exact"/>
        <w:rPr>
          <w:rFonts w:ascii="Arial" w:cs="Arial" w:eastAsia="Arial" w:hAnsi="Arial"/>
          <w:sz w:val="18"/>
          <w:szCs w:val="18"/>
          <w:color w:val="auto"/>
        </w:rPr>
      </w:pPr>
    </w:p>
    <w:p>
      <w:pPr>
        <w:ind w:left="1180" w:right="5540" w:hanging="349"/>
        <w:spacing w:after="0" w:line="613" w:lineRule="auto"/>
        <w:tabs>
          <w:tab w:leader="none" w:pos="1180"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 xml:space="preserve">CUSIP Number: </w:t>
      </w:r>
      <w:r>
        <w:rPr>
          <w:rFonts w:ascii="Arial" w:cs="Arial" w:eastAsia="Arial" w:hAnsi="Arial"/>
          <w:sz w:val="16"/>
          <w:szCs w:val="16"/>
          <w:color w:val="auto"/>
        </w:rPr>
        <w:t>G8136L106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Page</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-106680</wp:posOffset>
            </wp:positionV>
            <wp:extent cx="552450" cy="1587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52450" cy="1587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of</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-117475</wp:posOffset>
            </wp:positionV>
            <wp:extent cx="570230" cy="1587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0230" cy="158750"/>
                    </a:xfrm>
                    <a:prstGeom prst="rect">
                      <a:avLst/>
                    </a:prstGeom>
                    <a:noFill/>
                  </pic:spPr>
                </pic:pic>
              </a:graphicData>
            </a:graphic>
          </wp:anchor>
        </w:drawing>
      </w:r>
    </w:p>
    <w:p>
      <w:pPr>
        <w:sectPr>
          <w:pgSz w:w="11900" w:h="16838" w:orient="portrait"/>
          <w:cols w:equalWidth="0" w:num="5">
            <w:col w:w="7880" w:space="720"/>
            <w:col w:w="340" w:space="520"/>
            <w:col w:w="80" w:space="500"/>
            <w:col w:w="140" w:space="520"/>
            <w:col w:w="180"/>
          </w:cols>
          <w:pgMar w:left="320" w:top="332" w:right="69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56"/>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ind w:left="580"/>
              <w:spacing w:after="0"/>
              <w:rPr>
                <w:sz w:val="20"/>
                <w:szCs w:val="20"/>
                <w:color w:val="auto"/>
              </w:rPr>
            </w:pPr>
            <w:r>
              <w:rPr>
                <w:rFonts w:ascii="Arial" w:cs="Arial" w:eastAsia="Arial" w:hAnsi="Arial"/>
                <w:sz w:val="18"/>
                <w:szCs w:val="18"/>
                <w:color w:val="auto"/>
              </w:rPr>
              <w:t>G8136L106</w:t>
            </w:r>
          </w:p>
        </w:tc>
        <w:tc>
          <w:tcPr>
            <w:tcW w:w="4520" w:type="dxa"/>
            <w:vAlign w:val="bottom"/>
          </w:tcPr>
          <w:p>
            <w:pPr>
              <w:ind w:left="2140"/>
              <w:spacing w:after="0"/>
              <w:rPr>
                <w:sz w:val="20"/>
                <w:szCs w:val="20"/>
                <w:color w:val="auto"/>
              </w:rPr>
            </w:pPr>
            <w:r>
              <w:rPr>
                <w:rFonts w:ascii="Arial" w:cs="Arial" w:eastAsia="Arial" w:hAnsi="Arial"/>
                <w:sz w:val="18"/>
                <w:szCs w:val="18"/>
                <w:b w:val="1"/>
                <w:bCs w:val="1"/>
                <w:color w:val="auto"/>
              </w:rPr>
              <w:t>SCHEDULE 13G</w:t>
            </w:r>
          </w:p>
        </w:tc>
        <w:tc>
          <w:tcPr>
            <w:tcW w:w="1420" w:type="dxa"/>
            <w:vAlign w:val="bottom"/>
          </w:tcPr>
          <w:p>
            <w:pPr>
              <w:ind w:left="1080"/>
              <w:spacing w:after="0"/>
              <w:rPr>
                <w:sz w:val="20"/>
                <w:szCs w:val="20"/>
                <w:color w:val="auto"/>
              </w:rPr>
            </w:pPr>
            <w:r>
              <w:rPr>
                <w:rFonts w:ascii="Arial" w:cs="Arial" w:eastAsia="Arial" w:hAnsi="Arial"/>
                <w:sz w:val="18"/>
                <w:szCs w:val="18"/>
                <w:color w:val="auto"/>
                <w:w w:val="76"/>
              </w:rPr>
              <w:t>Page</w:t>
            </w:r>
          </w:p>
        </w:tc>
      </w:tr>
    </w:tbl>
    <w:p>
      <w:pPr>
        <w:spacing w:after="0" w:line="3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If this statement is filed pursuant to Rule 13d-1(b), or 13d-2(b), check whether the person filing is a:</w:t>
      </w:r>
    </w:p>
    <w:p>
      <w:pPr>
        <w:spacing w:after="0" w:line="185" w:lineRule="exact"/>
        <w:rPr>
          <w:sz w:val="20"/>
          <w:szCs w:val="20"/>
          <w:color w:val="auto"/>
        </w:rPr>
      </w:pPr>
    </w:p>
    <w:p>
      <w:pPr>
        <w:ind w:left="920" w:hanging="453"/>
        <w:spacing w:after="0"/>
        <w:tabs>
          <w:tab w:leader="none" w:pos="9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5"/>
          <w:szCs w:val="15"/>
          <w:color w:val="auto"/>
        </w:rPr>
        <w:t>Broker or dealer registered under section 15 of the Act (15 U.S.C. 78o);</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5"/>
          <w:szCs w:val="15"/>
          <w:color w:val="auto"/>
        </w:rPr>
        <w:t>Insurance company as defined in section 3(a)(19) of the Act (15 U.S.C. 78c);</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5"/>
          <w:szCs w:val="15"/>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investment adviser in accordance with §240.13d-1(b)(1)(ii)(E);</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wp:posOffset>
            </wp:positionH>
            <wp:positionV relativeFrom="paragraph">
              <wp:posOffset>-121285</wp:posOffset>
            </wp:positionV>
            <wp:extent cx="578485" cy="1581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8485" cy="1581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of</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-117475</wp:posOffset>
            </wp:positionV>
            <wp:extent cx="578485" cy="1581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8485" cy="158115"/>
                    </a:xfrm>
                    <a:prstGeom prst="rect">
                      <a:avLst/>
                    </a:prstGeom>
                    <a:noFill/>
                  </pic:spPr>
                </pic:pic>
              </a:graphicData>
            </a:graphic>
          </wp:anchor>
        </w:drawing>
      </w:r>
    </w:p>
    <w:p>
      <w:pPr>
        <w:sectPr>
          <w:pgSz w:w="11900" w:h="16838" w:orient="portrait"/>
          <w:cols w:equalWidth="0" w:num="4">
            <w:col w:w="8900" w:space="480"/>
            <w:col w:w="180" w:space="460"/>
            <w:col w:w="160" w:space="520"/>
            <w:col w:w="180"/>
          </w:cols>
          <w:pgMar w:left="320" w:top="548" w:right="699" w:bottom="1440" w:gutter="0" w:footer="0" w:header="0"/>
        </w:sectPr>
      </w:pPr>
    </w:p>
    <w:bookmarkStart w:id="10" w:name="page11"/>
    <w:bookmarkEnd w:id="10"/>
    <w:p>
      <w:pPr>
        <w:spacing w:after="0"/>
        <w:rPr>
          <w:sz w:val="20"/>
          <w:szCs w:val="20"/>
          <w:color w:val="auto"/>
        </w:rPr>
      </w:pPr>
      <w:r>
        <w:rPr>
          <w:rFonts w:ascii="Arial" w:cs="Arial" w:eastAsia="Arial" w:hAnsi="Arial"/>
          <w:sz w:val="16"/>
          <w:szCs w:val="16"/>
          <w:color w:val="auto"/>
        </w:rPr>
        <w:t>CUSIP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G8136L106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-121285</wp:posOffset>
            </wp:positionV>
            <wp:extent cx="1298575" cy="1758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98575" cy="1758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3440" w:val="left"/>
        </w:tabs>
        <w:rPr>
          <w:sz w:val="20"/>
          <w:szCs w:val="20"/>
          <w:color w:val="auto"/>
        </w:rPr>
      </w:pP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21"/>
          <w:szCs w:val="21"/>
          <w:color w:val="auto"/>
          <w:vertAlign w:val="superscript"/>
        </w:rPr>
        <w:t>Page</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-121285</wp:posOffset>
            </wp:positionV>
            <wp:extent cx="561340" cy="1587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1340" cy="1587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-117475</wp:posOffset>
            </wp:positionV>
            <wp:extent cx="570230" cy="1587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0230" cy="158750"/>
                    </a:xfrm>
                    <a:prstGeom prst="rect">
                      <a:avLst/>
                    </a:prstGeom>
                    <a:noFill/>
                  </pic:spPr>
                </pic:pic>
              </a:graphicData>
            </a:graphic>
          </wp:anchor>
        </w:drawing>
      </w:r>
    </w:p>
    <w:p>
      <w:pPr>
        <w:spacing w:after="0" w:line="249" w:lineRule="exact"/>
        <w:rPr>
          <w:sz w:val="20"/>
          <w:szCs w:val="20"/>
          <w:color w:val="auto"/>
        </w:rPr>
      </w:pPr>
    </w:p>
    <w:p>
      <w:pPr>
        <w:sectPr>
          <w:pgSz w:w="11900" w:h="16838" w:orient="portrait"/>
          <w:cols w:equalWidth="0" w:num="6">
            <w:col w:w="800" w:space="700"/>
            <w:col w:w="2920" w:space="720"/>
            <w:col w:w="3800" w:space="460"/>
            <w:col w:w="180" w:space="460"/>
            <w:col w:w="140" w:space="520"/>
            <w:col w:w="540"/>
          </w:cols>
          <w:pgMar w:left="320" w:top="347" w:right="339" w:bottom="1440" w:gutter="0" w:footer="0" w:header="0"/>
        </w:sectPr>
      </w:pPr>
    </w:p>
    <w:p>
      <w:pPr>
        <w:spacing w:after="0" w:line="45" w:lineRule="exact"/>
        <w:rPr>
          <w:sz w:val="20"/>
          <w:szCs w:val="20"/>
          <w:color w:val="auto"/>
        </w:rPr>
      </w:pPr>
    </w:p>
    <w:p>
      <w:pPr>
        <w:ind w:left="920" w:hanging="453"/>
        <w:spacing w:after="0"/>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§240.13d-1(b)(1)(ii)(G);</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5"/>
          <w:szCs w:val="15"/>
          <w:color w:val="auto"/>
        </w:rPr>
        <w:t>A savings association as defined in Section 3(b) of the Federal Deposit Insurance Act (12 U.S.C. 1813);</w:t>
      </w:r>
    </w:p>
    <w:p>
      <w:pPr>
        <w:spacing w:after="0" w:line="225" w:lineRule="exact"/>
        <w:rPr>
          <w:rFonts w:ascii="Arial" w:cs="Arial" w:eastAsia="Arial" w:hAnsi="Arial"/>
          <w:sz w:val="18"/>
          <w:szCs w:val="18"/>
          <w:color w:val="auto"/>
        </w:rPr>
      </w:pPr>
    </w:p>
    <w:p>
      <w:pPr>
        <w:ind w:left="1360" w:right="380" w:hanging="893"/>
        <w:spacing w:after="0" w:line="268" w:lineRule="auto"/>
        <w:tabs>
          <w:tab w:leader="none" w:pos="928" w:val="left"/>
        </w:tabs>
        <w:numPr>
          <w:ilvl w:val="0"/>
          <w:numId w:val="19"/>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85" w:lineRule="exact"/>
        <w:rPr>
          <w:rFonts w:ascii="Arial" w:cs="Arial" w:eastAsia="Arial" w:hAnsi="Arial"/>
          <w:sz w:val="18"/>
          <w:szCs w:val="18"/>
          <w:color w:val="auto"/>
        </w:rPr>
      </w:pPr>
    </w:p>
    <w:p>
      <w:pPr>
        <w:ind w:left="920" w:hanging="453"/>
        <w:spacing w:after="0"/>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Group, in accordance with §240.13d-1(b)(1)(ii)(J).</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Ownership</w:t>
      </w:r>
    </w:p>
    <w:p>
      <w:pPr>
        <w:spacing w:after="0" w:line="18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 Amount Beneficially Owned:</w:t>
      </w:r>
    </w:p>
    <w:p>
      <w:pPr>
        <w:spacing w:after="0" w:line="18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As of the close of business on December 31, 2020:</w:t>
      </w:r>
    </w:p>
    <w:p>
      <w:pPr>
        <w:spacing w:after="0" w:line="185" w:lineRule="exact"/>
        <w:rPr>
          <w:sz w:val="20"/>
          <w:szCs w:val="20"/>
          <w:color w:val="auto"/>
        </w:rPr>
      </w:pPr>
    </w:p>
    <w:p>
      <w:pPr>
        <w:ind w:left="300" w:hanging="160"/>
        <w:spacing w:after="0"/>
        <w:tabs>
          <w:tab w:leader="none" w:pos="3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Integrated Core Strategies (US) LLC, a Delaware limited liability company, no longer beneficially owned any of the Issuer’s Class A Ordinary Shares;</w:t>
      </w:r>
    </w:p>
    <w:p>
      <w:pPr>
        <w:spacing w:after="0" w:line="207" w:lineRule="exact"/>
        <w:rPr>
          <w:rFonts w:ascii="Arial" w:cs="Arial" w:eastAsia="Arial" w:hAnsi="Arial"/>
          <w:sz w:val="16"/>
          <w:szCs w:val="16"/>
          <w:color w:val="auto"/>
        </w:rPr>
      </w:pPr>
    </w:p>
    <w:p>
      <w:pPr>
        <w:ind w:left="360" w:hanging="199"/>
        <w:spacing w:after="0"/>
        <w:tabs>
          <w:tab w:leader="none" w:pos="360" w:val="left"/>
        </w:tabs>
        <w:numPr>
          <w:ilvl w:val="1"/>
          <w:numId w:val="20"/>
        </w:numPr>
        <w:rPr>
          <w:rFonts w:ascii="Arial" w:cs="Arial" w:eastAsia="Arial" w:hAnsi="Arial"/>
          <w:sz w:val="16"/>
          <w:szCs w:val="16"/>
          <w:color w:val="auto"/>
        </w:rPr>
      </w:pPr>
      <w:r>
        <w:rPr>
          <w:rFonts w:ascii="Arial" w:cs="Arial" w:eastAsia="Arial" w:hAnsi="Arial"/>
          <w:sz w:val="16"/>
          <w:szCs w:val="16"/>
          <w:color w:val="auto"/>
        </w:rPr>
        <w:t>Riverview Group LLC, a Delaware limited liability company ("Riverview Group"), beneficially owned 648,081 of the Issuer’s Class A Ordinary Shares;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178" w:lineRule="exact"/>
        <w:rPr>
          <w:sz w:val="20"/>
          <w:szCs w:val="20"/>
          <w:color w:val="auto"/>
        </w:rPr>
      </w:pPr>
    </w:p>
    <w:p>
      <w:pPr>
        <w:ind w:left="140"/>
        <w:spacing w:after="0"/>
        <w:rPr>
          <w:sz w:val="20"/>
          <w:szCs w:val="20"/>
          <w:color w:val="auto"/>
        </w:rPr>
      </w:pPr>
      <w:r>
        <w:rPr>
          <w:rFonts w:ascii="Arial" w:cs="Arial" w:eastAsia="Arial" w:hAnsi="Arial"/>
          <w:sz w:val="16"/>
          <w:szCs w:val="16"/>
          <w:color w:val="auto"/>
        </w:rPr>
        <w:t>iii) Integrated Assets II LLC, a Cayman Islands limited liability company, no longer beneficially owned any of the Issuer’s Class A Ordinary Shares.</w:t>
      </w:r>
    </w:p>
    <w:p>
      <w:pPr>
        <w:spacing w:after="0" w:line="208" w:lineRule="exact"/>
        <w:rPr>
          <w:sz w:val="20"/>
          <w:szCs w:val="20"/>
          <w:color w:val="auto"/>
        </w:rPr>
      </w:pPr>
    </w:p>
    <w:p>
      <w:pPr>
        <w:jc w:val="both"/>
        <w:ind w:firstLine="215"/>
        <w:spacing w:after="0" w:line="331" w:lineRule="auto"/>
        <w:rPr>
          <w:sz w:val="20"/>
          <w:szCs w:val="20"/>
          <w:color w:val="auto"/>
        </w:rPr>
      </w:pPr>
      <w:r>
        <w:rPr>
          <w:rFonts w:ascii="Arial" w:cs="Arial" w:eastAsia="Arial" w:hAnsi="Arial"/>
          <w:sz w:val="16"/>
          <w:szCs w:val="16"/>
          <w:color w:val="auto"/>
        </w:rPr>
        <w:t>Millennium Management LLC, a Delaware limited liability company ("Millennium Management"), is the general partner of the managing member of Riverview Group and may be deemed to have shared voting control and investment discretion over securities owned by Riverview Group.</w:t>
      </w:r>
    </w:p>
    <w:p>
      <w:pPr>
        <w:spacing w:after="0" w:line="100" w:lineRule="exact"/>
        <w:rPr>
          <w:sz w:val="20"/>
          <w:szCs w:val="20"/>
          <w:color w:val="auto"/>
        </w:rPr>
      </w:pPr>
    </w:p>
    <w:p>
      <w:pPr>
        <w:jc w:val="both"/>
        <w:ind w:firstLine="172"/>
        <w:spacing w:after="0" w:line="331" w:lineRule="auto"/>
        <w:rPr>
          <w:sz w:val="20"/>
          <w:szCs w:val="20"/>
          <w:color w:val="auto"/>
        </w:rPr>
      </w:pPr>
      <w:r>
        <w:rPr>
          <w:rFonts w:ascii="Arial" w:cs="Arial" w:eastAsia="Arial" w:hAnsi="Arial"/>
          <w:sz w:val="16"/>
          <w:szCs w:val="16"/>
          <w:color w:val="auto"/>
        </w:rPr>
        <w:t>Millennium Group Management LLC, a Delaware limited liability company ("Millennium Group Management"), is the managing member of Millennium Management and may also be deemed to have shared voting control and investment discretion over securities owned by Riverview Group.</w:t>
      </w:r>
    </w:p>
    <w:p>
      <w:pPr>
        <w:spacing w:after="0" w:line="100" w:lineRule="exact"/>
        <w:rPr>
          <w:sz w:val="20"/>
          <w:szCs w:val="20"/>
          <w:color w:val="auto"/>
        </w:rPr>
      </w:pPr>
    </w:p>
    <w:p>
      <w:pPr>
        <w:jc w:val="both"/>
        <w:ind w:firstLine="137"/>
        <w:spacing w:after="0" w:line="259" w:lineRule="auto"/>
        <w:rPr>
          <w:sz w:val="20"/>
          <w:szCs w:val="20"/>
          <w:color w:val="auto"/>
        </w:rPr>
      </w:pPr>
      <w:r>
        <w:rPr>
          <w:rFonts w:ascii="Arial" w:cs="Arial" w:eastAsia="Arial" w:hAnsi="Arial"/>
          <w:sz w:val="18"/>
          <w:szCs w:val="18"/>
          <w:color w:val="auto"/>
        </w:rPr>
        <w:t>The managing member of Millennium Group Management is a trust of which Israel A. Englander, a United States citizen ("Mr. Englander"), currently serves as the sole voting trustee. Therefore, Mr. Englander may also be deemed to have shared voting control and investment discretion over securities owned by Riverview Group.</w:t>
      </w:r>
    </w:p>
    <w:p>
      <w:pPr>
        <w:spacing w:after="0" w:line="153" w:lineRule="exact"/>
        <w:rPr>
          <w:sz w:val="20"/>
          <w:szCs w:val="20"/>
          <w:color w:val="auto"/>
        </w:rPr>
      </w:pPr>
    </w:p>
    <w:p>
      <w:pPr>
        <w:jc w:val="both"/>
        <w:ind w:right="20" w:firstLine="142"/>
        <w:spacing w:after="0" w:line="268" w:lineRule="auto"/>
        <w:rPr>
          <w:sz w:val="20"/>
          <w:szCs w:val="20"/>
          <w:color w:val="auto"/>
        </w:rPr>
      </w:pPr>
      <w:r>
        <w:rPr>
          <w:rFonts w:ascii="Arial" w:cs="Arial" w:eastAsia="Arial" w:hAnsi="Arial"/>
          <w:sz w:val="18"/>
          <w:szCs w:val="18"/>
          <w:color w:val="auto"/>
        </w:rPr>
        <w:t>The foregoing should not be construed in and of itself as an admission by Millennium Management, Millennium Group Management or Mr. Englander as to beneficial ownership of the securities owned by Riverview Group.</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 Percent of Class:</w:t>
      </w:r>
    </w:p>
    <w:p>
      <w:pPr>
        <w:spacing w:after="0" w:line="185" w:lineRule="exact"/>
        <w:rPr>
          <w:sz w:val="20"/>
          <w:szCs w:val="20"/>
          <w:color w:val="auto"/>
        </w:rPr>
      </w:pPr>
    </w:p>
    <w:p>
      <w:pPr>
        <w:jc w:val="both"/>
        <w:ind w:firstLine="214"/>
        <w:spacing w:after="0" w:line="298" w:lineRule="auto"/>
        <w:rPr>
          <w:sz w:val="20"/>
          <w:szCs w:val="20"/>
          <w:color w:val="auto"/>
        </w:rPr>
      </w:pPr>
      <w:r>
        <w:rPr>
          <w:rFonts w:ascii="Arial" w:cs="Arial" w:eastAsia="Arial" w:hAnsi="Arial"/>
          <w:sz w:val="16"/>
          <w:szCs w:val="16"/>
          <w:color w:val="auto"/>
        </w:rPr>
        <w:t>As of the close of business on December 31, 2020, Riverview Group, Millennium Management, Millennium Group Management and Mr. Englander beneficially owned or may be deemed to have beneficially owned, as the case may be, 648,081 of the Issuer’s Class A Ordinary Shares or 2.6% of the Issuer’s Class A Ordinary Shares outstanding (see Item 4(a) above), which percentage was calculated based on 25,000,000 of the Issuer’s Class A Ordinary Shares outstanding as of December 18, 2020, as per the Issuer’s proxy statement filed on December 21, 2020.</w:t>
      </w:r>
    </w:p>
    <w:p>
      <w:pPr>
        <w:sectPr>
          <w:pgSz w:w="11900" w:h="16838" w:orient="portrait"/>
          <w:cols w:equalWidth="0" w:num="1">
            <w:col w:w="11240"/>
          </w:cols>
          <w:pgMar w:left="320" w:top="347"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6"/>
          <w:szCs w:val="16"/>
          <w:color w:val="auto"/>
        </w:rPr>
        <w:t>CUSIP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G8136L106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-121285</wp:posOffset>
            </wp:positionV>
            <wp:extent cx="1298575" cy="1758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98575" cy="1758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3440" w:val="left"/>
        </w:tabs>
        <w:rPr>
          <w:sz w:val="20"/>
          <w:szCs w:val="20"/>
          <w:color w:val="auto"/>
        </w:rPr>
      </w:pP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21"/>
          <w:szCs w:val="21"/>
          <w:color w:val="auto"/>
          <w:vertAlign w:val="superscript"/>
        </w:rPr>
        <w:t>Page</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-121285</wp:posOffset>
            </wp:positionV>
            <wp:extent cx="561340" cy="1587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1340" cy="1587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-117475</wp:posOffset>
            </wp:positionV>
            <wp:extent cx="570230" cy="1587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0230" cy="158750"/>
                    </a:xfrm>
                    <a:prstGeom prst="rect">
                      <a:avLst/>
                    </a:prstGeom>
                    <a:noFill/>
                  </pic:spPr>
                </pic:pic>
              </a:graphicData>
            </a:graphic>
          </wp:anchor>
        </w:drawing>
      </w:r>
    </w:p>
    <w:p>
      <w:pPr>
        <w:spacing w:after="0" w:line="249" w:lineRule="exact"/>
        <w:rPr>
          <w:sz w:val="20"/>
          <w:szCs w:val="20"/>
          <w:color w:val="auto"/>
        </w:rPr>
      </w:pPr>
    </w:p>
    <w:p>
      <w:pPr>
        <w:sectPr>
          <w:pgSz w:w="11900" w:h="16838" w:orient="portrait"/>
          <w:cols w:equalWidth="0" w:num="6">
            <w:col w:w="800" w:space="700"/>
            <w:col w:w="2920" w:space="720"/>
            <w:col w:w="3800" w:space="460"/>
            <w:col w:w="180" w:space="460"/>
            <w:col w:w="140" w:space="520"/>
            <w:col w:w="540"/>
          </w:cols>
          <w:pgMar w:left="320" w:top="347" w:right="339" w:bottom="1440" w:gutter="0" w:footer="0" w:header="0"/>
        </w:sectPr>
      </w:pPr>
    </w:p>
    <w:p>
      <w:pPr>
        <w:spacing w:after="0" w:line="15" w:lineRule="exact"/>
        <w:rPr>
          <w:sz w:val="20"/>
          <w:szCs w:val="20"/>
          <w:color w:val="auto"/>
        </w:rPr>
      </w:pPr>
    </w:p>
    <w:p>
      <w:pPr>
        <w:ind w:left="300" w:hanging="248"/>
        <w:spacing w:after="0"/>
        <w:tabs>
          <w:tab w:leader="none" w:pos="300" w:val="left"/>
        </w:tabs>
        <w:numPr>
          <w:ilvl w:val="0"/>
          <w:numId w:val="21"/>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Number of shares as to which such person has:</w:t>
      </w:r>
    </w:p>
    <w:p>
      <w:pPr>
        <w:spacing w:after="0" w:line="173" w:lineRule="exact"/>
        <w:rPr>
          <w:rFonts w:ascii="Arial" w:cs="Arial" w:eastAsia="Arial" w:hAnsi="Arial"/>
          <w:sz w:val="18"/>
          <w:szCs w:val="18"/>
          <w:u w:val="single" w:color="auto"/>
          <w:color w:val="auto"/>
        </w:rPr>
      </w:pPr>
    </w:p>
    <w:p>
      <w:pPr>
        <w:ind w:left="680" w:right="7740" w:hanging="132"/>
        <w:spacing w:after="0" w:line="453" w:lineRule="auto"/>
        <w:tabs>
          <w:tab w:leader="none" w:pos="758" w:val="left"/>
        </w:tabs>
        <w:numPr>
          <w:ilvl w:val="1"/>
          <w:numId w:val="21"/>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1" w:lineRule="exact"/>
        <w:rPr>
          <w:rFonts w:ascii="Arial" w:cs="Arial" w:eastAsia="Arial" w:hAnsi="Arial"/>
          <w:sz w:val="18"/>
          <w:szCs w:val="18"/>
          <w:color w:val="auto"/>
        </w:rPr>
      </w:pPr>
    </w:p>
    <w:p>
      <w:pPr>
        <w:ind w:left="800" w:hanging="252"/>
        <w:spacing w:after="0"/>
        <w:tabs>
          <w:tab w:leader="none" w:pos="8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18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648,081 (See Item 4(b))</w:t>
      </w:r>
    </w:p>
    <w:p>
      <w:pPr>
        <w:spacing w:after="0" w:line="185" w:lineRule="exact"/>
        <w:rPr>
          <w:sz w:val="20"/>
          <w:szCs w:val="20"/>
          <w:color w:val="auto"/>
        </w:rPr>
      </w:pPr>
    </w:p>
    <w:p>
      <w:pPr>
        <w:ind w:left="900" w:hanging="308"/>
        <w:spacing w:after="0"/>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184"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8"/>
          <w:szCs w:val="18"/>
          <w:color w:val="auto"/>
        </w:rPr>
        <w:t>-0-</w:t>
      </w:r>
    </w:p>
    <w:p>
      <w:pPr>
        <w:spacing w:after="0" w:line="184" w:lineRule="exact"/>
        <w:rPr>
          <w:rFonts w:ascii="Arial" w:cs="Arial" w:eastAsia="Arial" w:hAnsi="Arial"/>
          <w:sz w:val="18"/>
          <w:szCs w:val="18"/>
          <w:color w:val="auto"/>
        </w:rPr>
      </w:pPr>
    </w:p>
    <w:p>
      <w:pPr>
        <w:ind w:left="680" w:right="6600" w:hanging="132"/>
        <w:spacing w:after="0" w:line="453" w:lineRule="auto"/>
        <w:tabs>
          <w:tab w:leader="none" w:pos="846" w:val="left"/>
        </w:tabs>
        <w:numPr>
          <w:ilvl w:val="0"/>
          <w:numId w:val="23"/>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648,081 (See Item 4(b))</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Ownership of Five Percent or Less of a Class</w:t>
      </w:r>
    </w:p>
    <w:p>
      <w:pPr>
        <w:spacing w:after="0" w:line="185" w:lineRule="exact"/>
        <w:rPr>
          <w:sz w:val="20"/>
          <w:szCs w:val="20"/>
          <w:color w:val="auto"/>
        </w:rPr>
      </w:pPr>
    </w:p>
    <w:p>
      <w:pPr>
        <w:jc w:val="both"/>
        <w:ind w:firstLine="140"/>
        <w:spacing w:after="0" w:line="268"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þ.</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Ownership of More than Five Percent on Behalf of Another Person.</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applicable.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Identification and Classification of the Subsidiary Which Acquired the Security Being Reported on By the Parent Holding Company.</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applicable.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Identification and Classification of Members of the Group</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See Exhibit 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Notice of Dissolution of Group</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applicable.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Certification</w:t>
      </w:r>
    </w:p>
    <w:p>
      <w:pPr>
        <w:spacing w:after="0" w:line="185" w:lineRule="exact"/>
        <w:rPr>
          <w:sz w:val="20"/>
          <w:szCs w:val="20"/>
          <w:color w:val="auto"/>
        </w:rPr>
      </w:pPr>
    </w:p>
    <w:p>
      <w:pPr>
        <w:jc w:val="both"/>
        <w:ind w:right="20" w:firstLine="140"/>
        <w:spacing w:after="0" w:line="259" w:lineRule="auto"/>
        <w:rPr>
          <w:sz w:val="20"/>
          <w:szCs w:val="20"/>
          <w:color w:val="auto"/>
        </w:rPr>
      </w:pPr>
      <w:r>
        <w:rPr>
          <w:rFonts w:ascii="Arial" w:cs="Arial" w:eastAsia="Arial" w:hAnsi="Arial"/>
          <w:sz w:val="18"/>
          <w:szCs w:val="18"/>
          <w:color w:val="auto"/>
        </w:rPr>
        <w:t>By signing below each of the undersigned certifies that, to the best of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347"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6"/>
          <w:szCs w:val="16"/>
          <w:color w:val="auto"/>
        </w:rPr>
        <w:t>CUSIP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G8136L106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-121285</wp:posOffset>
            </wp:positionV>
            <wp:extent cx="1298575" cy="1758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98575" cy="1758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3460" w:val="left"/>
        </w:tabs>
        <w:rPr>
          <w:sz w:val="20"/>
          <w:szCs w:val="20"/>
          <w:color w:val="auto"/>
        </w:rPr>
      </w:pP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21"/>
          <w:szCs w:val="21"/>
          <w:color w:val="auto"/>
          <w:vertAlign w:val="superscript"/>
        </w:rPr>
        <w:t>Page</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wp:posOffset>
            </wp:positionH>
            <wp:positionV relativeFrom="paragraph">
              <wp:posOffset>-121285</wp:posOffset>
            </wp:positionV>
            <wp:extent cx="570230" cy="1587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0230" cy="1587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-117475</wp:posOffset>
            </wp:positionV>
            <wp:extent cx="570230" cy="1587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0230" cy="158750"/>
                    </a:xfrm>
                    <a:prstGeom prst="rect">
                      <a:avLst/>
                    </a:prstGeom>
                    <a:noFill/>
                  </pic:spPr>
                </pic:pic>
              </a:graphicData>
            </a:graphic>
          </wp:anchor>
        </w:drawing>
      </w:r>
    </w:p>
    <w:p>
      <w:pPr>
        <w:spacing w:after="0" w:line="249" w:lineRule="exact"/>
        <w:rPr>
          <w:sz w:val="20"/>
          <w:szCs w:val="20"/>
          <w:color w:val="auto"/>
        </w:rPr>
      </w:pPr>
    </w:p>
    <w:p>
      <w:pPr>
        <w:sectPr>
          <w:pgSz w:w="11900" w:h="16838" w:orient="portrait"/>
          <w:cols w:equalWidth="0" w:num="6">
            <w:col w:w="800" w:space="700"/>
            <w:col w:w="2880" w:space="720"/>
            <w:col w:w="3820" w:space="480"/>
            <w:col w:w="180" w:space="460"/>
            <w:col w:w="140" w:space="520"/>
            <w:col w:w="540"/>
          </w:cols>
          <w:pgMar w:left="320" w:top="347" w:right="339" w:bottom="1440" w:gutter="0" w:footer="0" w:header="0"/>
        </w:sectPr>
      </w:pP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Exhibits:</w:t>
      </w:r>
    </w:p>
    <w:p>
      <w:pPr>
        <w:spacing w:after="0" w:line="173" w:lineRule="exact"/>
        <w:rPr>
          <w:sz w:val="20"/>
          <w:szCs w:val="20"/>
          <w:color w:val="auto"/>
        </w:rPr>
      </w:pPr>
    </w:p>
    <w:p>
      <w:pPr>
        <w:spacing w:after="0" w:line="331" w:lineRule="auto"/>
        <w:rPr>
          <w:sz w:val="20"/>
          <w:szCs w:val="20"/>
          <w:color w:val="auto"/>
        </w:rPr>
      </w:pPr>
      <w:r>
        <w:rPr>
          <w:rFonts w:ascii="Arial" w:cs="Arial" w:eastAsia="Arial" w:hAnsi="Arial"/>
          <w:sz w:val="16"/>
          <w:szCs w:val="16"/>
          <w:color w:val="auto"/>
        </w:rPr>
        <w:t>Exhibit I: Joint Filing Agreement, dated as of January 27, 2021, by and among Integrated Core Strategies (US) LLC, Riverview Group LLC, Integrated Assets II LLC, Millennium International Management LP, Millennium Management LLC, Millennium Group Management LLC and Israel A. Englander.</w:t>
      </w:r>
    </w:p>
    <w:p>
      <w:pPr>
        <w:sectPr>
          <w:pgSz w:w="11900" w:h="16838" w:orient="portrait"/>
          <w:cols w:equalWidth="0" w:num="1">
            <w:col w:w="11240"/>
          </w:cols>
          <w:pgMar w:left="320" w:top="347"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6"/>
          <w:szCs w:val="16"/>
          <w:color w:val="auto"/>
        </w:rPr>
        <w:t>CUSIP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G8136L106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-121285</wp:posOffset>
            </wp:positionV>
            <wp:extent cx="1298575" cy="1758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98575" cy="1758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3460" w:val="left"/>
        </w:tabs>
        <w:rPr>
          <w:sz w:val="20"/>
          <w:szCs w:val="20"/>
          <w:color w:val="auto"/>
        </w:rPr>
      </w:pP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21"/>
          <w:szCs w:val="21"/>
          <w:color w:val="auto"/>
          <w:vertAlign w:val="superscript"/>
        </w:rPr>
        <w:t>Page</w:t>
      </w:r>
    </w:p>
    <w:p>
      <w:pPr>
        <w:spacing w:after="0" w:line="235" w:lineRule="exact"/>
        <w:rPr>
          <w:sz w:val="20"/>
          <w:szCs w:val="20"/>
          <w:color w:val="auto"/>
        </w:rPr>
      </w:pPr>
    </w:p>
    <w:p>
      <w:pPr>
        <w:jc w:val="center"/>
        <w:ind w:right="2500"/>
        <w:spacing w:after="0"/>
        <w:rPr>
          <w:sz w:val="20"/>
          <w:szCs w:val="20"/>
          <w:color w:val="auto"/>
        </w:rPr>
      </w:pPr>
      <w:r>
        <w:rPr>
          <w:rFonts w:ascii="Arial" w:cs="Arial" w:eastAsia="Arial" w:hAnsi="Arial"/>
          <w:sz w:val="18"/>
          <w:szCs w:val="18"/>
          <w:b w:val="1"/>
          <w:bCs w:val="1"/>
          <w:color w:val="auto"/>
        </w:rPr>
        <w:t>SIGNATURE</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-121285</wp:posOffset>
            </wp:positionV>
            <wp:extent cx="561340" cy="1587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1340" cy="1587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-117475</wp:posOffset>
            </wp:positionV>
            <wp:extent cx="570230" cy="1587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0230" cy="158750"/>
                    </a:xfrm>
                    <a:prstGeom prst="rect">
                      <a:avLst/>
                    </a:prstGeom>
                    <a:noFill/>
                  </pic:spPr>
                </pic:pic>
              </a:graphicData>
            </a:graphic>
          </wp:anchor>
        </w:drawing>
      </w:r>
    </w:p>
    <w:p>
      <w:pPr>
        <w:spacing w:after="0" w:line="685" w:lineRule="exact"/>
        <w:rPr>
          <w:sz w:val="20"/>
          <w:szCs w:val="20"/>
          <w:color w:val="auto"/>
        </w:rPr>
      </w:pPr>
    </w:p>
    <w:p>
      <w:pPr>
        <w:sectPr>
          <w:pgSz w:w="11900" w:h="16838" w:orient="portrait"/>
          <w:cols w:equalWidth="0" w:num="6">
            <w:col w:w="800" w:space="700"/>
            <w:col w:w="2900" w:space="720"/>
            <w:col w:w="3820" w:space="460"/>
            <w:col w:w="180" w:space="460"/>
            <w:col w:w="140" w:space="520"/>
            <w:col w:w="540"/>
          </w:cols>
          <w:pgMar w:left="320" w:top="347" w:right="339" w:bottom="991" w:gutter="0" w:footer="0" w:header="0"/>
        </w:sectPr>
      </w:pPr>
    </w:p>
    <w:p>
      <w:pPr>
        <w:spacing w:after="0" w:line="268" w:lineRule="auto"/>
        <w:rPr>
          <w:sz w:val="20"/>
          <w:szCs w:val="20"/>
          <w:color w:val="auto"/>
        </w:rPr>
      </w:pPr>
      <w:r>
        <w:rPr>
          <w:rFonts w:ascii="Arial" w:cs="Arial" w:eastAsia="Arial" w:hAnsi="Arial"/>
          <w:sz w:val="18"/>
          <w:szCs w:val="18"/>
          <w:color w:val="auto"/>
        </w:rPr>
        <w:t>After reasonable inquiry and to the best of its knowledge and belief, each of the undersigned certifies that the information with respect to it set forth in this statement is true, complete, and correct.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Dated: January 27, 2021</w:t>
      </w:r>
    </w:p>
    <w:p>
      <w:pPr>
        <w:spacing w:after="0" w:line="21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INTEGRATED CORE STRATEGIES (US)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Integrated Holding Group LP,</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Managing Member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Millennium Management LLC,</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General Partner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RIVERVIEW GROUP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Integrated Holding Group LP,</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Managing Member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Millennium Management LLC,</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General Partner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INTEGRATED ASSETS II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Millennium International Management LP,</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Investment Manager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MILLENNIUM INTERNATIONAL MANAGEMENT LP</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MILLENNIUM MANAGEMENT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MILLENNIUM GROUP MANAGEMENT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/s/ 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Israel A. Englander</w:t>
      </w:r>
    </w:p>
    <w:p>
      <w:pPr>
        <w:sectPr>
          <w:pgSz w:w="11900" w:h="16838" w:orient="portrait"/>
          <w:cols w:equalWidth="0" w:num="1">
            <w:col w:w="11240"/>
          </w:cols>
          <w:pgMar w:left="320" w:top="347" w:right="339" w:bottom="991" w:gutter="0" w:footer="0" w:header="0"/>
          <w:type w:val="continuous"/>
        </w:sectPr>
      </w:pPr>
    </w:p>
    <w:bookmarkStart w:id="14" w:name="page15"/>
    <w:bookmarkEnd w:id="14"/>
    <w:p>
      <w:pPr>
        <w:spacing w:after="0"/>
        <w:rPr>
          <w:sz w:val="20"/>
          <w:szCs w:val="20"/>
          <w:color w:val="auto"/>
        </w:rPr>
      </w:pPr>
      <w:r>
        <w:rPr>
          <w:rFonts w:ascii="Arial" w:cs="Arial" w:eastAsia="Arial" w:hAnsi="Arial"/>
          <w:sz w:val="16"/>
          <w:szCs w:val="16"/>
          <w:color w:val="auto"/>
        </w:rPr>
        <w:t>CUSIP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G8136L106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-121285</wp:posOffset>
            </wp:positionV>
            <wp:extent cx="1298575" cy="1758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98575" cy="1758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tabs>
          <w:tab w:leader="none" w:pos="320" w:val="left"/>
        </w:tabs>
        <w:rPr>
          <w:sz w:val="20"/>
          <w:szCs w:val="20"/>
          <w:color w:val="auto"/>
        </w:rPr>
      </w:pP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21"/>
          <w:szCs w:val="21"/>
          <w:color w:val="auto"/>
          <w:vertAlign w:val="superscript"/>
        </w:rPr>
        <w:t>Page</w:t>
      </w:r>
    </w:p>
    <w:p>
      <w:pPr>
        <w:spacing w:after="0" w:line="235" w:lineRule="exact"/>
        <w:rPr>
          <w:sz w:val="20"/>
          <w:szCs w:val="20"/>
          <w:color w:val="auto"/>
        </w:rPr>
      </w:pPr>
    </w:p>
    <w:p>
      <w:pPr>
        <w:jc w:val="center"/>
        <w:ind w:right="1960"/>
        <w:spacing w:after="0"/>
        <w:rPr>
          <w:sz w:val="20"/>
          <w:szCs w:val="20"/>
          <w:color w:val="auto"/>
        </w:rPr>
      </w:pPr>
      <w:r>
        <w:rPr>
          <w:rFonts w:ascii="Arial" w:cs="Arial" w:eastAsia="Arial" w:hAnsi="Arial"/>
          <w:sz w:val="18"/>
          <w:szCs w:val="18"/>
          <w:b w:val="1"/>
          <w:bCs w:val="1"/>
          <w:color w:val="auto"/>
        </w:rPr>
        <w:t>EXHIBIT I</w:t>
      </w:r>
    </w:p>
    <w:p>
      <w:pPr>
        <w:spacing w:after="0" w:line="229" w:lineRule="exact"/>
        <w:rPr>
          <w:sz w:val="20"/>
          <w:szCs w:val="20"/>
          <w:color w:val="auto"/>
        </w:rPr>
      </w:pPr>
    </w:p>
    <w:p>
      <w:pPr>
        <w:jc w:val="center"/>
        <w:ind w:right="1960"/>
        <w:spacing w:after="0"/>
        <w:rPr>
          <w:sz w:val="20"/>
          <w:szCs w:val="20"/>
          <w:color w:val="auto"/>
        </w:rPr>
      </w:pPr>
      <w:r>
        <w:rPr>
          <w:rFonts w:ascii="Arial" w:cs="Arial" w:eastAsia="Arial" w:hAnsi="Arial"/>
          <w:sz w:val="18"/>
          <w:szCs w:val="18"/>
          <w:b w:val="1"/>
          <w:bCs w:val="1"/>
          <w:color w:val="auto"/>
        </w:rPr>
        <w:t>JOINT FILING AGREEMENT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-121285</wp:posOffset>
            </wp:positionV>
            <wp:extent cx="561340" cy="1587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1340" cy="1587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-117475</wp:posOffset>
            </wp:positionV>
            <wp:extent cx="570230" cy="1587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0230" cy="158750"/>
                    </a:xfrm>
                    <a:prstGeom prst="rect">
                      <a:avLst/>
                    </a:prstGeom>
                    <a:noFill/>
                  </pic:spPr>
                </pic:pic>
              </a:graphicData>
            </a:graphic>
          </wp:anchor>
        </w:drawing>
      </w:r>
    </w:p>
    <w:p>
      <w:pPr>
        <w:spacing w:after="0" w:line="1127" w:lineRule="exact"/>
        <w:rPr>
          <w:sz w:val="20"/>
          <w:szCs w:val="20"/>
          <w:color w:val="auto"/>
        </w:rPr>
      </w:pPr>
    </w:p>
    <w:p>
      <w:pPr>
        <w:sectPr>
          <w:pgSz w:w="11900" w:h="16838" w:orient="portrait"/>
          <w:cols w:equalWidth="0" w:num="6">
            <w:col w:w="800" w:space="700"/>
            <w:col w:w="2360" w:space="720"/>
            <w:col w:w="4360" w:space="460"/>
            <w:col w:w="180" w:space="460"/>
            <w:col w:w="140" w:space="520"/>
            <w:col w:w="540"/>
          </w:cols>
          <w:pgMar w:left="320" w:top="347" w:right="339" w:bottom="0" w:gutter="0" w:footer="0" w:header="0"/>
        </w:sectPr>
      </w:pPr>
    </w:p>
    <w:p>
      <w:pPr>
        <w:spacing w:after="0" w:line="1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This will confirm the agreement by and among the undersigned that the Schedule 13G filed with the Securities and Exchange Commission on or about the date hereof with respect to the beneficial ownership by the undersigned of the Class A Ordinary Shares, par value $0.0001 per share, of Silver Spike Acquisition Corp., a Cayman Islands exempted company,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Dated: January 27, 2021</w:t>
      </w:r>
    </w:p>
    <w:p>
      <w:pPr>
        <w:spacing w:after="0" w:line="204"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INTEGRATED CORE STRATEGIES (US)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Integrated Holding Group LP,</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Managing Member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Millennium Management LLC,</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General Partner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RIVERVIEW GROUP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Integrated Holding Group LP,</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Managing Member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Millennium Management LLC,</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General Partner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INTEGRATED ASSETS II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Millennium International Management LP,</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Investment Manager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MILLENNIUM INTERNATIONAL MANAGEMENT LP</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MILLENNIUM MANAGEMENT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MILLENNIUM GROUP MANAGEMENT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/s/ 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Israel A. Englander</w:t>
      </w:r>
    </w:p>
    <w:p>
      <w:pPr>
        <w:sectPr>
          <w:pgSz w:w="11900" w:h="16838" w:orient="portrait"/>
          <w:cols w:equalWidth="0" w:num="1">
            <w:col w:w="11240"/>
          </w:cols>
          <w:pgMar w:left="320" w:top="347" w:right="339" w:bottom="0" w:gutter="0" w:footer="0" w:header="0"/>
          <w:type w:val="continuous"/>
        </w:sectPr>
      </w:pPr>
    </w:p>
    <w:bookmarkStart w:id="15" w:name="page16"/>
    <w:bookmarkEnd w:id="1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lvl w:ilvl="1">
      <w:lvlJc w:val="left"/>
      <w:lvlText w:val="☑"/>
      <w:numFmt w:val="bullet"/>
      <w:start w:val="1"/>
    </w:lvl>
  </w:abstractNum>
  <w:abstractNum w:abstractNumId="1">
    <w:nsid w:val="140E0F76"/>
    <w:multiLevelType w:val="hybridMultilevel"/>
    <w:lvl w:ilvl="0">
      <w:lvlJc w:val="left"/>
      <w:lvlText w:val="2"/>
      <w:numFmt w:val="bullet"/>
      <w:start w:val="1"/>
    </w:lvl>
    <w:lvl w:ilvl="1">
      <w:lvlJc w:val="left"/>
      <w:lvlText w:val="(%2)"/>
      <w:numFmt w:val="lowerLetter"/>
      <w:start w:val="2"/>
    </w:lvl>
  </w:abstractNum>
  <w:abstractNum w:abstractNumId="2">
    <w:nsid w:val="3352255A"/>
    <w:multiLevelType w:val="hybridMultilevel"/>
    <w:lvl w:ilvl="0">
      <w:lvlJc w:val="left"/>
      <w:lvlText w:val="3"/>
      <w:numFmt w:val="bullet"/>
      <w:start w:val="1"/>
    </w:lvl>
  </w:abstractNum>
  <w:abstractNum w:abstractNumId="3">
    <w:nsid w:val="109CF92E"/>
    <w:multiLevelType w:val="hybridMultilevel"/>
    <w:lvl w:ilvl="0">
      <w:lvlJc w:val="left"/>
      <w:lvlText w:val="2"/>
      <w:numFmt w:val="bullet"/>
      <w:start w:val="1"/>
    </w:lvl>
    <w:lvl w:ilvl="1">
      <w:lvlJc w:val="left"/>
      <w:lvlText w:val="(%2)"/>
      <w:numFmt w:val="lowerLetter"/>
      <w:start w:val="2"/>
    </w:lvl>
  </w:abstractNum>
  <w:abstractNum w:abstractNumId="4">
    <w:nsid w:val="DED7263"/>
    <w:multiLevelType w:val="hybridMultilevel"/>
    <w:lvl w:ilvl="0">
      <w:lvlJc w:val="left"/>
      <w:lvlText w:val="3"/>
      <w:numFmt w:val="bullet"/>
      <w:start w:val="1"/>
    </w:lvl>
  </w:abstractNum>
  <w:abstractNum w:abstractNumId="5">
    <w:nsid w:val="7FDCC233"/>
    <w:multiLevelType w:val="hybridMultilevel"/>
    <w:lvl w:ilvl="0">
      <w:lvlJc w:val="left"/>
      <w:lvlText w:val="2"/>
      <w:numFmt w:val="bullet"/>
      <w:start w:val="1"/>
    </w:lvl>
    <w:lvl w:ilvl="1">
      <w:lvlJc w:val="left"/>
      <w:lvlText w:val="(%2)"/>
      <w:numFmt w:val="lowerLetter"/>
      <w:start w:val="2"/>
    </w:lvl>
  </w:abstractNum>
  <w:abstractNum w:abstractNumId="6">
    <w:nsid w:val="1BEFD79F"/>
    <w:multiLevelType w:val="hybridMultilevel"/>
    <w:lvl w:ilvl="0">
      <w:lvlJc w:val="left"/>
      <w:lvlText w:val="3"/>
      <w:numFmt w:val="bullet"/>
      <w:start w:val="1"/>
    </w:lvl>
  </w:abstractNum>
  <w:abstractNum w:abstractNumId="7">
    <w:nsid w:val="41A7C4C9"/>
    <w:multiLevelType w:val="hybridMultilevel"/>
    <w:lvl w:ilvl="0">
      <w:lvlJc w:val="left"/>
      <w:lvlText w:val="2"/>
      <w:numFmt w:val="bullet"/>
      <w:start w:val="1"/>
    </w:lvl>
    <w:lvl w:ilvl="1">
      <w:lvlJc w:val="left"/>
      <w:lvlText w:val="(%2)"/>
      <w:numFmt w:val="lowerLetter"/>
      <w:start w:val="2"/>
    </w:lvl>
  </w:abstractNum>
  <w:abstractNum w:abstractNumId="8">
    <w:nsid w:val="6B68079A"/>
    <w:multiLevelType w:val="hybridMultilevel"/>
    <w:lvl w:ilvl="0">
      <w:lvlJc w:val="left"/>
      <w:lvlText w:val="3"/>
      <w:numFmt w:val="bullet"/>
      <w:start w:val="1"/>
    </w:lvl>
  </w:abstractNum>
  <w:abstractNum w:abstractNumId="9">
    <w:nsid w:val="4E6AFB66"/>
    <w:multiLevelType w:val="hybridMultilevel"/>
    <w:lvl w:ilvl="0">
      <w:lvlJc w:val="left"/>
      <w:lvlText w:val="2"/>
      <w:numFmt w:val="bullet"/>
      <w:start w:val="1"/>
    </w:lvl>
    <w:lvl w:ilvl="1">
      <w:lvlJc w:val="left"/>
      <w:lvlText w:val="(%2)"/>
      <w:numFmt w:val="lowerLetter"/>
      <w:start w:val="2"/>
    </w:lvl>
  </w:abstractNum>
  <w:abstractNum w:abstractNumId="10">
    <w:nsid w:val="25E45D32"/>
    <w:multiLevelType w:val="hybridMultilevel"/>
    <w:lvl w:ilvl="0">
      <w:lvlJc w:val="left"/>
      <w:lvlText w:val="3"/>
      <w:numFmt w:val="bullet"/>
      <w:start w:val="1"/>
    </w:lvl>
  </w:abstractNum>
  <w:abstractNum w:abstractNumId="11">
    <w:nsid w:val="519B500D"/>
    <w:multiLevelType w:val="hybridMultilevel"/>
    <w:lvl w:ilvl="0">
      <w:lvlJc w:val="left"/>
      <w:lvlText w:val="2"/>
      <w:numFmt w:val="bullet"/>
      <w:start w:val="1"/>
    </w:lvl>
    <w:lvl w:ilvl="1">
      <w:lvlJc w:val="left"/>
      <w:lvlText w:val="(%2)"/>
      <w:numFmt w:val="lowerLetter"/>
      <w:start w:val="2"/>
    </w:lvl>
  </w:abstractNum>
  <w:abstractNum w:abstractNumId="12">
    <w:nsid w:val="431BD7B7"/>
    <w:multiLevelType w:val="hybridMultilevel"/>
    <w:lvl w:ilvl="0">
      <w:lvlJc w:val="left"/>
      <w:lvlText w:val="3"/>
      <w:numFmt w:val="bullet"/>
      <w:start w:val="1"/>
    </w:lvl>
  </w:abstractNum>
  <w:abstractNum w:abstractNumId="13">
    <w:nsid w:val="3F2DBA31"/>
    <w:multiLevelType w:val="hybridMultilevel"/>
    <w:lvl w:ilvl="0">
      <w:lvlJc w:val="left"/>
      <w:lvlText w:val="2"/>
      <w:numFmt w:val="bullet"/>
      <w:start w:val="1"/>
    </w:lvl>
    <w:lvl w:ilvl="1">
      <w:lvlJc w:val="left"/>
      <w:lvlText w:val="(%2)"/>
      <w:numFmt w:val="lowerLetter"/>
      <w:start w:val="2"/>
    </w:lvl>
  </w:abstractNum>
  <w:abstractNum w:abstractNumId="14">
    <w:nsid w:val="7C83E458"/>
    <w:multiLevelType w:val="hybridMultilevel"/>
    <w:lvl w:ilvl="0">
      <w:lvlJc w:val="left"/>
      <w:lvlText w:val="3"/>
      <w:numFmt w:val="bullet"/>
      <w:start w:val="1"/>
    </w:lvl>
  </w:abstractNum>
  <w:abstractNum w:abstractNumId="15">
    <w:nsid w:val="257130A3"/>
    <w:multiLevelType w:val="hybridMultilevel"/>
    <w:lvl w:ilvl="0">
      <w:lvlJc w:val="left"/>
      <w:lvlText w:val="(%1)"/>
      <w:numFmt w:val="lowerLetter"/>
      <w:start w:val="1"/>
    </w:lvl>
  </w:abstractNum>
  <w:abstractNum w:abstractNumId="16">
    <w:nsid w:val="62BBD95A"/>
    <w:multiLevelType w:val="hybridMultilevel"/>
    <w:lvl w:ilvl="0">
      <w:lvlJc w:val="left"/>
      <w:lvlText w:val="(%1)"/>
      <w:numFmt w:val="lowerLetter"/>
      <w:start w:val="2"/>
    </w:lvl>
  </w:abstractNum>
  <w:abstractNum w:abstractNumId="17">
    <w:nsid w:val="436C6125"/>
    <w:multiLevelType w:val="hybridMultilevel"/>
    <w:lvl w:ilvl="0">
      <w:lvlJc w:val="left"/>
      <w:lvlText w:val="(%1)"/>
      <w:numFmt w:val="lowerLetter"/>
      <w:start w:val="1"/>
    </w:lvl>
  </w:abstractNum>
  <w:abstractNum w:abstractNumId="18">
    <w:nsid w:val="628C895D"/>
    <w:multiLevelType w:val="hybridMultilevel"/>
    <w:lvl w:ilvl="0">
      <w:lvlJc w:val="left"/>
      <w:lvlText w:val="(%1)"/>
      <w:numFmt w:val="lowerLetter"/>
      <w:start w:val="7"/>
    </w:lvl>
  </w:abstractNum>
  <w:abstractNum w:abstractNumId="19">
    <w:nsid w:val="333AB105"/>
    <w:multiLevelType w:val="hybridMultilevel"/>
    <w:lvl w:ilvl="0">
      <w:lvlJc w:val="left"/>
      <w:lvlText w:val="%1)"/>
      <w:numFmt w:val="lowerRoman"/>
      <w:start w:val="1"/>
    </w:lvl>
    <w:lvl w:ilvl="1">
      <w:lvlJc w:val="left"/>
      <w:lvlText w:val="%2)"/>
      <w:numFmt w:val="lowerRoman"/>
      <w:start w:val="2"/>
    </w:lvl>
  </w:abstractNum>
  <w:abstractNum w:abstractNumId="20">
    <w:nsid w:val="721DA317"/>
    <w:multiLevelType w:val="hybridMultilevel"/>
    <w:lvl w:ilvl="0">
      <w:lvlJc w:val="left"/>
      <w:lvlText w:val="(%1)"/>
      <w:numFmt w:val="lowerLetter"/>
      <w:start w:val="3"/>
    </w:lvl>
    <w:lvl w:ilvl="1">
      <w:lvlJc w:val="left"/>
      <w:lvlText w:val="(%2)"/>
      <w:numFmt w:val="lowerRoman"/>
      <w:start w:val="1"/>
    </w:lvl>
  </w:abstractNum>
  <w:abstractNum w:abstractNumId="21">
    <w:nsid w:val="2443A858"/>
    <w:multiLevelType w:val="hybridMultilevel"/>
    <w:lvl w:ilvl="0">
      <w:lvlJc w:val="left"/>
      <w:lvlText w:val="%1"/>
      <w:numFmt w:val="lowerRoman"/>
      <w:start w:val="1"/>
    </w:lvl>
    <w:lvl w:ilvl="1">
      <w:lvlJc w:val="left"/>
      <w:lvlText w:val="(%2)"/>
      <w:numFmt w:val="lowerRoman"/>
      <w:start w:val="3"/>
    </w:lvl>
  </w:abstractNum>
  <w:abstractNum w:abstractNumId="22">
    <w:nsid w:val="2D1D5AE9"/>
    <w:multiLevelType w:val="hybridMultilevel"/>
    <w:lvl w:ilvl="0">
      <w:lvlJc w:val="left"/>
      <w:lvlText w:val="(%1)"/>
      <w:numFmt w:val="lowerRoman"/>
      <w:start w:val="4"/>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2021-01-28T15:24:55Z</dcterms:created>
  <dcterms:modified xsi:type="dcterms:W3CDTF">2021-01-28T15:24:55Z</dcterms:modified>
</cp:coreProperties>
</file>