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4"/>
          <w:szCs w:val="24"/>
          <w:color w:val="auto"/>
        </w:rPr>
      </w:pPr>
    </w:p>
    <w:p>
      <w:pPr>
        <w:spacing w:after="0" w:line="235"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22, 2025</w:t>
      </w:r>
    </w:p>
    <w:p>
      <w:pPr>
        <w:spacing w:after="0" w:line="3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36830</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97155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93"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2"/>
          <w:szCs w:val="22"/>
          <w:b w:val="1"/>
          <w:bCs w:val="1"/>
          <w:color w:val="auto"/>
        </w:rPr>
        <w:t>POST-EFFECTIVE AMENDMENT NO. 8</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TO</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FORM S-1</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ON</w:t>
      </w:r>
    </w:p>
    <w:p>
      <w:pPr>
        <w:spacing w:after="0" w:line="3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FORM S-3</w:t>
      </w:r>
    </w:p>
    <w:p>
      <w:pPr>
        <w:spacing w:after="0" w:line="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ACT OF 1933</w:t>
      </w:r>
    </w:p>
    <w:p>
      <w:pPr>
        <w:spacing w:after="0" w:line="5"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6"/>
          <w:szCs w:val="36"/>
          <w:b w:val="1"/>
          <w:bCs w:val="1"/>
          <w:color w:val="auto"/>
        </w:rPr>
        <w:t>WM Technology, Inc.</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1"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310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00" w:type="dxa"/>
            <w:vAlign w:val="bottom"/>
            <w:gridSpan w:val="2"/>
          </w:tcPr>
          <w:p>
            <w:pPr>
              <w:jc w:val="right"/>
              <w:ind w:right="1316"/>
              <w:spacing w:after="0"/>
              <w:rPr>
                <w:sz w:val="20"/>
                <w:szCs w:val="20"/>
                <w:color w:val="auto"/>
              </w:rPr>
            </w:pPr>
            <w:r>
              <w:rPr>
                <w:rFonts w:ascii="Times New Roman" w:cs="Times New Roman" w:eastAsia="Times New Roman" w:hAnsi="Times New Roman"/>
                <w:sz w:val="14"/>
                <w:szCs w:val="14"/>
                <w:b w:val="1"/>
                <w:bCs w:val="1"/>
                <w:color w:val="auto"/>
              </w:rPr>
              <w:t>7372</w:t>
            </w:r>
          </w:p>
        </w:tc>
        <w:tc>
          <w:tcPr>
            <w:tcW w:w="3320" w:type="dxa"/>
            <w:vAlign w:val="bottom"/>
            <w:gridSpan w:val="2"/>
          </w:tcPr>
          <w:p>
            <w:pPr>
              <w:jc w:val="right"/>
              <w:ind w:right="1116"/>
              <w:spacing w:after="0"/>
              <w:rPr>
                <w:sz w:val="20"/>
                <w:szCs w:val="20"/>
                <w:color w:val="auto"/>
              </w:rPr>
            </w:pPr>
            <w:r>
              <w:rPr>
                <w:rFonts w:ascii="Times New Roman" w:cs="Times New Roman" w:eastAsia="Times New Roman" w:hAnsi="Times New Roman"/>
                <w:sz w:val="14"/>
                <w:szCs w:val="14"/>
                <w:b w:val="1"/>
                <w:bCs w:val="1"/>
                <w:color w:val="auto"/>
              </w:rPr>
              <w:t>98-1605615</w:t>
            </w:r>
          </w:p>
        </w:tc>
      </w:tr>
      <w:tr>
        <w:trPr>
          <w:trHeight w:val="177"/>
        </w:trPr>
        <w:tc>
          <w:tcPr>
            <w:tcW w:w="3100" w:type="dxa"/>
            <w:vAlign w:val="bottom"/>
            <w:tcBorders>
              <w:top w:val="single" w:sz="8" w:color="auto"/>
            </w:tcBorders>
          </w:tcPr>
          <w:p>
            <w:pPr>
              <w:ind w:left="540"/>
              <w:spacing w:after="0" w:line="177"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220" w:type="dxa"/>
            <w:vAlign w:val="bottom"/>
          </w:tcPr>
          <w:p>
            <w:pPr>
              <w:spacing w:after="0"/>
              <w:rPr>
                <w:sz w:val="15"/>
                <w:szCs w:val="15"/>
                <w:color w:val="auto"/>
              </w:rPr>
            </w:pPr>
          </w:p>
        </w:tc>
        <w:tc>
          <w:tcPr>
            <w:tcW w:w="3080" w:type="dxa"/>
            <w:vAlign w:val="bottom"/>
            <w:tcBorders>
              <w:top w:val="single" w:sz="8" w:color="auto"/>
            </w:tcBorders>
          </w:tcPr>
          <w:p>
            <w:pPr>
              <w:ind w:left="560"/>
              <w:spacing w:after="0" w:line="177" w:lineRule="exact"/>
              <w:rPr>
                <w:sz w:val="20"/>
                <w:szCs w:val="20"/>
                <w:color w:val="auto"/>
              </w:rPr>
            </w:pPr>
            <w:r>
              <w:rPr>
                <w:rFonts w:ascii="Times New Roman" w:cs="Times New Roman" w:eastAsia="Times New Roman" w:hAnsi="Times New Roman"/>
                <w:sz w:val="17"/>
                <w:szCs w:val="17"/>
                <w:color w:val="auto"/>
              </w:rPr>
              <w:t>(Primary Standard Industrial</w:t>
            </w:r>
          </w:p>
        </w:tc>
        <w:tc>
          <w:tcPr>
            <w:tcW w:w="220" w:type="dxa"/>
            <w:vAlign w:val="bottom"/>
          </w:tcPr>
          <w:p>
            <w:pPr>
              <w:spacing w:after="0"/>
              <w:rPr>
                <w:sz w:val="15"/>
                <w:szCs w:val="15"/>
                <w:color w:val="auto"/>
              </w:rPr>
            </w:pPr>
          </w:p>
        </w:tc>
        <w:tc>
          <w:tcPr>
            <w:tcW w:w="3100" w:type="dxa"/>
            <w:vAlign w:val="bottom"/>
            <w:tcBorders>
              <w:top w:val="single" w:sz="8" w:color="auto"/>
            </w:tcBorders>
          </w:tcPr>
          <w:p>
            <w:pPr>
              <w:ind w:left="960"/>
              <w:spacing w:after="0" w:line="177" w:lineRule="exact"/>
              <w:rPr>
                <w:sz w:val="20"/>
                <w:szCs w:val="20"/>
                <w:color w:val="auto"/>
              </w:rPr>
            </w:pPr>
            <w:r>
              <w:rPr>
                <w:rFonts w:ascii="Times New Roman" w:cs="Times New Roman" w:eastAsia="Times New Roman" w:hAnsi="Times New Roman"/>
                <w:sz w:val="17"/>
                <w:szCs w:val="17"/>
                <w:color w:val="auto"/>
              </w:rPr>
              <w:t>(I.R.S. Employer</w:t>
            </w:r>
          </w:p>
        </w:tc>
      </w:tr>
      <w:tr>
        <w:trPr>
          <w:trHeight w:val="217"/>
        </w:trPr>
        <w:tc>
          <w:tcPr>
            <w:tcW w:w="31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220" w:type="dxa"/>
            <w:vAlign w:val="bottom"/>
          </w:tcPr>
          <w:p>
            <w:pPr>
              <w:spacing w:after="0"/>
              <w:rPr>
                <w:sz w:val="18"/>
                <w:szCs w:val="18"/>
                <w:color w:val="auto"/>
              </w:rPr>
            </w:pPr>
          </w:p>
        </w:tc>
        <w:tc>
          <w:tcPr>
            <w:tcW w:w="30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Classification Code No.)</w:t>
            </w:r>
          </w:p>
        </w:tc>
        <w:tc>
          <w:tcPr>
            <w:tcW w:w="220" w:type="dxa"/>
            <w:vAlign w:val="bottom"/>
          </w:tcPr>
          <w:p>
            <w:pPr>
              <w:spacing w:after="0"/>
              <w:rPr>
                <w:sz w:val="18"/>
                <w:szCs w:val="18"/>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Identification No.)</w:t>
            </w:r>
          </w:p>
        </w:tc>
      </w:tr>
    </w:tbl>
    <w:p>
      <w:pPr>
        <w:spacing w:after="0" w:line="89" w:lineRule="exact"/>
        <w:rPr>
          <w:sz w:val="24"/>
          <w:szCs w:val="24"/>
          <w:color w:val="auto"/>
        </w:rPr>
      </w:pPr>
    </w:p>
    <w:p>
      <w:pPr>
        <w:ind w:left="4600" w:hanging="214"/>
        <w:spacing w:after="0"/>
        <w:tabs>
          <w:tab w:leader="none" w:pos="4600" w:val="left"/>
        </w:tabs>
        <w:numPr>
          <w:ilvl w:val="0"/>
          <w:numId w:val="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Discovery</w:t>
      </w:r>
    </w:p>
    <w:p>
      <w:pPr>
        <w:spacing w:after="0" w:line="25" w:lineRule="exact"/>
        <w:rPr>
          <w:rFonts w:ascii="Times New Roman" w:cs="Times New Roman" w:eastAsia="Times New Roman" w:hAnsi="Times New Roman"/>
          <w:sz w:val="17"/>
          <w:szCs w:val="17"/>
          <w:b w:val="1"/>
          <w:bCs w:val="1"/>
          <w:color w:val="auto"/>
        </w:rPr>
      </w:pPr>
    </w:p>
    <w:p>
      <w:pPr>
        <w:ind w:left="3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Irvine, California 92618</w:t>
      </w:r>
    </w:p>
    <w:p>
      <w:pPr>
        <w:spacing w:after="0" w:line="7" w:lineRule="exact"/>
        <w:rPr>
          <w:rFonts w:ascii="Times New Roman" w:cs="Times New Roman" w:eastAsia="Times New Roman" w:hAnsi="Times New Roman"/>
          <w:sz w:val="17"/>
          <w:szCs w:val="17"/>
          <w:b w:val="1"/>
          <w:bCs w:val="1"/>
          <w:color w:val="auto"/>
        </w:rPr>
      </w:pPr>
    </w:p>
    <w:p>
      <w:pPr>
        <w:ind w:left="41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Tel: (844) 933-3627</w:t>
      </w:r>
    </w:p>
    <w:p>
      <w:pPr>
        <w:spacing w:after="0" w:line="7" w:lineRule="exact"/>
        <w:rPr>
          <w:sz w:val="24"/>
          <w:szCs w:val="24"/>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(Address, Including Zip Code, and Telephone Number, Including Area Code, of Registrant’s Principal Executive Offices)</w:t>
      </w:r>
    </w:p>
    <w:p>
      <w:pPr>
        <w:spacing w:after="0" w:line="4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Brian Camire</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General Counsel</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WM Technology, Inc.</w:t>
      </w:r>
    </w:p>
    <w:p>
      <w:pPr>
        <w:spacing w:after="0" w:line="7" w:lineRule="exact"/>
        <w:rPr>
          <w:sz w:val="24"/>
          <w:szCs w:val="24"/>
          <w:color w:val="auto"/>
        </w:rPr>
      </w:pPr>
    </w:p>
    <w:p>
      <w:pPr>
        <w:ind w:left="4600" w:hanging="214"/>
        <w:spacing w:after="0"/>
        <w:tabs>
          <w:tab w:leader="none" w:pos="4600" w:val="left"/>
        </w:tabs>
        <w:numPr>
          <w:ilvl w:val="0"/>
          <w:numId w:val="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Discovery</w:t>
      </w:r>
    </w:p>
    <w:p>
      <w:pPr>
        <w:spacing w:after="0" w:line="7" w:lineRule="exact"/>
        <w:rPr>
          <w:rFonts w:ascii="Times New Roman" w:cs="Times New Roman" w:eastAsia="Times New Roman" w:hAnsi="Times New Roman"/>
          <w:sz w:val="17"/>
          <w:szCs w:val="17"/>
          <w:b w:val="1"/>
          <w:bCs w:val="1"/>
          <w:color w:val="auto"/>
        </w:rPr>
      </w:pPr>
    </w:p>
    <w:p>
      <w:pPr>
        <w:ind w:left="39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Irvine, California 92618</w:t>
      </w:r>
    </w:p>
    <w:p>
      <w:pPr>
        <w:spacing w:after="0" w:line="7" w:lineRule="exact"/>
        <w:rPr>
          <w:rFonts w:ascii="Times New Roman" w:cs="Times New Roman" w:eastAsia="Times New Roman" w:hAnsi="Times New Roman"/>
          <w:sz w:val="17"/>
          <w:szCs w:val="17"/>
          <w:b w:val="1"/>
          <w:bCs w:val="1"/>
          <w:color w:val="auto"/>
        </w:rPr>
      </w:pPr>
    </w:p>
    <w:p>
      <w:pPr>
        <w:ind w:left="41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Tel: (844) 933-3627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(Name, Address, Including Zip Code, and Telephone Number, Including Area Code, of Agent for Service)</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Copies to:</w:t>
      </w:r>
    </w:p>
    <w:p>
      <w:pPr>
        <w:spacing w:after="0" w:line="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Dave Peinsipp</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Kristin VanderPas</w:t>
      </w:r>
    </w:p>
    <w:p>
      <w:pPr>
        <w:spacing w:after="0" w:line="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Peter Byrne</w:t>
      </w:r>
    </w:p>
    <w:p>
      <w:pPr>
        <w:spacing w:after="0" w:line="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Cooley LLP</w:t>
      </w:r>
    </w:p>
    <w:p>
      <w:pPr>
        <w:jc w:val="center"/>
        <w:ind w:right="40"/>
        <w:spacing w:after="0" w:line="182" w:lineRule="auto"/>
        <w:rPr>
          <w:sz w:val="20"/>
          <w:szCs w:val="20"/>
          <w:color w:val="auto"/>
        </w:rPr>
      </w:pPr>
      <w:r>
        <w:rPr>
          <w:rFonts w:ascii="Times New Roman" w:cs="Times New Roman" w:eastAsia="Times New Roman" w:hAnsi="Times New Roman"/>
          <w:sz w:val="16"/>
          <w:szCs w:val="16"/>
          <w:b w:val="1"/>
          <w:bCs w:val="1"/>
          <w:color w:val="auto"/>
        </w:rPr>
        <w:t>3 Embarcadero Center, 20</w:t>
      </w:r>
      <w:r>
        <w:rPr>
          <w:rFonts w:ascii="Times New Roman" w:cs="Times New Roman" w:eastAsia="Times New Roman" w:hAnsi="Times New Roman"/>
          <w:sz w:val="25"/>
          <w:szCs w:val="25"/>
          <w:b w:val="1"/>
          <w:bCs w:val="1"/>
          <w:color w:val="auto"/>
          <w:vertAlign w:val="superscript"/>
        </w:rPr>
        <w:t>th</w:t>
      </w:r>
      <w:r>
        <w:rPr>
          <w:rFonts w:ascii="Times New Roman" w:cs="Times New Roman" w:eastAsia="Times New Roman" w:hAnsi="Times New Roman"/>
          <w:sz w:val="16"/>
          <w:szCs w:val="16"/>
          <w:b w:val="1"/>
          <w:bCs w:val="1"/>
          <w:color w:val="auto"/>
        </w:rPr>
        <w:t xml:space="preserve"> Floor</w:t>
      </w: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San Francisco, California 94111</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 (415) 693-2000</w:t>
      </w:r>
    </w:p>
    <w:p>
      <w:pPr>
        <w:spacing w:after="0" w:line="42" w:lineRule="exact"/>
        <w:rPr>
          <w:sz w:val="24"/>
          <w:szCs w:val="24"/>
          <w:color w:val="auto"/>
        </w:rPr>
      </w:pPr>
    </w:p>
    <w:p>
      <w:pPr>
        <w:jc w:val="both"/>
        <w:ind w:firstLine="360"/>
        <w:spacing w:after="0" w:line="280" w:lineRule="auto"/>
        <w:rPr>
          <w:sz w:val="20"/>
          <w:szCs w:val="20"/>
          <w:color w:val="auto"/>
        </w:rPr>
      </w:pPr>
      <w:r>
        <w:rPr>
          <w:rFonts w:ascii="Times New Roman" w:cs="Times New Roman" w:eastAsia="Times New Roman" w:hAnsi="Times New Roman"/>
          <w:sz w:val="17"/>
          <w:szCs w:val="17"/>
          <w:b w:val="1"/>
          <w:bCs w:val="1"/>
          <w:color w:val="auto"/>
        </w:rPr>
        <w:t>Approximate date of commencement of proposed sale to the public: From time to time after the effective date of this registration statement.</w:t>
      </w:r>
    </w:p>
    <w:p>
      <w:pPr>
        <w:spacing w:after="0" w:line="7"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7"/>
          <w:szCs w:val="17"/>
          <w:color w:val="auto"/>
        </w:rPr>
        <w:t>☐</w:t>
      </w:r>
    </w:p>
    <w:p>
      <w:pPr>
        <w:spacing w:after="0" w:line="15" w:lineRule="exact"/>
        <w:rPr>
          <w:sz w:val="24"/>
          <w:szCs w:val="24"/>
          <w:color w:val="auto"/>
        </w:rPr>
      </w:pPr>
    </w:p>
    <w:p>
      <w:pPr>
        <w:jc w:val="both"/>
        <w:ind w:firstLine="360"/>
        <w:spacing w:after="0" w:line="220" w:lineRule="exact"/>
        <w:rPr>
          <w:sz w:val="20"/>
          <w:szCs w:val="20"/>
          <w:color w:val="auto"/>
        </w:rPr>
      </w:pPr>
      <w:r>
        <w:rPr>
          <w:rFonts w:ascii="Times New Roman" w:cs="Times New Roman" w:eastAsia="Times New Roman" w:hAnsi="Times New Roman"/>
          <w:sz w:val="17"/>
          <w:szCs w:val="17"/>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please check the following box. </w:t>
      </w:r>
      <w:r>
        <w:rPr>
          <w:rFonts w:ascii="MS PGothic" w:cs="MS PGothic" w:eastAsia="MS PGothic" w:hAnsi="MS PGothic"/>
          <w:sz w:val="17"/>
          <w:szCs w:val="17"/>
          <w:color w:val="auto"/>
        </w:rPr>
        <w:t>☒</w:t>
      </w:r>
    </w:p>
    <w:p>
      <w:pPr>
        <w:spacing w:after="0" w:line="15"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5"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7"/>
          <w:szCs w:val="17"/>
          <w:color w:val="auto"/>
        </w:rPr>
        <w:t>☐</w:t>
      </w:r>
    </w:p>
    <w:p>
      <w:pPr>
        <w:spacing w:after="0" w:line="15"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7"/>
          <w:szCs w:val="17"/>
          <w:color w:val="auto"/>
        </w:rPr>
        <w:t>☐</w:t>
      </w:r>
    </w:p>
    <w:p>
      <w:pPr>
        <w:spacing w:after="0" w:line="15"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7"/>
          <w:szCs w:val="17"/>
          <w:color w:val="auto"/>
        </w:rPr>
        <w:t>☐</w:t>
      </w:r>
    </w:p>
    <w:p>
      <w:pPr>
        <w:spacing w:after="0" w:line="15" w:lineRule="exact"/>
        <w:rPr>
          <w:sz w:val="24"/>
          <w:szCs w:val="24"/>
          <w:color w:val="auto"/>
        </w:rPr>
      </w:pPr>
    </w:p>
    <w:p>
      <w:pPr>
        <w:jc w:val="both"/>
        <w:ind w:firstLine="360"/>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Securities Exchange Act of 1934:</w:t>
      </w:r>
    </w:p>
    <w:p>
      <w:pPr>
        <w:spacing w:after="0" w:line="5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182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Accelerated filer</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194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1820" w:type="dxa"/>
            <w:vAlign w:val="bottom"/>
          </w:tcPr>
          <w:p>
            <w:pPr>
              <w:ind w:left="440"/>
              <w:spacing w:after="0" w:line="171" w:lineRule="exact"/>
              <w:rPr>
                <w:sz w:val="20"/>
                <w:szCs w:val="20"/>
                <w:color w:val="auto"/>
              </w:rPr>
            </w:pPr>
            <w:r>
              <w:rPr>
                <w:rFonts w:ascii="MS PGothic" w:cs="MS PGothic" w:eastAsia="MS PGothic" w:hAnsi="MS PGothic"/>
                <w:sz w:val="17"/>
                <w:szCs w:val="17"/>
                <w:color w:val="auto"/>
              </w:rPr>
              <w:t>☐</w:t>
            </w:r>
          </w:p>
        </w:tc>
        <w:tc>
          <w:tcPr>
            <w:tcW w:w="332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20" w:type="dxa"/>
            <w:vAlign w:val="bottom"/>
          </w:tcPr>
          <w:p>
            <w:pPr>
              <w:ind w:left="26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1"/>
        </w:trPr>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320" w:type="dxa"/>
            <w:vAlign w:val="bottom"/>
          </w:tcPr>
          <w:p>
            <w:pPr>
              <w:ind w:left="1220"/>
              <w:spacing w:after="0"/>
              <w:rPr>
                <w:sz w:val="20"/>
                <w:szCs w:val="20"/>
                <w:color w:val="auto"/>
              </w:rPr>
            </w:pPr>
            <w:r>
              <w:rPr>
                <w:rFonts w:ascii="Times New Roman" w:cs="Times New Roman" w:eastAsia="Times New Roman" w:hAnsi="Times New Roman"/>
                <w:sz w:val="17"/>
                <w:szCs w:val="17"/>
                <w:color w:val="auto"/>
              </w:rPr>
              <w:t>Emerging growth company</w:t>
            </w:r>
          </w:p>
        </w:tc>
        <w:tc>
          <w:tcPr>
            <w:tcW w:w="420" w:type="dxa"/>
            <w:vAlign w:val="bottom"/>
          </w:tcPr>
          <w:p>
            <w:pPr>
              <w:ind w:left="28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67" w:lineRule="exact"/>
        <w:rPr>
          <w:sz w:val="24"/>
          <w:szCs w:val="24"/>
          <w:color w:val="auto"/>
        </w:rPr>
      </w:pPr>
    </w:p>
    <w:p>
      <w:pPr>
        <w:jc w:val="both"/>
        <w:ind w:firstLine="360"/>
        <w:spacing w:after="0" w:line="229"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7"/>
          <w:szCs w:val="17"/>
          <w:color w:val="auto"/>
        </w:rPr>
        <w:t>☐</w:t>
      </w:r>
    </w:p>
    <w:p>
      <w:pPr>
        <w:spacing w:after="0" w:line="15" w:lineRule="exact"/>
        <w:rPr>
          <w:sz w:val="24"/>
          <w:szCs w:val="24"/>
          <w:color w:val="auto"/>
        </w:rPr>
      </w:pPr>
    </w:p>
    <w:p>
      <w:pPr>
        <w:jc w:val="both"/>
        <w:ind w:firstLine="360"/>
        <w:spacing w:after="0" w:line="257" w:lineRule="auto"/>
        <w:rPr>
          <w:sz w:val="20"/>
          <w:szCs w:val="20"/>
          <w:color w:val="auto"/>
        </w:rPr>
      </w:pPr>
      <w:r>
        <w:rPr>
          <w:rFonts w:ascii="Times New Roman" w:cs="Times New Roman" w:eastAsia="Times New Roman" w:hAnsi="Times New Roman"/>
          <w:sz w:val="17"/>
          <w:szCs w:val="17"/>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140335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200025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r>
    </w:p>
    <w:p>
      <w:pPr>
        <w:sectPr>
          <w:pgSz w:w="11900" w:h="16838" w:orient="portrait"/>
          <w:cols w:equalWidth="0" w:num="1">
            <w:col w:w="9720"/>
          </w:cols>
          <w:pgMar w:left="1080" w:top="223" w:right="1099" w:bottom="6"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88900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WM Technology, Inc., a Delaware corporation (the “Company”), filed a Registration Statement on Form S-1 (as amended and supplemented, the “Registration Statement”) on July 8, 2021 , which was declared effective on July 20, 2021, as amended by (i) Post-Effective Amendment No. 1 to Form S-1, which was filed on March 7, 2022, as further amended by (ii) Post-Effective Amendment No. 2 to Form S-1, which was filed on March 11, 2022. On October 5, 2022, the Company filed Post-Effective Amendment No. 3 to the Form S-1 Registration Statement on Form S-3 to convert the Form S-1 Registration Statement into a registration statement on Form S-3, which was subsequently declared effective by the SEC on October 19, 2022 (the “Form S-3 Registration Statement”).</w:t>
      </w:r>
    </w:p>
    <w:p>
      <w:pPr>
        <w:spacing w:after="0" w:line="8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Post-Effective Amendment No. 4 was filed by the Company on July 29, 2024 to convert the Form S-3 Registration Statement into a registration statement on Form S-1. Post-Effective Amendment No. 5 was filed by the Company on September 3, 2024 to include our unaudited condensed consolidated financial statements as of and for the three and six months ended June 30, 2024. Post-Effective Amendment No. 6 was filed by the Company on December 9, 2024 to include our unaudited condensed consolidated financial statements as of and for the three and nine months ended September 30, 2024. Post-Effective Amendment No. 7 was filed to include our audited consolidated financial statements as of and for the year ended December 31, 2024. This Post-Effective Amendment No. 8 (“Post-Effective Amendment No. 8”) is being filed by the registrant to convert the registration statement on Form S-1 into a registration statement on Form S-3.</w:t>
      </w:r>
    </w:p>
    <w:p>
      <w:pPr>
        <w:spacing w:after="0" w:line="80"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On March 13, 2025, WM Technology, Inc. filed its Annual Report on Form 10-K for fiscal year ended December 31, 2024 (the “Annual Report on Form 10-K”). Interested parties should refer to such Annual Report on Form 10-K for more information.</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form of prospectus included in this Post-Effective Amendment No.8 may be used in one or more offerings by one or more selling stockholders identified in the prospectus contained herein with one or more of the underwriters named therein and with different types and amounts of securities offered.</w:t>
      </w:r>
    </w:p>
    <w:p>
      <w:pPr>
        <w:spacing w:after="0" w:line="68"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The information included in this filing amends the Registration Statement and the prospectus contained therein. No additional securities are being registered under this Post-Effective Amendment No. 8. All applicable registration fees were paid at the time of the original filing of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106045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8" w:lineRule="exact"/>
        <w:rPr>
          <w:sz w:val="20"/>
          <w:szCs w:val="20"/>
          <w:color w:val="auto"/>
        </w:rPr>
      </w:pPr>
    </w:p>
    <w:p>
      <w:pPr>
        <w:ind w:left="400" w:right="439"/>
        <w:spacing w:after="0" w:line="246" w:lineRule="auto"/>
        <w:rPr>
          <w:sz w:val="20"/>
          <w:szCs w:val="20"/>
          <w:color w:val="auto"/>
        </w:rPr>
      </w:pPr>
      <w:r>
        <w:rPr>
          <w:rFonts w:ascii="Arial" w:cs="Arial" w:eastAsia="Arial" w:hAnsi="Arial"/>
          <w:sz w:val="18"/>
          <w:szCs w:val="18"/>
          <w:b w:val="1"/>
          <w:bCs w:val="1"/>
          <w:color w:val="FC0014"/>
        </w:rPr>
        <w:t>The information in this preliminary prospectus is not complete and may be changed. Neither we nor the selling securityholders may sell these securities until the registration statement filed with the Securities and Exchange Commission is effective. This preliminary prospectus is not an offer to sell these securities and is not soliciting an offer to buy these securities in any jurisdiction where the offer or sale is not permitted.</w:t>
      </w:r>
    </w:p>
    <w:p>
      <w:pPr>
        <w:spacing w:after="0" w:line="276" w:lineRule="exact"/>
        <w:rPr>
          <w:sz w:val="20"/>
          <w:szCs w:val="20"/>
          <w:color w:val="auto"/>
        </w:rPr>
      </w:pPr>
    </w:p>
    <w:p>
      <w:pPr>
        <w:ind w:left="400"/>
        <w:spacing w:after="0"/>
        <w:tabs>
          <w:tab w:leader="none" w:pos="3620" w:val="left"/>
        </w:tabs>
        <w:rPr>
          <w:sz w:val="20"/>
          <w:szCs w:val="20"/>
          <w:color w:val="auto"/>
        </w:rPr>
      </w:pPr>
      <w:r>
        <w:rPr>
          <w:rFonts w:ascii="Times New Roman" w:cs="Times New Roman" w:eastAsia="Times New Roman" w:hAnsi="Times New Roman"/>
          <w:sz w:val="18"/>
          <w:szCs w:val="18"/>
          <w:color w:val="FC0014"/>
        </w:rPr>
        <w:t>PRELIMINARY PROSPECTUS</w:t>
      </w:r>
      <w:r>
        <w:rPr>
          <w:sz w:val="20"/>
          <w:szCs w:val="20"/>
          <w:color w:val="auto"/>
        </w:rPr>
        <w:tab/>
      </w:r>
      <w:r>
        <w:rPr>
          <w:rFonts w:ascii="Times New Roman" w:cs="Times New Roman" w:eastAsia="Times New Roman" w:hAnsi="Times New Roman"/>
          <w:sz w:val="17"/>
          <w:szCs w:val="17"/>
          <w:color w:val="FC0014"/>
        </w:rPr>
        <w:t>SUBJECT TO COMPLETION - DATED AUGUST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240030</wp:posOffset>
            </wp:positionV>
            <wp:extent cx="1714500" cy="514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1450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37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110,898,382 Shares of Class A Common Stock</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105,014,011 Shares of Class A Common Stock</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Up to 7,000,000 Warrants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0"/>
          <w:szCs w:val="20"/>
          <w:color w:val="auto"/>
        </w:rPr>
      </w:pPr>
    </w:p>
    <w:p>
      <w:pPr>
        <w:jc w:val="both"/>
        <w:ind w:left="40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0"/>
          <w:szCs w:val="20"/>
          <w:color w:val="auto"/>
        </w:rPr>
      </w:pPr>
    </w:p>
    <w:p>
      <w:pPr>
        <w:jc w:val="both"/>
        <w:ind w:left="400" w:right="419" w:firstLine="360"/>
        <w:spacing w:after="0" w:line="270"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(the “Selling Securityholders”) of up to (a) 105,014,011 shares of Class A Common Stock, consisting of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69" w:lineRule="exact"/>
        <w:rPr>
          <w:sz w:val="20"/>
          <w:szCs w:val="20"/>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August 19, 2025 the closing price of our Class A Common Stock was $1.05 and the closing price for our Public Warrants was $0.0223.</w:t>
      </w:r>
    </w:p>
    <w:p>
      <w:pPr>
        <w:spacing w:after="0" w:line="68"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68" w:lineRule="exact"/>
        <w:rPr>
          <w:sz w:val="20"/>
          <w:szCs w:val="20"/>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ectPr>
          <w:pgSz w:w="11900" w:h="16838" w:orient="portrait"/>
          <w:cols w:equalWidth="0" w:num="1">
            <w:col w:w="9019"/>
          </w:cols>
          <w:pgMar w:left="1440" w:top="2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139700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type w:val="continuous"/>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96"/>
        </w:trPr>
        <w:tc>
          <w:tcPr>
            <w:tcW w:w="812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ABOUT THIS PROSPECTUS</w:t>
            </w:r>
          </w:p>
        </w:tc>
        <w:tc>
          <w:tcPr>
            <w:tcW w:w="28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17"/>
                <w:szCs w:val="17"/>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08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PROSPECTUS SUMMARY</w:t>
            </w:r>
          </w:p>
        </w:tc>
        <w:tc>
          <w:tcPr>
            <w:tcW w:w="6040" w:type="dxa"/>
            <w:vAlign w:val="bottom"/>
            <w:tcBorders>
              <w:bottom w:val="single" w:sz="8" w:color="CCEEFF"/>
            </w:tcBorders>
            <w:gridSpan w:val="8"/>
            <w:shd w:val="clear" w:color="auto" w:fill="CCEEFF"/>
          </w:tcPr>
          <w:p>
            <w:pPr>
              <w:spacing w:after="0"/>
              <w:rPr>
                <w:sz w:val="19"/>
                <w:szCs w:val="19"/>
                <w:color w:val="auto"/>
              </w:rPr>
            </w:pPr>
          </w:p>
        </w:tc>
        <w:tc>
          <w:tcPr>
            <w:tcW w:w="18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4</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THE OFFERING</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RISK FACTORS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USE OF PROCEEDS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223"/>
        </w:trPr>
        <w:tc>
          <w:tcPr>
            <w:tcW w:w="2500" w:type="dxa"/>
            <w:vAlign w:val="bottom"/>
            <w:tcBorders>
              <w:bottom w:val="single" w:sz="8" w:color="0000EE"/>
            </w:tcBorders>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8"/>
              </w:rPr>
              <w:t>SELLING SECURITYHOLDERS</w:t>
            </w:r>
          </w:p>
        </w:tc>
        <w:tc>
          <w:tcPr>
            <w:tcW w:w="5620" w:type="dxa"/>
            <w:vAlign w:val="bottom"/>
            <w:tcBorders>
              <w:bottom w:val="single" w:sz="8" w:color="CCEEFF"/>
            </w:tcBorders>
            <w:gridSpan w:val="6"/>
            <w:shd w:val="clear" w:color="auto" w:fill="CCEEFF"/>
          </w:tcPr>
          <w:p>
            <w:pPr>
              <w:spacing w:after="0"/>
              <w:rPr>
                <w:sz w:val="19"/>
                <w:szCs w:val="19"/>
                <w:color w:val="auto"/>
              </w:rPr>
            </w:pPr>
          </w:p>
        </w:tc>
        <w:tc>
          <w:tcPr>
            <w:tcW w:w="180" w:type="dxa"/>
            <w:vAlign w:val="bottom"/>
            <w:tcBorders>
              <w:bottom w:val="single" w:sz="8" w:color="CCEEFF"/>
            </w:tcBorders>
            <w:gridSpan w:val="3"/>
            <w:shd w:val="clear" w:color="auto" w:fill="CCEEFF"/>
          </w:tcPr>
          <w:p>
            <w:pPr>
              <w:spacing w:after="0"/>
              <w:rPr>
                <w:sz w:val="19"/>
                <w:szCs w:val="19"/>
                <w:color w:val="auto"/>
              </w:rPr>
            </w:pPr>
          </w:p>
        </w:tc>
        <w:tc>
          <w:tcPr>
            <w:tcW w:w="100" w:type="dxa"/>
            <w:vAlign w:val="bottom"/>
            <w:tcBorders>
              <w:bottom w:val="single" w:sz="8" w:color="0000EE"/>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w w:val="88"/>
              </w:rPr>
              <w:t>9</w:t>
            </w:r>
          </w:p>
        </w:tc>
        <w:tc>
          <w:tcPr>
            <w:tcW w:w="20" w:type="dxa"/>
            <w:vAlign w:val="bottom"/>
            <w:tcBorders>
              <w:bottom w:val="single" w:sz="8" w:color="CCEEFF"/>
            </w:tcBorders>
            <w:shd w:val="clear" w:color="auto" w:fill="CCEEFF"/>
          </w:tcPr>
          <w:p>
            <w:pPr>
              <w:spacing w:after="0"/>
              <w:rPr>
                <w:sz w:val="19"/>
                <w:szCs w:val="19"/>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DESCRIPTION OF SECURITIES</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16</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24</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0000EE"/>
            </w:tcBorders>
            <w:shd w:val="clear" w:color="auto" w:fill="CCEEFF"/>
          </w:tcPr>
          <w:p>
            <w:pPr>
              <w:spacing w:after="0"/>
              <w:rPr>
                <w:sz w:val="2"/>
                <w:szCs w:val="2"/>
                <w:color w:val="auto"/>
              </w:rPr>
            </w:pPr>
          </w:p>
        </w:tc>
        <w:tc>
          <w:tcPr>
            <w:tcW w:w="6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576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PLAN OF DISTRIBUTION</w:t>
            </w:r>
          </w:p>
        </w:tc>
        <w:tc>
          <w:tcPr>
            <w:tcW w:w="2360" w:type="dxa"/>
            <w:vAlign w:val="bottom"/>
            <w:gridSpan w:val="2"/>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30</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LEGAL MATTERS</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1300" w:type="dxa"/>
            <w:vAlign w:val="bottom"/>
            <w:tcBorders>
              <w:top w:val="single" w:sz="8" w:color="CCEEFF"/>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4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color w:val="0000EE"/>
              </w:rPr>
              <w:t>EXPERTS</w:t>
            </w:r>
          </w:p>
        </w:tc>
        <w:tc>
          <w:tcPr>
            <w:tcW w:w="6680" w:type="dxa"/>
            <w:vAlign w:val="bottom"/>
            <w:gridSpan w:val="11"/>
          </w:tcPr>
          <w:p>
            <w:pPr>
              <w:spacing w:after="0"/>
              <w:rPr>
                <w:sz w:val="16"/>
                <w:szCs w:val="16"/>
                <w:color w:val="auto"/>
              </w:rPr>
            </w:pP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32</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280" w:type="dxa"/>
            <w:vAlign w:val="bottom"/>
            <w:gridSpan w:val="4"/>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shd w:val="clear" w:color="auto" w:fill="CCEEFF"/>
          </w:tcPr>
          <w:p>
            <w:pPr>
              <w:spacing w:after="0"/>
              <w:rPr>
                <w:sz w:val="16"/>
                <w:szCs w:val="16"/>
                <w:color w:val="auto"/>
              </w:rPr>
            </w:pP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16"/>
          </w:tcPr>
          <w:p>
            <w:pPr>
              <w:spacing w:after="0" w:line="189" w:lineRule="exact"/>
              <w:rPr>
                <w:sz w:val="20"/>
                <w:szCs w:val="20"/>
                <w:color w:val="auto"/>
              </w:rPr>
            </w:pPr>
            <w:r>
              <w:rPr>
                <w:rFonts w:ascii="Times New Roman" w:cs="Times New Roman" w:eastAsia="Times New Roman" w:hAnsi="Times New Roman"/>
                <w:sz w:val="18"/>
                <w:szCs w:val="18"/>
                <w:color w:val="0000EE"/>
              </w:rPr>
              <w:t>INCORPORATION OF CERTAIN INFORMATION BY REFERENCE</w:t>
            </w:r>
          </w:p>
        </w:tc>
        <w:tc>
          <w:tcPr>
            <w:tcW w:w="280" w:type="dxa"/>
            <w:vAlign w:val="bottom"/>
            <w:gridSpan w:val="4"/>
          </w:tcPr>
          <w:p>
            <w:pPr>
              <w:jc w:val="right"/>
              <w:spacing w:after="0" w:line="189" w:lineRule="exact"/>
              <w:rPr>
                <w:sz w:val="20"/>
                <w:szCs w:val="20"/>
                <w:color w:val="auto"/>
              </w:rPr>
            </w:pPr>
            <w:r>
              <w:rPr>
                <w:rFonts w:ascii="Times New Roman" w:cs="Times New Roman" w:eastAsia="Times New Roman" w:hAnsi="Times New Roman"/>
                <w:sz w:val="18"/>
                <w:szCs w:val="18"/>
                <w:color w:val="0000EE"/>
              </w:rPr>
              <w:t>33</w:t>
            </w:r>
          </w:p>
        </w:tc>
        <w:tc>
          <w:tcPr>
            <w:tcW w:w="20" w:type="dxa"/>
            <w:vAlign w:val="bottom"/>
          </w:tcPr>
          <w:p>
            <w:pPr>
              <w:spacing w:after="0"/>
              <w:rPr>
                <w:sz w:val="16"/>
                <w:szCs w:val="16"/>
                <w:color w:val="auto"/>
              </w:rPr>
            </w:pPr>
          </w:p>
        </w:tc>
      </w:tr>
      <w:tr>
        <w:trPr>
          <w:trHeight w:val="34"/>
        </w:trPr>
        <w:tc>
          <w:tcPr>
            <w:tcW w:w="760" w:type="dxa"/>
            <w:vAlign w:val="bottom"/>
            <w:tcBorders>
              <w:top w:val="single" w:sz="8" w:color="0000EE"/>
            </w:tcBorders>
          </w:tcPr>
          <w:p>
            <w:pPr>
              <w:spacing w:after="0"/>
              <w:rPr>
                <w:sz w:val="2"/>
                <w:szCs w:val="2"/>
                <w:color w:val="auto"/>
              </w:rPr>
            </w:pPr>
          </w:p>
        </w:tc>
        <w:tc>
          <w:tcPr>
            <w:tcW w:w="3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8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1300" w:type="dxa"/>
            <w:vAlign w:val="bottom"/>
            <w:tcBorders>
              <w:top w:val="single" w:sz="8" w:color="0000EE"/>
            </w:tcBorders>
          </w:tcPr>
          <w:p>
            <w:pPr>
              <w:spacing w:after="0"/>
              <w:rPr>
                <w:sz w:val="2"/>
                <w:szCs w:val="2"/>
                <w:color w:val="auto"/>
              </w:rPr>
            </w:pPr>
          </w:p>
        </w:tc>
        <w:tc>
          <w:tcPr>
            <w:tcW w:w="840" w:type="dxa"/>
            <w:vAlign w:val="bottom"/>
            <w:tcBorders>
              <w:top w:val="single" w:sz="8" w:color="0000EE"/>
            </w:tcBorders>
          </w:tcPr>
          <w:p>
            <w:pPr>
              <w:spacing w:after="0"/>
              <w:rPr>
                <w:sz w:val="2"/>
                <w:szCs w:val="2"/>
                <w:color w:val="auto"/>
              </w:rPr>
            </w:pPr>
          </w:p>
        </w:tc>
        <w:tc>
          <w:tcPr>
            <w:tcW w:w="520" w:type="dxa"/>
            <w:vAlign w:val="bottom"/>
            <w:tcBorders>
              <w:top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3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r>
      <w:tr>
        <w:trPr>
          <w:trHeight w:val="189"/>
        </w:trPr>
        <w:tc>
          <w:tcPr>
            <w:tcW w:w="8120" w:type="dxa"/>
            <w:vAlign w:val="bottom"/>
            <w:gridSpan w:val="16"/>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PART II INFORMATION NOT REQUIRED IN PROSPECTUS</w:t>
            </w:r>
          </w:p>
        </w:tc>
        <w:tc>
          <w:tcPr>
            <w:tcW w:w="300" w:type="dxa"/>
            <w:vAlign w:val="bottom"/>
            <w:gridSpan w:val="5"/>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0000EE"/>
                <w:w w:val="96"/>
              </w:rPr>
              <w:t>II-1</w:t>
            </w:r>
          </w:p>
        </w:tc>
      </w:tr>
      <w:tr>
        <w:trPr>
          <w:trHeight w:val="34"/>
        </w:trPr>
        <w:tc>
          <w:tcPr>
            <w:tcW w:w="760" w:type="dxa"/>
            <w:vAlign w:val="bottom"/>
            <w:tcBorders>
              <w:top w:val="single" w:sz="8" w:color="0000EE"/>
            </w:tcBorders>
            <w:shd w:val="clear" w:color="auto" w:fill="CCEEFF"/>
          </w:tcPr>
          <w:p>
            <w:pPr>
              <w:spacing w:after="0"/>
              <w:rPr>
                <w:sz w:val="2"/>
                <w:szCs w:val="2"/>
                <w:color w:val="auto"/>
              </w:rPr>
            </w:pPr>
          </w:p>
        </w:tc>
        <w:tc>
          <w:tcPr>
            <w:tcW w:w="3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1300" w:type="dxa"/>
            <w:vAlign w:val="bottom"/>
            <w:tcBorders>
              <w:top w:val="single" w:sz="8" w:color="0000EE"/>
            </w:tcBorders>
            <w:shd w:val="clear" w:color="auto" w:fill="CCEEFF"/>
          </w:tcPr>
          <w:p>
            <w:pPr>
              <w:spacing w:after="0"/>
              <w:rPr>
                <w:sz w:val="2"/>
                <w:szCs w:val="2"/>
                <w:color w:val="auto"/>
              </w:rPr>
            </w:pPr>
          </w:p>
        </w:tc>
        <w:tc>
          <w:tcPr>
            <w:tcW w:w="840" w:type="dxa"/>
            <w:vAlign w:val="bottom"/>
            <w:tcBorders>
              <w:top w:val="single" w:sz="8" w:color="0000EE"/>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6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3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89"/>
        </w:trPr>
        <w:tc>
          <w:tcPr>
            <w:tcW w:w="110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0000EE"/>
                <w:w w:val="96"/>
              </w:rPr>
              <w:t>SIGNATURES</w:t>
            </w:r>
          </w:p>
        </w:tc>
        <w:tc>
          <w:tcPr>
            <w:tcW w:w="3540" w:type="dxa"/>
            <w:vAlign w:val="bottom"/>
            <w:gridSpan w:val="10"/>
          </w:tcPr>
          <w:p>
            <w:pPr>
              <w:spacing w:after="0"/>
              <w:rPr>
                <w:sz w:val="16"/>
                <w:szCs w:val="16"/>
                <w:color w:val="auto"/>
              </w:rPr>
            </w:pPr>
          </w:p>
        </w:tc>
        <w:tc>
          <w:tcPr>
            <w:tcW w:w="3480" w:type="dxa"/>
            <w:vAlign w:val="bottom"/>
            <w:gridSpan w:val="4"/>
          </w:tcPr>
          <w:p>
            <w:pPr>
              <w:spacing w:after="0"/>
              <w:rPr>
                <w:sz w:val="16"/>
                <w:szCs w:val="16"/>
                <w:color w:val="auto"/>
              </w:rPr>
            </w:pPr>
          </w:p>
        </w:tc>
        <w:tc>
          <w:tcPr>
            <w:tcW w:w="300" w:type="dxa"/>
            <w:vAlign w:val="bottom"/>
            <w:gridSpan w:val="5"/>
          </w:tcPr>
          <w:p>
            <w:pPr>
              <w:ind w:left="20"/>
              <w:spacing w:after="0" w:line="189" w:lineRule="exact"/>
              <w:rPr>
                <w:sz w:val="20"/>
                <w:szCs w:val="20"/>
                <w:color w:val="auto"/>
              </w:rPr>
            </w:pPr>
            <w:r>
              <w:rPr>
                <w:rFonts w:ascii="Times New Roman" w:cs="Times New Roman" w:eastAsia="Times New Roman" w:hAnsi="Times New Roman"/>
                <w:sz w:val="18"/>
                <w:szCs w:val="18"/>
                <w:color w:val="0000EE"/>
                <w:w w:val="96"/>
              </w:rPr>
              <w:t>II-5</w:t>
            </w:r>
          </w:p>
        </w:tc>
      </w:tr>
      <w:tr>
        <w:trPr>
          <w:trHeight w:val="20"/>
        </w:trPr>
        <w:tc>
          <w:tcPr>
            <w:tcW w:w="7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2311400</wp:posOffset>
            </wp:positionH>
            <wp:positionV relativeFrom="paragraph">
              <wp:posOffset>165735</wp:posOffset>
            </wp:positionV>
            <wp:extent cx="1097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6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contains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clients and retain existing clients;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right="2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material weaknesses in our internal controls and our ability to remediate any such material weakness on the timing we anticipate, or at all;</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listing on the Nasdaq Stock Market LLC;</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restatement on our reputation and investor confidence in us and the increased possibility of legal proceedings and regulatory inquiries;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58"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macroeconomic conditions, including, but not limited to inflation, tariffs, public health crises, uncertain credit and global financial markets, past and potential future disruptions in access to bank deposits or lending commitments due to bank failures; current and potential future geopolitical events, including the military conflicts between Russia and Ukraine and in the Middle East; and the occurrence of a catastrophic event, including but not limited to severe weather, war, or terrorist attack;</w:t>
      </w:r>
    </w:p>
    <w:p>
      <w:pPr>
        <w:spacing w:after="0" w:line="75"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and hemp industries;</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anticipate and address changes in the end-user market in the cannabis industry;</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two-sided marketplace, including our ability to acquire and retain paying clients;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117"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the documents incorporated by reference herein and any accompanying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5721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3405" cy="572198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Founded in 2008, and headquartered in Irvine, California, WM Technology, Inc. operates a leading online cannabis marketplace for consumers together with a comprehensive set of eCommerce and compliance software solutions for cannabis businesses, which are sold to both storefront locations and delivery operators (“retailers”) and brands in the legalized cannabis markets in states and territories of the United States. Our comprehensive business-to-consumer and business-to-business suite of products afford cannabis retailers and brands of all sizes integrated tools to compliantly run their businesses and to reach, convert, and retain consumers.</w:t>
      </w:r>
    </w:p>
    <w:p>
      <w:pPr>
        <w:spacing w:after="0" w:line="79" w:lineRule="exact"/>
        <w:rPr>
          <w:sz w:val="20"/>
          <w:szCs w:val="20"/>
          <w:color w:val="auto"/>
        </w:rPr>
      </w:pPr>
    </w:p>
    <w:p>
      <w:pPr>
        <w:jc w:val="both"/>
        <w:ind w:left="320" w:right="279" w:firstLine="360"/>
        <w:spacing w:after="0" w:line="255" w:lineRule="auto"/>
        <w:rPr>
          <w:sz w:val="20"/>
          <w:szCs w:val="20"/>
          <w:color w:val="auto"/>
        </w:rPr>
      </w:pPr>
      <w:r>
        <w:rPr>
          <w:rFonts w:ascii="Times New Roman" w:cs="Times New Roman" w:eastAsia="Times New Roman" w:hAnsi="Times New Roman"/>
          <w:sz w:val="18"/>
          <w:szCs w:val="18"/>
          <w:color w:val="auto"/>
        </w:rPr>
        <w:t>Our business primarily consists of our commerce-driven marketplace (“Weedmaps”), and our fully integrated suite of end-to-end Software-as-a-Service solutions software offering. The Weedmaps marketplace is a premier destination for cannabis consumers to discover and browse information regarding cannabis and cannabis products with 5,241 average monthly paying clients during the three months ended June 30, 2025 on the supply-side of our marketplace. These paying clients include retailers, brands and other client types (such as doctors). Further, these clients, who can choose to purchase multiple listings solutions for each business, had purchased approximately 8,600 listing pages as of June 30, 2025.</w:t>
      </w:r>
    </w:p>
    <w:p>
      <w:pPr>
        <w:spacing w:after="0" w:line="3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2594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3405" cy="825944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1320"/>
        <w:spacing w:after="0"/>
        <w:tabs>
          <w:tab w:leader="none" w:pos="6040" w:val="left"/>
          <w:tab w:leader="none" w:pos="6560" w:val="left"/>
          <w:tab w:leader="none" w:pos="7640" w:val="left"/>
          <w:tab w:leader="none" w:pos="8100" w:val="left"/>
          <w:tab w:leader="none" w:pos="8680" w:val="left"/>
          <w:tab w:leader="none" w:pos="930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WM</w:t>
        <w:tab/>
        <w:t>Technology,</w:t>
        <w:tab/>
        <w:t>Inc.</w:t>
        <w:tab/>
        <w:t>(f/k/a</w:t>
        <w:tab/>
        <w:t>Silver</w:t>
      </w:r>
      <w:r>
        <w:rPr>
          <w:sz w:val="20"/>
          <w:szCs w:val="20"/>
          <w:color w:val="auto"/>
        </w:rPr>
        <w:tab/>
      </w:r>
      <w:r>
        <w:rPr>
          <w:rFonts w:ascii="Times New Roman" w:cs="Times New Roman" w:eastAsia="Times New Roman" w:hAnsi="Times New Roman"/>
          <w:sz w:val="17"/>
          <w:szCs w:val="17"/>
          <w:color w:val="auto"/>
        </w:rPr>
        <w:t>Spike</w:t>
      </w:r>
    </w:p>
    <w:p>
      <w:pPr>
        <w:spacing w:after="0" w:line="31"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Acquisition Corp.).</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11020"/>
          </w:cols>
          <w:pgMar w:left="440" w:top="263" w:right="439" w:bottom="1440" w:gutter="0" w:footer="0" w:header="0"/>
        </w:sectPr>
      </w:pP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0" w:right="16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63"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firstLine="2"/>
        <w:spacing w:after="0" w:line="252" w:lineRule="auto"/>
        <w:tabs>
          <w:tab w:leader="none" w:pos="2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107,897,133 shares (as of August 19, 2025).</w:t>
      </w:r>
    </w:p>
    <w:p>
      <w:pPr>
        <w:spacing w:after="0" w:line="200" w:lineRule="exact"/>
        <w:rPr>
          <w:sz w:val="20"/>
          <w:szCs w:val="20"/>
          <w:color w:val="auto"/>
        </w:rPr>
      </w:pPr>
    </w:p>
    <w:p>
      <w:pPr>
        <w:spacing w:after="0" w:line="349" w:lineRule="exact"/>
        <w:rPr>
          <w:sz w:val="20"/>
          <w:szCs w:val="20"/>
          <w:color w:val="auto"/>
        </w:rPr>
      </w:pPr>
    </w:p>
    <w:p>
      <w:pPr>
        <w:ind w:right="1280"/>
        <w:spacing w:after="0" w:line="282" w:lineRule="auto"/>
        <w:rPr>
          <w:sz w:val="20"/>
          <w:szCs w:val="20"/>
          <w:color w:val="auto"/>
        </w:rPr>
      </w:pPr>
      <w:r>
        <w:rPr>
          <w:rFonts w:ascii="Times New Roman" w:cs="Times New Roman" w:eastAsia="Times New Roman" w:hAnsi="Times New Roman"/>
          <w:sz w:val="18"/>
          <w:szCs w:val="18"/>
          <w:color w:val="auto"/>
        </w:rPr>
        <w:t>190,520,380 shares (based on total shares outstanding as of August 19, 2025).</w:t>
      </w:r>
    </w:p>
    <w:p>
      <w:pPr>
        <w:spacing w:after="0" w:line="90" w:lineRule="exact"/>
        <w:rPr>
          <w:sz w:val="20"/>
          <w:szCs w:val="20"/>
          <w:color w:val="auto"/>
        </w:rPr>
      </w:pPr>
    </w:p>
    <w:p>
      <w:pPr>
        <w:sectPr>
          <w:pgSz w:w="11900" w:h="16838" w:orient="portrait"/>
          <w:cols w:equalWidth="0" w:num="2">
            <w:col w:w="5680" w:space="380"/>
            <w:col w:w="496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Exercise Price of Warrants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$11.50  per  share,  subject  to  adjustment  as</w:t>
            </w:r>
          </w:p>
        </w:tc>
        <w:tc>
          <w:tcPr>
            <w:tcW w:w="1040" w:type="dxa"/>
            <w:vAlign w:val="bottom"/>
          </w:tcPr>
          <w:p>
            <w:pPr>
              <w:spacing w:after="0"/>
              <w:rPr>
                <w:sz w:val="19"/>
                <w:szCs w:val="19"/>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described herein.</w:t>
            </w:r>
          </w:p>
        </w:tc>
        <w:tc>
          <w:tcPr>
            <w:tcW w:w="1040" w:type="dxa"/>
            <w:vAlign w:val="bottom"/>
          </w:tcPr>
          <w:p>
            <w:pPr>
              <w:spacing w:after="0"/>
              <w:rPr>
                <w:sz w:val="20"/>
                <w:szCs w:val="20"/>
                <w:color w:val="auto"/>
              </w:rPr>
            </w:pPr>
          </w:p>
        </w:tc>
      </w:tr>
      <w:tr>
        <w:trPr>
          <w:trHeight w:val="346"/>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We  will  receive  up  to  an  aggregate  of</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approximately $224.3 million from the exercise of</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Warrants, assuming the exercise in full of all</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of the Warrants for cash. We expect to use the net</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the exercise of the Warrants for</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general  corporate  purposes.  See  the  section</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entitled “Use of Proceeds.”</w:t>
            </w:r>
          </w:p>
        </w:tc>
        <w:tc>
          <w:tcPr>
            <w:tcW w:w="1040" w:type="dxa"/>
            <w:vAlign w:val="bottom"/>
          </w:tcPr>
          <w:p>
            <w:pPr>
              <w:spacing w:after="0"/>
              <w:rPr>
                <w:sz w:val="20"/>
                <w:szCs w:val="20"/>
                <w:color w:val="auto"/>
              </w:rPr>
            </w:pPr>
          </w:p>
        </w:tc>
      </w:tr>
      <w:tr>
        <w:trPr>
          <w:trHeight w:val="351"/>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02"/>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the Selling</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20"/>
        </w:trPr>
        <w:tc>
          <w:tcPr>
            <w:tcW w:w="1080" w:type="dxa"/>
            <w:vAlign w:val="bottom"/>
          </w:tcPr>
          <w:p>
            <w:pPr>
              <w:spacing w:after="0"/>
              <w:rPr>
                <w:sz w:val="19"/>
                <w:szCs w:val="19"/>
                <w:color w:val="auto"/>
              </w:rPr>
            </w:pPr>
          </w:p>
        </w:tc>
        <w:tc>
          <w:tcPr>
            <w:tcW w:w="47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Securityholders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Up to (i) 105,014,011 shares of Class A Common</w:t>
            </w:r>
          </w:p>
        </w:tc>
        <w:tc>
          <w:tcPr>
            <w:tcW w:w="1040" w:type="dxa"/>
            <w:vAlign w:val="bottom"/>
          </w:tcPr>
          <w:p>
            <w:pPr>
              <w:spacing w:after="0"/>
              <w:rPr>
                <w:sz w:val="19"/>
                <w:szCs w:val="19"/>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consisting of (i) 38,750,000 issued and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outstanding shares of Class A Common Stock,</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(ii) 59,264,011 shares of Class A Common Stock</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issuable  upon  exchange  of  such  Selling</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Securityholder’s Paired Interests or Class P Units</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(iii) 7,000,000 shares of Class A Common</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Stock  issuable  upon  exercise  of  the  Private</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Placement Warrants.</w:t>
            </w:r>
          </w:p>
        </w:tc>
        <w:tc>
          <w:tcPr>
            <w:tcW w:w="1040" w:type="dxa"/>
            <w:vAlign w:val="bottom"/>
          </w:tcPr>
          <w:p>
            <w:pPr>
              <w:spacing w:after="0"/>
              <w:rPr>
                <w:sz w:val="20"/>
                <w:szCs w:val="20"/>
                <w:color w:val="auto"/>
              </w:rPr>
            </w:pPr>
          </w:p>
        </w:tc>
      </w:tr>
      <w:tr>
        <w:trPr>
          <w:trHeight w:val="365"/>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Warrants Offered by the Selling Securityholders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7,000,000 Private Placement Warrants.</w:t>
            </w:r>
          </w:p>
        </w:tc>
        <w:tc>
          <w:tcPr>
            <w:tcW w:w="1040" w:type="dxa"/>
            <w:vAlign w:val="bottom"/>
          </w:tcPr>
          <w:p>
            <w:pPr>
              <w:spacing w:after="0"/>
              <w:rPr>
                <w:sz w:val="24"/>
                <w:szCs w:val="24"/>
                <w:color w:val="auto"/>
              </w:rPr>
            </w:pPr>
          </w:p>
        </w:tc>
      </w:tr>
      <w:tr>
        <w:trPr>
          <w:trHeight w:val="346"/>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Redemption</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Warrants  are  redeemable  in  certain</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circumstances.   See   the   section   entitled</w:t>
            </w:r>
          </w:p>
        </w:tc>
        <w:tc>
          <w:tcPr>
            <w:tcW w:w="104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“Description  of  our  Securities—Warrants”  for</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further discussion.</w:t>
            </w:r>
          </w:p>
        </w:tc>
        <w:tc>
          <w:tcPr>
            <w:tcW w:w="1040" w:type="dxa"/>
            <w:vAlign w:val="bottom"/>
          </w:tcPr>
          <w:p>
            <w:pPr>
              <w:spacing w:after="0"/>
              <w:rPr>
                <w:sz w:val="20"/>
                <w:szCs w:val="20"/>
                <w:color w:val="auto"/>
              </w:rPr>
            </w:pPr>
          </w:p>
        </w:tc>
      </w:tr>
      <w:tr>
        <w:trPr>
          <w:trHeight w:val="333"/>
        </w:trPr>
        <w:tc>
          <w:tcPr>
            <w:tcW w:w="1080" w:type="dxa"/>
            <w:vAlign w:val="bottom"/>
          </w:tcPr>
          <w:p>
            <w:pPr>
              <w:spacing w:after="0"/>
              <w:rPr>
                <w:sz w:val="24"/>
                <w:szCs w:val="24"/>
                <w:color w:val="auto"/>
              </w:rPr>
            </w:pPr>
          </w:p>
        </w:tc>
        <w:tc>
          <w:tcPr>
            <w:tcW w:w="47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Our Class A Common Stock and Public Warrants</w:t>
            </w:r>
          </w:p>
        </w:tc>
        <w:tc>
          <w:tcPr>
            <w:tcW w:w="104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are currently traded on Nasdaq under the symbols</w:t>
            </w:r>
          </w:p>
        </w:tc>
        <w:tc>
          <w:tcPr>
            <w:tcW w:w="104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4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“MAPS” and “MAPSW,” respectively.</w:t>
            </w:r>
          </w:p>
        </w:tc>
        <w:tc>
          <w:tcPr>
            <w:tcW w:w="1040" w:type="dxa"/>
            <w:vAlign w:val="bottom"/>
          </w:tcPr>
          <w:p>
            <w:pPr>
              <w:spacing w:after="0"/>
              <w:rPr>
                <w:sz w:val="20"/>
                <w:szCs w:val="20"/>
                <w:color w:val="auto"/>
              </w:rPr>
            </w:pPr>
          </w:p>
        </w:tc>
      </w:tr>
      <w:tr>
        <w:trPr>
          <w:trHeight w:val="226"/>
        </w:trPr>
        <w:tc>
          <w:tcPr>
            <w:tcW w:w="1080" w:type="dxa"/>
            <w:vAlign w:val="bottom"/>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416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474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5</w:t>
            </w:r>
          </w:p>
        </w:tc>
        <w:tc>
          <w:tcPr>
            <w:tcW w:w="41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10" w:name="page11"/>
    <w:bookmarkEnd w:id="10"/>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565"/>
        </w:trPr>
        <w:tc>
          <w:tcPr>
            <w:tcW w:w="1100" w:type="dxa"/>
            <w:vAlign w:val="bottom"/>
            <w:tcBorders>
              <w:right w:val="single" w:sz="8" w:color="auto"/>
            </w:tcBorders>
          </w:tcPr>
          <w:p>
            <w:pPr>
              <w:spacing w:after="0"/>
              <w:rPr>
                <w:sz w:val="24"/>
                <w:szCs w:val="24"/>
                <w:color w:val="auto"/>
              </w:rPr>
            </w:pPr>
          </w:p>
        </w:tc>
        <w:tc>
          <w:tcPr>
            <w:tcW w:w="2780" w:type="dxa"/>
            <w:vAlign w:val="bottom"/>
            <w:tcBorders>
              <w:top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6100" w:type="dxa"/>
            <w:vAlign w:val="bottom"/>
            <w:tcBorders>
              <w:top w:val="single" w:sz="8" w:color="auto"/>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See the section entitled “Risk Factors,” other</w:t>
            </w:r>
          </w:p>
        </w:tc>
        <w:tc>
          <w:tcPr>
            <w:tcW w:w="1040" w:type="dxa"/>
            <w:vAlign w:val="bottom"/>
          </w:tcPr>
          <w:p>
            <w:pPr>
              <w:spacing w:after="0"/>
              <w:rPr>
                <w:sz w:val="24"/>
                <w:szCs w:val="24"/>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similar  headings  in  any  amendments  or</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supplements to this prospectus and the documents</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incorporated herein by reference, for a discussion</w:t>
            </w:r>
          </w:p>
        </w:tc>
        <w:tc>
          <w:tcPr>
            <w:tcW w:w="1040" w:type="dxa"/>
            <w:vAlign w:val="bottom"/>
          </w:tcPr>
          <w:p>
            <w:pPr>
              <w:spacing w:after="0"/>
              <w:rPr>
                <w:sz w:val="18"/>
                <w:szCs w:val="18"/>
                <w:color w:val="auto"/>
              </w:rPr>
            </w:pPr>
          </w:p>
        </w:tc>
      </w:tr>
      <w:tr>
        <w:trPr>
          <w:trHeight w:val="216"/>
        </w:trPr>
        <w:tc>
          <w:tcPr>
            <w:tcW w:w="1100" w:type="dxa"/>
            <w:vAlign w:val="bottom"/>
            <w:tcBorders>
              <w:right w:val="single" w:sz="8" w:color="auto"/>
            </w:tcBorders>
          </w:tcPr>
          <w:p>
            <w:pPr>
              <w:spacing w:after="0"/>
              <w:rPr>
                <w:sz w:val="18"/>
                <w:szCs w:val="18"/>
                <w:color w:val="auto"/>
              </w:rPr>
            </w:pPr>
          </w:p>
        </w:tc>
        <w:tc>
          <w:tcPr>
            <w:tcW w:w="2780" w:type="dxa"/>
            <w:vAlign w:val="bottom"/>
          </w:tcPr>
          <w:p>
            <w:pPr>
              <w:spacing w:after="0"/>
              <w:rPr>
                <w:sz w:val="18"/>
                <w:szCs w:val="18"/>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of factors you should consider before investing in</w:t>
            </w:r>
          </w:p>
        </w:tc>
        <w:tc>
          <w:tcPr>
            <w:tcW w:w="1040" w:type="dxa"/>
            <w:vAlign w:val="bottom"/>
          </w:tcPr>
          <w:p>
            <w:pPr>
              <w:spacing w:after="0"/>
              <w:rPr>
                <w:sz w:val="18"/>
                <w:szCs w:val="18"/>
                <w:color w:val="auto"/>
              </w:rPr>
            </w:pPr>
          </w:p>
        </w:tc>
      </w:tr>
      <w:tr>
        <w:trPr>
          <w:trHeight w:val="234"/>
        </w:trPr>
        <w:tc>
          <w:tcPr>
            <w:tcW w:w="1100" w:type="dxa"/>
            <w:vAlign w:val="bottom"/>
            <w:tcBorders>
              <w:right w:val="single" w:sz="8" w:color="auto"/>
            </w:tcBorders>
          </w:tcPr>
          <w:p>
            <w:pPr>
              <w:spacing w:after="0"/>
              <w:rPr>
                <w:sz w:val="20"/>
                <w:szCs w:val="20"/>
                <w:color w:val="auto"/>
              </w:rPr>
            </w:pPr>
          </w:p>
        </w:tc>
        <w:tc>
          <w:tcPr>
            <w:tcW w:w="2780" w:type="dxa"/>
            <w:vAlign w:val="bottom"/>
          </w:tcPr>
          <w:p>
            <w:pPr>
              <w:spacing w:after="0"/>
              <w:rPr>
                <w:sz w:val="20"/>
                <w:szCs w:val="20"/>
                <w:color w:val="auto"/>
              </w:rPr>
            </w:pPr>
          </w:p>
        </w:tc>
        <w:tc>
          <w:tcPr>
            <w:tcW w:w="6100" w:type="dxa"/>
            <w:vAlign w:val="bottom"/>
            <w:tcBorders>
              <w:right w:val="single" w:sz="8" w:color="auto"/>
            </w:tcBorders>
          </w:tcPr>
          <w:p>
            <w:pPr>
              <w:ind w:left="2180"/>
              <w:spacing w:after="0"/>
              <w:rPr>
                <w:sz w:val="20"/>
                <w:szCs w:val="20"/>
                <w:color w:val="auto"/>
              </w:rPr>
            </w:pPr>
            <w:r>
              <w:rPr>
                <w:rFonts w:ascii="Times New Roman" w:cs="Times New Roman" w:eastAsia="Times New Roman" w:hAnsi="Times New Roman"/>
                <w:sz w:val="18"/>
                <w:szCs w:val="18"/>
                <w:color w:val="auto"/>
              </w:rPr>
              <w:t>our securities.</w:t>
            </w:r>
          </w:p>
        </w:tc>
        <w:tc>
          <w:tcPr>
            <w:tcW w:w="1040" w:type="dxa"/>
            <w:vAlign w:val="bottom"/>
          </w:tcPr>
          <w:p>
            <w:pPr>
              <w:spacing w:after="0"/>
              <w:rPr>
                <w:sz w:val="20"/>
                <w:szCs w:val="20"/>
                <w:color w:val="auto"/>
              </w:rPr>
            </w:pPr>
          </w:p>
        </w:tc>
      </w:tr>
      <w:tr>
        <w:trPr>
          <w:trHeight w:val="213"/>
        </w:trPr>
        <w:tc>
          <w:tcPr>
            <w:tcW w:w="1100" w:type="dxa"/>
            <w:vAlign w:val="bottom"/>
            <w:tcBorders>
              <w:right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6100" w:type="dxa"/>
            <w:vAlign w:val="bottom"/>
            <w:tcBorders>
              <w:bottom w:val="single" w:sz="8" w:color="auto"/>
              <w:right w:val="single" w:sz="8" w:color="auto"/>
            </w:tcBorders>
          </w:tcPr>
          <w:p>
            <w:pPr>
              <w:spacing w:after="0"/>
              <w:rPr>
                <w:sz w:val="18"/>
                <w:szCs w:val="18"/>
                <w:color w:val="auto"/>
              </w:rPr>
            </w:pPr>
          </w:p>
        </w:tc>
        <w:tc>
          <w:tcPr>
            <w:tcW w:w="1040" w:type="dxa"/>
            <w:vAlign w:val="bottom"/>
          </w:tcPr>
          <w:p>
            <w:pPr>
              <w:spacing w:after="0"/>
              <w:rPr>
                <w:sz w:val="18"/>
                <w:szCs w:val="18"/>
                <w:color w:val="auto"/>
              </w:rPr>
            </w:pPr>
          </w:p>
        </w:tc>
      </w:tr>
      <w:tr>
        <w:trPr>
          <w:trHeight w:val="429"/>
        </w:trPr>
        <w:tc>
          <w:tcPr>
            <w:tcW w:w="11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100" w:type="dxa"/>
            <w:vAlign w:val="bottom"/>
          </w:tcPr>
          <w:p>
            <w:pPr>
              <w:ind w:left="1580"/>
              <w:spacing w:after="0"/>
              <w:rPr>
                <w:sz w:val="20"/>
                <w:szCs w:val="20"/>
                <w:color w:val="auto"/>
              </w:rPr>
            </w:pPr>
            <w:r>
              <w:rPr>
                <w:rFonts w:ascii="Times New Roman" w:cs="Times New Roman" w:eastAsia="Times New Roman" w:hAnsi="Times New Roman"/>
                <w:sz w:val="18"/>
                <w:szCs w:val="18"/>
                <w:color w:val="auto"/>
              </w:rPr>
              <w:t>6</w:t>
            </w:r>
          </w:p>
        </w:tc>
        <w:tc>
          <w:tcPr>
            <w:tcW w:w="1040" w:type="dxa"/>
            <w:vAlign w:val="bottom"/>
          </w:tcPr>
          <w:p>
            <w:pPr>
              <w:spacing w:after="0"/>
              <w:rPr>
                <w:sz w:val="24"/>
                <w:szCs w:val="24"/>
                <w:color w:val="auto"/>
              </w:rPr>
            </w:pPr>
          </w:p>
        </w:tc>
      </w:tr>
      <w:tr>
        <w:trPr>
          <w:trHeight w:val="183"/>
        </w:trPr>
        <w:tc>
          <w:tcPr>
            <w:tcW w:w="1100" w:type="dxa"/>
            <w:vAlign w:val="bottom"/>
            <w:tcBorders>
              <w:bottom w:val="single" w:sz="8" w:color="auto"/>
            </w:tcBorders>
          </w:tcPr>
          <w:p>
            <w:pPr>
              <w:spacing w:after="0"/>
              <w:rPr>
                <w:sz w:val="15"/>
                <w:szCs w:val="15"/>
                <w:color w:val="auto"/>
              </w:rPr>
            </w:pPr>
          </w:p>
        </w:tc>
        <w:tc>
          <w:tcPr>
            <w:tcW w:w="2780" w:type="dxa"/>
            <w:vAlign w:val="bottom"/>
            <w:tcBorders>
              <w:bottom w:val="single" w:sz="8" w:color="auto"/>
            </w:tcBorders>
          </w:tcPr>
          <w:p>
            <w:pPr>
              <w:spacing w:after="0"/>
              <w:rPr>
                <w:sz w:val="15"/>
                <w:szCs w:val="15"/>
                <w:color w:val="auto"/>
              </w:rPr>
            </w:pPr>
          </w:p>
        </w:tc>
        <w:tc>
          <w:tcPr>
            <w:tcW w:w="6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most recent Annual Report on Form 10-K,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1300" w:right="1300" w:firstLine="360"/>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 (iii) the exchange of 56,466,013 Paired Interests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2" w:lineRule="exact"/>
        <w:rPr>
          <w:sz w:val="20"/>
          <w:szCs w:val="20"/>
          <w:color w:val="auto"/>
        </w:rPr>
      </w:pPr>
    </w:p>
    <w:p>
      <w:pPr>
        <w:jc w:val="both"/>
        <w:ind w:left="1300" w:right="1300" w:firstLine="360"/>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1300" w:right="1300"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1300" w:right="1300" w:firstLine="360"/>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100" w:type="dxa"/>
            <w:vAlign w:val="bottom"/>
          </w:tcPr>
          <w:p>
            <w:pPr>
              <w:spacing w:after="0"/>
              <w:rPr>
                <w:sz w:val="13"/>
                <w:szCs w:val="13"/>
                <w:color w:val="auto"/>
              </w:rPr>
            </w:pPr>
          </w:p>
        </w:tc>
        <w:tc>
          <w:tcPr>
            <w:tcW w:w="13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1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Beneficially</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100" w:type="dxa"/>
            <w:vAlign w:val="bottom"/>
          </w:tcPr>
          <w:p>
            <w:pPr>
              <w:spacing w:after="0"/>
              <w:rPr>
                <w:sz w:val="7"/>
                <w:szCs w:val="7"/>
                <w:color w:val="auto"/>
              </w:rPr>
            </w:pPr>
          </w:p>
        </w:tc>
        <w:tc>
          <w:tcPr>
            <w:tcW w:w="134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Class A of</w:t>
            </w: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 A</w:t>
            </w:r>
          </w:p>
        </w:tc>
        <w:tc>
          <w:tcPr>
            <w:tcW w:w="100" w:type="dxa"/>
            <w:vAlign w:val="bottom"/>
          </w:tcPr>
          <w:p>
            <w:pPr>
              <w:spacing w:after="0"/>
              <w:rPr>
                <w:sz w:val="7"/>
                <w:szCs w:val="7"/>
                <w:color w:val="auto"/>
              </w:rPr>
            </w:pPr>
          </w:p>
        </w:tc>
        <w:tc>
          <w:tcPr>
            <w:tcW w:w="1340" w:type="dxa"/>
            <w:vAlign w:val="bottom"/>
            <w:gridSpan w:val="4"/>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Warrants</w:t>
            </w: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1340" w:type="dxa"/>
            <w:vAlign w:val="bottom"/>
            <w:gridSpan w:val="4"/>
            <w:vMerge w:val="continue"/>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are</w:t>
            </w:r>
          </w:p>
        </w:tc>
        <w:tc>
          <w:tcPr>
            <w:tcW w:w="100" w:type="dxa"/>
            <w:vAlign w:val="bottom"/>
          </w:tcPr>
          <w:p>
            <w:pPr>
              <w:spacing w:after="0"/>
              <w:rPr>
                <w:sz w:val="7"/>
                <w:szCs w:val="7"/>
                <w:color w:val="auto"/>
              </w:rPr>
            </w:pPr>
          </w:p>
        </w:tc>
        <w:tc>
          <w:tcPr>
            <w:tcW w:w="800" w:type="dxa"/>
            <w:vAlign w:val="bottom"/>
            <w:gridSpan w:val="3"/>
            <w:vMerge w:val="restart"/>
          </w:tcPr>
          <w:p>
            <w:pPr>
              <w:jc w:val="center"/>
              <w:ind w:left="418"/>
              <w:spacing w:after="0" w:line="149" w:lineRule="exact"/>
              <w:rPr>
                <w:sz w:val="20"/>
                <w:szCs w:val="20"/>
                <w:color w:val="auto"/>
              </w:rPr>
            </w:pPr>
            <w:r>
              <w:rPr>
                <w:rFonts w:ascii="Times New Roman" w:cs="Times New Roman" w:eastAsia="Times New Roman" w:hAnsi="Times New Roman"/>
                <w:sz w:val="14"/>
                <w:szCs w:val="14"/>
                <w:b w:val="1"/>
                <w:bCs w:val="1"/>
                <w:color w:val="auto"/>
                <w:w w:val="92"/>
              </w:rPr>
              <w:t>are</w:t>
            </w: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30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5"/>
                <w:szCs w:val="5"/>
                <w:color w:val="auto"/>
              </w:rPr>
            </w:pPr>
          </w:p>
        </w:tc>
        <w:tc>
          <w:tcPr>
            <w:tcW w:w="80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5"/>
                <w:szCs w:val="5"/>
                <w:color w:val="auto"/>
              </w:rPr>
            </w:pPr>
          </w:p>
        </w:tc>
        <w:tc>
          <w:tcPr>
            <w:tcW w:w="7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100" w:type="dxa"/>
            <w:vAlign w:val="bottom"/>
          </w:tcPr>
          <w:p>
            <w:pPr>
              <w:spacing w:after="0"/>
              <w:rPr>
                <w:sz w:val="7"/>
                <w:szCs w:val="7"/>
                <w:color w:val="auto"/>
              </w:rPr>
            </w:pPr>
          </w:p>
        </w:tc>
        <w:tc>
          <w:tcPr>
            <w:tcW w:w="800" w:type="dxa"/>
            <w:vAlign w:val="bottom"/>
            <w:gridSpan w:val="3"/>
            <w:vMerge w:val="restart"/>
          </w:tcPr>
          <w:p>
            <w:pPr>
              <w:jc w:val="center"/>
              <w:ind w:left="458"/>
              <w:spacing w:after="0"/>
              <w:rPr>
                <w:sz w:val="20"/>
                <w:szCs w:val="20"/>
                <w:color w:val="auto"/>
              </w:rPr>
            </w:pPr>
            <w:r>
              <w:rPr>
                <w:rFonts w:ascii="Times New Roman" w:cs="Times New Roman" w:eastAsia="Times New Roman" w:hAnsi="Times New Roman"/>
                <w:sz w:val="14"/>
                <w:szCs w:val="14"/>
                <w:b w:val="1"/>
                <w:bCs w:val="1"/>
                <w:color w:val="auto"/>
                <w:w w:val="98"/>
              </w:rPr>
              <w:t>Sold</w:t>
            </w:r>
          </w:p>
        </w:tc>
        <w:tc>
          <w:tcPr>
            <w:tcW w:w="540" w:type="dxa"/>
            <w:vAlign w:val="bottom"/>
          </w:tcPr>
          <w:p>
            <w:pPr>
              <w:spacing w:after="0"/>
              <w:rPr>
                <w:sz w:val="7"/>
                <w:szCs w:val="7"/>
                <w:color w:val="auto"/>
              </w:rPr>
            </w:pPr>
          </w:p>
        </w:tc>
        <w:tc>
          <w:tcPr>
            <w:tcW w:w="1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2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120" w:type="dxa"/>
            <w:vAlign w:val="bottom"/>
          </w:tcPr>
          <w:p>
            <w:pPr>
              <w:spacing w:after="0"/>
              <w:rPr>
                <w:sz w:val="9"/>
                <w:szCs w:val="9"/>
                <w:color w:val="auto"/>
              </w:rPr>
            </w:pPr>
          </w:p>
        </w:tc>
        <w:tc>
          <w:tcPr>
            <w:tcW w:w="8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120" w:type="dxa"/>
            <w:vAlign w:val="bottom"/>
          </w:tcPr>
          <w:p>
            <w:pPr>
              <w:spacing w:after="0"/>
              <w:rPr>
                <w:sz w:val="9"/>
                <w:szCs w:val="9"/>
                <w:color w:val="auto"/>
              </w:rPr>
            </w:pPr>
          </w:p>
        </w:tc>
        <w:tc>
          <w:tcPr>
            <w:tcW w:w="72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100" w:type="dxa"/>
            <w:vAlign w:val="bottom"/>
          </w:tcPr>
          <w:p>
            <w:pPr>
              <w:spacing w:after="0"/>
              <w:rPr>
                <w:sz w:val="9"/>
                <w:szCs w:val="9"/>
                <w:color w:val="auto"/>
              </w:rPr>
            </w:pPr>
          </w:p>
        </w:tc>
        <w:tc>
          <w:tcPr>
            <w:tcW w:w="12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5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10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3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1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100" w:type="dxa"/>
            <w:vAlign w:val="bottom"/>
          </w:tcPr>
          <w:p>
            <w:pPr>
              <w:spacing w:after="0"/>
              <w:rPr>
                <w:sz w:val="16"/>
                <w:szCs w:val="16"/>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Beals</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6,166,819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Brian Camire</w:t>
            </w:r>
            <w:r>
              <w:rPr>
                <w:rFonts w:ascii="Times New Roman" w:cs="Times New Roman" w:eastAsia="Times New Roman" w:hAnsi="Times New Roman"/>
                <w:sz w:val="28"/>
                <w:szCs w:val="28"/>
                <w:color w:val="auto"/>
                <w:vertAlign w:val="superscript"/>
              </w:rPr>
              <w:t>(1)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Justin Dean</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619,772</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Juanjo Feijoo-Osorio</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681,749</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Arden Lee</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1,239,543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1,239,543</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300" w:type="dxa"/>
            <w:vAlign w:val="bottom"/>
          </w:tcPr>
          <w:p>
            <w:pPr>
              <w:spacing w:after="0"/>
              <w:rPr>
                <w:sz w:val="20"/>
                <w:szCs w:val="20"/>
                <w:color w:val="auto"/>
              </w:rPr>
            </w:pP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Steven Jung</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1,314,411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1,314,411</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2160" w:type="dxa"/>
            <w:vAlign w:val="bottom"/>
            <w:shd w:val="clear" w:color="auto" w:fill="CCEEFF"/>
          </w:tcPr>
          <w:p>
            <w:pPr>
              <w:spacing w:after="0" w:line="247" w:lineRule="exact"/>
              <w:rPr>
                <w:sz w:val="20"/>
                <w:szCs w:val="20"/>
                <w:color w:val="auto"/>
              </w:rPr>
            </w:pPr>
            <w:r>
              <w:rPr>
                <w:rFonts w:ascii="Times New Roman" w:cs="Times New Roman" w:eastAsia="Times New Roman" w:hAnsi="Times New Roman"/>
                <w:sz w:val="17"/>
                <w:szCs w:val="17"/>
                <w:color w:val="auto"/>
              </w:rPr>
              <w:t>Douglas Francis</w:t>
            </w:r>
            <w:r>
              <w:rPr>
                <w:rFonts w:ascii="Times New Roman" w:cs="Times New Roman" w:eastAsia="Times New Roman" w:hAnsi="Times New Roman"/>
                <w:sz w:val="28"/>
                <w:szCs w:val="28"/>
                <w:color w:val="auto"/>
                <w:vertAlign w:val="superscript"/>
              </w:rPr>
              <w:t>(2)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27,700,849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27,700,849</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216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Justin Hartfield</w:t>
            </w:r>
            <w:r>
              <w:rPr>
                <w:rFonts w:ascii="Times New Roman" w:cs="Times New Roman" w:eastAsia="Times New Roman" w:hAnsi="Times New Roman"/>
                <w:sz w:val="28"/>
                <w:szCs w:val="28"/>
                <w:color w:val="auto"/>
                <w:vertAlign w:val="superscript"/>
              </w:rPr>
              <w:t>(3)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29,328,310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29,328,310</w:t>
            </w: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1"/>
                <w:szCs w:val="21"/>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1300" w:type="dxa"/>
            <w:vAlign w:val="bottom"/>
          </w:tcPr>
          <w:p>
            <w:pPr>
              <w:spacing w:after="0"/>
              <w:rPr>
                <w:sz w:val="17"/>
                <w:szCs w:val="17"/>
                <w:color w:val="auto"/>
              </w:rPr>
            </w:pPr>
          </w:p>
        </w:tc>
        <w:tc>
          <w:tcPr>
            <w:tcW w:w="216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Entities affiliated with Silver</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2160" w:type="dxa"/>
            <w:vAlign w:val="bottom"/>
            <w:tcBorders>
              <w:bottom w:val="single" w:sz="8" w:color="CCEEFF"/>
            </w:tcBorders>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Spike Sponsor, LLC</w:t>
            </w:r>
            <w:r>
              <w:rPr>
                <w:rFonts w:ascii="Times New Roman" w:cs="Times New Roman" w:eastAsia="Times New Roman" w:hAnsi="Times New Roman"/>
                <w:sz w:val="28"/>
                <w:szCs w:val="28"/>
                <w:color w:val="auto"/>
                <w:vertAlign w:val="superscript"/>
              </w:rPr>
              <w:t>(4)</w:t>
            </w:r>
          </w:p>
        </w:tc>
        <w:tc>
          <w:tcPr>
            <w:tcW w:w="9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7,515,752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7,515,752</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7,000,000</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3" w:right="4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6"/>
                <w:szCs w:val="16"/>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80" w:type="dxa"/>
            <w:vAlign w:val="bottom"/>
          </w:tcPr>
          <w:p>
            <w:pPr>
              <w:spacing w:after="0"/>
              <w:rPr>
                <w:sz w:val="16"/>
                <w:szCs w:val="16"/>
                <w:color w:val="auto"/>
              </w:rPr>
            </w:pPr>
          </w:p>
        </w:tc>
        <w:tc>
          <w:tcPr>
            <w:tcW w:w="140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8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12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are</w:t>
            </w:r>
          </w:p>
        </w:tc>
        <w:tc>
          <w:tcPr>
            <w:tcW w:w="80" w:type="dxa"/>
            <w:vAlign w:val="bottom"/>
          </w:tcPr>
          <w:p>
            <w:pPr>
              <w:spacing w:after="0"/>
              <w:rPr>
                <w:sz w:val="12"/>
                <w:szCs w:val="12"/>
                <w:color w:val="auto"/>
              </w:rPr>
            </w:pPr>
          </w:p>
        </w:tc>
        <w:tc>
          <w:tcPr>
            <w:tcW w:w="140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Warrants are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0" w:type="dxa"/>
            <w:vAlign w:val="bottom"/>
          </w:tcPr>
          <w:p>
            <w:pPr>
              <w:spacing w:after="0"/>
              <w:rPr>
                <w:sz w:val="12"/>
                <w:szCs w:val="12"/>
                <w:color w:val="auto"/>
              </w:rPr>
            </w:pPr>
          </w:p>
        </w:tc>
        <w:tc>
          <w:tcPr>
            <w:tcW w:w="1220" w:type="dxa"/>
            <w:vAlign w:val="bottom"/>
            <w:tcBorders>
              <w:bottom w:val="single" w:sz="8" w:color="auto"/>
            </w:tcBorders>
            <w:gridSpan w:val="3"/>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w w:val="98"/>
              </w:rPr>
              <w:t>Sold</w:t>
            </w:r>
          </w:p>
        </w:tc>
        <w:tc>
          <w:tcPr>
            <w:tcW w:w="80" w:type="dxa"/>
            <w:vAlign w:val="bottom"/>
          </w:tcPr>
          <w:p>
            <w:pPr>
              <w:spacing w:after="0"/>
              <w:rPr>
                <w:sz w:val="12"/>
                <w:szCs w:val="12"/>
                <w:color w:val="auto"/>
              </w:rPr>
            </w:pPr>
          </w:p>
        </w:tc>
        <w:tc>
          <w:tcPr>
            <w:tcW w:w="840" w:type="dxa"/>
            <w:vAlign w:val="bottom"/>
            <w:tcBorders>
              <w:bottom w:val="single" w:sz="8" w:color="auto"/>
            </w:tcBorders>
            <w:gridSpan w:val="3"/>
          </w:tcPr>
          <w:p>
            <w:pPr>
              <w:jc w:val="center"/>
              <w:ind w:left="452"/>
              <w:spacing w:after="0" w:line="129" w:lineRule="exact"/>
              <w:rPr>
                <w:sz w:val="20"/>
                <w:szCs w:val="20"/>
                <w:color w:val="auto"/>
              </w:rPr>
            </w:pPr>
            <w:r>
              <w:rPr>
                <w:rFonts w:ascii="Times New Roman" w:cs="Times New Roman" w:eastAsia="Times New Roman" w:hAnsi="Times New Roman"/>
                <w:sz w:val="14"/>
                <w:szCs w:val="14"/>
                <w:b w:val="1"/>
                <w:bCs w:val="1"/>
                <w:color w:val="auto"/>
                <w:w w:val="98"/>
              </w:rPr>
              <w:t>Sold</w:t>
            </w:r>
          </w:p>
        </w:tc>
        <w:tc>
          <w:tcPr>
            <w:tcW w:w="560" w:type="dxa"/>
            <w:vAlign w:val="bottom"/>
            <w:tcBorders>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60" w:type="dxa"/>
            <w:vAlign w:val="bottom"/>
          </w:tcPr>
          <w:p>
            <w:pPr>
              <w:jc w:val="center"/>
              <w:ind w:right="11"/>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240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2012 Grassie Family Delaware</w:t>
            </w:r>
          </w:p>
        </w:tc>
        <w:tc>
          <w:tcPr>
            <w:tcW w:w="8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Dynasty Trust</w:t>
            </w:r>
            <w:r>
              <w:rPr>
                <w:rFonts w:ascii="Times New Roman" w:cs="Times New Roman" w:eastAsia="Times New Roman" w:hAnsi="Times New Roman"/>
                <w:sz w:val="28"/>
                <w:szCs w:val="28"/>
                <w:color w:val="auto"/>
                <w:vertAlign w:val="superscript"/>
              </w:rPr>
              <w:t>(5)</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2019 Alternative Public</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Investments, LLC</w:t>
            </w:r>
            <w:r>
              <w:rPr>
                <w:rFonts w:ascii="Times New Roman" w:cs="Times New Roman" w:eastAsia="Times New Roman" w:hAnsi="Times New Roman"/>
                <w:sz w:val="28"/>
                <w:szCs w:val="28"/>
                <w:color w:val="auto"/>
                <w:vertAlign w:val="superscript"/>
              </w:rPr>
              <w:t>(6)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231,123</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231,123</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5"/>
                <w:szCs w:val="25"/>
                <w:color w:val="auto"/>
                <w:vertAlign w:val="superscript"/>
              </w:rPr>
              <w:t>(7)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5"/>
                <w:szCs w:val="25"/>
                <w:color w:val="auto"/>
                <w:vertAlign w:val="superscript"/>
              </w:rPr>
              <w:t>(8)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5"/>
                <w:szCs w:val="25"/>
                <w:color w:val="auto"/>
                <w:vertAlign w:val="superscript"/>
              </w:rPr>
              <w:t>(9)</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AHPPCB Legacy Trust dated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February 1, 2014</w:t>
            </w:r>
            <w:r>
              <w:rPr>
                <w:rFonts w:ascii="Times New Roman" w:cs="Times New Roman" w:eastAsia="Times New Roman" w:hAnsi="Times New Roman"/>
                <w:sz w:val="28"/>
                <w:szCs w:val="28"/>
                <w:color w:val="auto"/>
                <w:vertAlign w:val="superscript"/>
              </w:rPr>
              <w:t>(10)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Alasdair I.C. Grassie 2012</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(11)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Amer Bisat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5"/>
                <w:szCs w:val="25"/>
                <w:color w:val="auto"/>
                <w:vertAlign w:val="superscript"/>
              </w:rPr>
              <w:t>(12)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91,666</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91,666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Entities affiliated with Anthony</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Aquila</w:t>
            </w:r>
            <w:r>
              <w:rPr>
                <w:rFonts w:ascii="Times New Roman" w:cs="Times New Roman" w:eastAsia="Times New Roman" w:hAnsi="Times New Roman"/>
                <w:sz w:val="28"/>
                <w:szCs w:val="28"/>
                <w:color w:val="auto"/>
                <w:vertAlign w:val="superscript"/>
              </w:rPr>
              <w:t>(13)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Asia Pacific On-Line Limited</w:t>
            </w:r>
            <w:r>
              <w:rPr>
                <w:rFonts w:ascii="Times New Roman" w:cs="Times New Roman" w:eastAsia="Times New Roman" w:hAnsi="Times New Roman"/>
                <w:sz w:val="25"/>
                <w:szCs w:val="25"/>
                <w:color w:val="auto"/>
                <w:vertAlign w:val="superscript"/>
              </w:rPr>
              <w:t>(14)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24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w w:val="99"/>
              </w:rPr>
              <w:t>Entities affiliated with Monashee</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Investment Management,</w:t>
            </w: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3"/>
                <w:szCs w:val="13"/>
                <w:color w:val="auto"/>
              </w:rPr>
              <w:t>(15)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Bernardino Colonna</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Cavenham Private Equity and</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Directs</w:t>
            </w:r>
            <w:r>
              <w:rPr>
                <w:rFonts w:ascii="Times New Roman" w:cs="Times New Roman" w:eastAsia="Times New Roman" w:hAnsi="Times New Roman"/>
                <w:sz w:val="28"/>
                <w:szCs w:val="28"/>
                <w:color w:val="auto"/>
                <w:vertAlign w:val="superscript"/>
              </w:rPr>
              <w:t>(16)</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Citadel Multi-Strategy Equities</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Master Fund Ltd.</w:t>
            </w:r>
            <w:r>
              <w:rPr>
                <w:rFonts w:ascii="Times New Roman" w:cs="Times New Roman" w:eastAsia="Times New Roman" w:hAnsi="Times New Roman"/>
                <w:sz w:val="28"/>
                <w:szCs w:val="28"/>
                <w:color w:val="auto"/>
                <w:vertAlign w:val="superscript"/>
              </w:rPr>
              <w:t>(17)</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Behdad Eghbali</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1,225,000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 E. Feliciano</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5"/>
                <w:szCs w:val="25"/>
                <w:color w:val="auto"/>
                <w:vertAlign w:val="superscript"/>
              </w:rPr>
              <w:t>(18)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Craig Schlanger Trust UAD</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154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8/31/1979</w:t>
            </w:r>
            <w:r>
              <w:rPr>
                <w:rFonts w:ascii="Times New Roman" w:cs="Times New Roman" w:eastAsia="Times New Roman" w:hAnsi="Times New Roman"/>
                <w:sz w:val="28"/>
                <w:szCs w:val="28"/>
                <w:color w:val="auto"/>
                <w:vertAlign w:val="superscript"/>
              </w:rPr>
              <w:t>(19)</w:t>
            </w:r>
          </w:p>
        </w:tc>
        <w:tc>
          <w:tcPr>
            <w:tcW w:w="8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5"/>
                <w:szCs w:val="25"/>
                <w:color w:val="auto"/>
                <w:vertAlign w:val="superscript"/>
              </w:rPr>
              <w:t>(20)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Darren Lazarus</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5"/>
                <w:szCs w:val="25"/>
                <w:color w:val="auto"/>
                <w:vertAlign w:val="superscript"/>
              </w:rPr>
              <w:t>(21)</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Mayer de Rothschild</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Morrill</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Todd Posen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Debra Shemesh-Joester</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 Kaplan</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Aroesty</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5"/>
                <w:szCs w:val="25"/>
                <w:color w:val="auto"/>
                <w:vertAlign w:val="superscript"/>
              </w:rPr>
              <w:t>(22)</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Euan C.A. Grassie 2012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(23)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5"/>
                <w:szCs w:val="25"/>
                <w:color w:val="auto"/>
                <w:vertAlign w:val="superscript"/>
              </w:rPr>
              <w:t>(24)</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40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Final Word Investments LLC</w:t>
            </w:r>
            <w:r>
              <w:rPr>
                <w:rFonts w:ascii="Times New Roman" w:cs="Times New Roman" w:eastAsia="Times New Roman" w:hAnsi="Times New Roman"/>
                <w:sz w:val="25"/>
                <w:szCs w:val="25"/>
                <w:color w:val="auto"/>
                <w:vertAlign w:val="superscript"/>
              </w:rPr>
              <w:t>(25)</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Granite Point Master Fund,</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3"/>
                <w:szCs w:val="13"/>
                <w:color w:val="auto"/>
              </w:rPr>
              <w:t>(26)</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Gregor C.A. Grassie 2012</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40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(27)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7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5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40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GS+A Global Special Situations</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1300" w:type="dxa"/>
            <w:vAlign w:val="bottom"/>
          </w:tcPr>
          <w:p>
            <w:pPr>
              <w:spacing w:after="0"/>
              <w:rPr>
                <w:sz w:val="24"/>
                <w:szCs w:val="24"/>
                <w:color w:val="auto"/>
              </w:rPr>
            </w:pPr>
          </w:p>
        </w:tc>
        <w:tc>
          <w:tcPr>
            <w:tcW w:w="2400" w:type="dxa"/>
            <w:vAlign w:val="bottom"/>
            <w:tcBorders>
              <w:bottom w:val="single" w:sz="8" w:color="CCEEFF"/>
            </w:tcBorders>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Fund</w:t>
            </w:r>
            <w:r>
              <w:rPr>
                <w:rFonts w:ascii="Times New Roman" w:cs="Times New Roman" w:eastAsia="Times New Roman" w:hAnsi="Times New Roman"/>
                <w:sz w:val="28"/>
                <w:szCs w:val="28"/>
                <w:color w:val="auto"/>
                <w:vertAlign w:val="superscript"/>
              </w:rPr>
              <w:t>(28)</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center"/>
              <w:ind w:right="51"/>
              <w:spacing w:after="0"/>
              <w:rPr>
                <w:sz w:val="20"/>
                <w:szCs w:val="20"/>
                <w:color w:val="auto"/>
              </w:rPr>
            </w:pPr>
            <w:r>
              <w:rPr>
                <w:rFonts w:ascii="Times New Roman" w:cs="Times New Roman" w:eastAsia="Times New Roman" w:hAnsi="Times New Roman"/>
                <w:sz w:val="18"/>
                <w:szCs w:val="18"/>
                <w:color w:val="auto"/>
                <w:w w:val="99"/>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300" w:type="dxa"/>
            <w:vAlign w:val="bottom"/>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3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6"/>
                <w:szCs w:val="16"/>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80" w:type="dxa"/>
            <w:vAlign w:val="bottom"/>
          </w:tcPr>
          <w:p>
            <w:pPr>
              <w:spacing w:after="0"/>
              <w:rPr>
                <w:sz w:val="16"/>
                <w:szCs w:val="16"/>
                <w:color w:val="auto"/>
              </w:rPr>
            </w:pPr>
          </w:p>
        </w:tc>
        <w:tc>
          <w:tcPr>
            <w:tcW w:w="138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8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After the Offered</w:t>
            </w:r>
          </w:p>
        </w:tc>
        <w:tc>
          <w:tcPr>
            <w:tcW w:w="8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Class A</w:t>
            </w:r>
          </w:p>
        </w:tc>
        <w:tc>
          <w:tcPr>
            <w:tcW w:w="8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2"/>
                <w:szCs w:val="12"/>
                <w:color w:val="auto"/>
              </w:rPr>
            </w:pPr>
          </w:p>
        </w:tc>
        <w:tc>
          <w:tcPr>
            <w:tcW w:w="136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 are</w:t>
            </w:r>
          </w:p>
        </w:tc>
        <w:tc>
          <w:tcPr>
            <w:tcW w:w="80" w:type="dxa"/>
            <w:vAlign w:val="bottom"/>
          </w:tcPr>
          <w:p>
            <w:pPr>
              <w:spacing w:after="0"/>
              <w:rPr>
                <w:sz w:val="12"/>
                <w:szCs w:val="12"/>
                <w:color w:val="auto"/>
              </w:rPr>
            </w:pPr>
          </w:p>
        </w:tc>
        <w:tc>
          <w:tcPr>
            <w:tcW w:w="138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Offered Warrants are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72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12"/>
                <w:szCs w:val="12"/>
                <w:color w:val="auto"/>
              </w:rPr>
            </w:pPr>
          </w:p>
        </w:tc>
        <w:tc>
          <w:tcPr>
            <w:tcW w:w="74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Being</w:t>
            </w:r>
          </w:p>
        </w:tc>
        <w:tc>
          <w:tcPr>
            <w:tcW w:w="8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Being</w:t>
            </w:r>
          </w:p>
        </w:tc>
        <w:tc>
          <w:tcPr>
            <w:tcW w:w="80" w:type="dxa"/>
            <w:vAlign w:val="bottom"/>
          </w:tcPr>
          <w:p>
            <w:pPr>
              <w:spacing w:after="0"/>
              <w:rPr>
                <w:sz w:val="12"/>
                <w:szCs w:val="12"/>
                <w:color w:val="auto"/>
              </w:rPr>
            </w:pPr>
          </w:p>
        </w:tc>
        <w:tc>
          <w:tcPr>
            <w:tcW w:w="820" w:type="dxa"/>
            <w:vAlign w:val="bottom"/>
            <w:tcBorders>
              <w:bottom w:val="single" w:sz="8" w:color="auto"/>
            </w:tcBorders>
            <w:gridSpan w:val="3"/>
          </w:tcPr>
          <w:p>
            <w:pPr>
              <w:jc w:val="center"/>
              <w:ind w:left="453"/>
              <w:spacing w:after="0" w:line="129" w:lineRule="exact"/>
              <w:rPr>
                <w:sz w:val="20"/>
                <w:szCs w:val="20"/>
                <w:color w:val="auto"/>
              </w:rPr>
            </w:pPr>
            <w:r>
              <w:rPr>
                <w:rFonts w:ascii="Times New Roman" w:cs="Times New Roman" w:eastAsia="Times New Roman" w:hAnsi="Times New Roman"/>
                <w:sz w:val="14"/>
                <w:szCs w:val="14"/>
                <w:b w:val="1"/>
                <w:bCs w:val="1"/>
                <w:color w:val="auto"/>
              </w:rPr>
              <w:t>Sold</w:t>
            </w:r>
          </w:p>
        </w:tc>
        <w:tc>
          <w:tcPr>
            <w:tcW w:w="5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bottom w:val="single" w:sz="8" w:color="auto"/>
            </w:tcBorders>
            <w:gridSpan w:val="3"/>
          </w:tcPr>
          <w:p>
            <w:pPr>
              <w:jc w:val="center"/>
              <w:ind w:left="452"/>
              <w:spacing w:after="0" w:line="129" w:lineRule="exact"/>
              <w:rPr>
                <w:sz w:val="20"/>
                <w:szCs w:val="20"/>
                <w:color w:val="auto"/>
              </w:rPr>
            </w:pPr>
            <w:r>
              <w:rPr>
                <w:rFonts w:ascii="Times New Roman" w:cs="Times New Roman" w:eastAsia="Times New Roman" w:hAnsi="Times New Roman"/>
                <w:sz w:val="14"/>
                <w:szCs w:val="14"/>
                <w:b w:val="1"/>
                <w:bCs w:val="1"/>
                <w:color w:val="auto"/>
                <w:w w:val="98"/>
              </w:rPr>
              <w:t>Sold</w:t>
            </w:r>
          </w:p>
        </w:tc>
        <w:tc>
          <w:tcPr>
            <w:tcW w:w="540" w:type="dxa"/>
            <w:vAlign w:val="bottom"/>
            <w:tcBorders>
              <w:bottom w:val="single" w:sz="8" w:color="auto"/>
            </w:tcBorders>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300" w:type="dxa"/>
            <w:vAlign w:val="bottom"/>
          </w:tcPr>
          <w:p>
            <w:pPr>
              <w:spacing w:after="0"/>
              <w:rPr>
                <w:sz w:val="14"/>
                <w:szCs w:val="1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80" w:type="dxa"/>
            <w:vAlign w:val="bottom"/>
          </w:tcPr>
          <w:p>
            <w:pPr>
              <w:spacing w:after="0"/>
              <w:rPr>
                <w:sz w:val="14"/>
                <w:szCs w:val="14"/>
                <w:color w:val="auto"/>
              </w:rPr>
            </w:pPr>
          </w:p>
        </w:tc>
        <w:tc>
          <w:tcPr>
            <w:tcW w:w="8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4"/>
                <w:szCs w:val="14"/>
                <w:color w:val="auto"/>
              </w:rPr>
            </w:pP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Percent</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300" w:type="dxa"/>
            <w:vAlign w:val="bottom"/>
          </w:tcPr>
          <w:p>
            <w:pPr>
              <w:spacing w:after="0"/>
              <w:rPr>
                <w:sz w:val="16"/>
                <w:szCs w:val="16"/>
                <w:color w:val="auto"/>
              </w:rPr>
            </w:pPr>
          </w:p>
        </w:tc>
        <w:tc>
          <w:tcPr>
            <w:tcW w:w="2320" w:type="dxa"/>
            <w:vAlign w:val="bottom"/>
            <w:tcBorders>
              <w:top w:val="single" w:sz="8" w:color="auto"/>
            </w:tcBorders>
            <w:gridSpan w:val="2"/>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Harbert Stoneview Master</w:t>
            </w: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Fund, Ltd.</w:t>
            </w:r>
            <w:r>
              <w:rPr>
                <w:rFonts w:ascii="Times New Roman" w:cs="Times New Roman" w:eastAsia="Times New Roman" w:hAnsi="Times New Roman"/>
                <w:sz w:val="28"/>
                <w:szCs w:val="28"/>
                <w:color w:val="auto"/>
                <w:vertAlign w:val="superscript"/>
              </w:rPr>
              <w:t>(29)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5"/>
                <w:szCs w:val="25"/>
                <w:color w:val="auto"/>
                <w:vertAlign w:val="superscript"/>
              </w:rPr>
              <w:t>(30)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Hoplite Capital Series LLC -</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Kerdos</w:t>
            </w:r>
            <w:r>
              <w:rPr>
                <w:rFonts w:ascii="Times New Roman" w:cs="Times New Roman" w:eastAsia="Times New Roman" w:hAnsi="Times New Roman"/>
                <w:sz w:val="28"/>
                <w:szCs w:val="28"/>
                <w:color w:val="auto"/>
                <w:vertAlign w:val="superscript"/>
              </w:rPr>
              <w:t>(31)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5"/>
                <w:szCs w:val="25"/>
                <w:color w:val="auto"/>
                <w:vertAlign w:val="superscript"/>
              </w:rPr>
              <w:t>(32)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5"/>
                <w:szCs w:val="25"/>
                <w:color w:val="auto"/>
                <w:vertAlign w:val="superscript"/>
              </w:rPr>
              <w:t>(33)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5"/>
                <w:szCs w:val="25"/>
                <w:color w:val="auto"/>
                <w:vertAlign w:val="superscript"/>
              </w:rPr>
              <w:t>(34)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Jeffrey Jagid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Jonathan Jagid</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Joshua Jagid</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Joshua Samuelson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91,250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91,250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Kaitlin Carey</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Katz 2014 Limited</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Partnership</w:t>
            </w:r>
            <w:r>
              <w:rPr>
                <w:rFonts w:ascii="Times New Roman" w:cs="Times New Roman" w:eastAsia="Times New Roman" w:hAnsi="Times New Roman"/>
                <w:sz w:val="28"/>
                <w:szCs w:val="28"/>
                <w:color w:val="auto"/>
                <w:vertAlign w:val="superscript"/>
              </w:rPr>
              <w:t>(35)</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Keith F. Overlander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Lachlan S.H. Grassie 2012</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Delaware Trust</w:t>
            </w:r>
            <w:r>
              <w:rPr>
                <w:rFonts w:ascii="Times New Roman" w:cs="Times New Roman" w:eastAsia="Times New Roman" w:hAnsi="Times New Roman"/>
                <w:sz w:val="28"/>
                <w:szCs w:val="28"/>
                <w:color w:val="auto"/>
                <w:vertAlign w:val="superscript"/>
              </w:rPr>
              <w:t>(36)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5"/>
                <w:szCs w:val="25"/>
                <w:color w:val="auto"/>
                <w:vertAlign w:val="superscript"/>
              </w:rPr>
              <w:t>(37)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Laurence Russian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Laurence Schreiber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Entities affiliated with Luxor</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Capital</w:t>
            </w:r>
            <w:r>
              <w:rPr>
                <w:rFonts w:ascii="Times New Roman" w:cs="Times New Roman" w:eastAsia="Times New Roman" w:hAnsi="Times New Roman"/>
                <w:sz w:val="28"/>
                <w:szCs w:val="28"/>
                <w:color w:val="auto"/>
                <w:vertAlign w:val="superscript"/>
              </w:rPr>
              <w:t>(38)</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5,147,524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369,756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2,700,000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2,447,524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369,756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Entities affiliated with</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Manatuck Hill</w:t>
            </w:r>
            <w:r>
              <w:rPr>
                <w:rFonts w:ascii="Times New Roman" w:cs="Times New Roman" w:eastAsia="Times New Roman" w:hAnsi="Times New Roman"/>
                <w:sz w:val="28"/>
                <w:szCs w:val="28"/>
                <w:color w:val="auto"/>
                <w:vertAlign w:val="superscript"/>
              </w:rPr>
              <w:t>(39)</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 Sontrop</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Matthew Tomasino</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Measure 8 Full Spectrum,</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LP</w:t>
            </w:r>
            <w:r>
              <w:rPr>
                <w:rFonts w:ascii="Times New Roman" w:cs="Times New Roman" w:eastAsia="Times New Roman" w:hAnsi="Times New Roman"/>
                <w:sz w:val="13"/>
                <w:szCs w:val="13"/>
                <w:color w:val="auto"/>
              </w:rPr>
              <w:t>(40)</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Ninepoint Alternative Health</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Fund</w:t>
            </w:r>
            <w:r>
              <w:rPr>
                <w:rFonts w:ascii="Times New Roman" w:cs="Times New Roman" w:eastAsia="Times New Roman" w:hAnsi="Times New Roman"/>
                <w:sz w:val="13"/>
                <w:szCs w:val="13"/>
                <w:color w:val="auto"/>
              </w:rPr>
              <w:t>(41)</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Paul A. Halpern Trust date</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17"/>
                <w:szCs w:val="17"/>
                <w:color w:val="auto"/>
              </w:rPr>
              <w:t>July 24, 2000</w:t>
            </w:r>
            <w:r>
              <w:rPr>
                <w:rFonts w:ascii="Times New Roman" w:cs="Times New Roman" w:eastAsia="Times New Roman" w:hAnsi="Times New Roman"/>
                <w:sz w:val="28"/>
                <w:szCs w:val="28"/>
                <w:color w:val="auto"/>
                <w:vertAlign w:val="superscript"/>
              </w:rPr>
              <w:t>(42)</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5"/>
                <w:szCs w:val="25"/>
                <w:color w:val="auto"/>
                <w:vertAlign w:val="superscript"/>
              </w:rPr>
              <w:t>(43)</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5"/>
                <w:szCs w:val="25"/>
                <w:color w:val="auto"/>
                <w:vertAlign w:val="superscript"/>
              </w:rPr>
              <w:t>(44)</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w w:val="99"/>
              </w:rPr>
              <w:t>Entities affiliated with the Polar</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Funds</w:t>
            </w:r>
            <w:r>
              <w:rPr>
                <w:rFonts w:ascii="Times New Roman" w:cs="Times New Roman" w:eastAsia="Times New Roman" w:hAnsi="Times New Roman"/>
                <w:sz w:val="28"/>
                <w:szCs w:val="28"/>
                <w:color w:val="auto"/>
                <w:vertAlign w:val="superscript"/>
              </w:rPr>
              <w:t>(45)</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Ponya Asset Management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tcPr>
          <w:p>
            <w:pPr>
              <w:ind w:left="180"/>
              <w:spacing w:after="0" w:line="243" w:lineRule="exact"/>
              <w:rPr>
                <w:sz w:val="20"/>
                <w:szCs w:val="20"/>
                <w:color w:val="auto"/>
              </w:rPr>
            </w:pPr>
            <w:r>
              <w:rPr>
                <w:rFonts w:ascii="Times New Roman" w:cs="Times New Roman" w:eastAsia="Times New Roman" w:hAnsi="Times New Roman"/>
                <w:sz w:val="28"/>
                <w:szCs w:val="28"/>
                <w:color w:val="auto"/>
                <w:vertAlign w:val="subscript"/>
              </w:rPr>
              <w:t>LLC</w:t>
            </w:r>
            <w:r>
              <w:rPr>
                <w:rFonts w:ascii="Times New Roman" w:cs="Times New Roman" w:eastAsia="Times New Roman" w:hAnsi="Times New Roman"/>
                <w:sz w:val="13"/>
                <w:szCs w:val="13"/>
                <w:color w:val="auto"/>
              </w:rPr>
              <w:t>(46)</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Ray E. Newton III Revocable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300" w:type="dxa"/>
            <w:vAlign w:val="bottom"/>
          </w:tcPr>
          <w:p>
            <w:pPr>
              <w:spacing w:after="0"/>
              <w:rPr>
                <w:sz w:val="17"/>
                <w:szCs w:val="17"/>
                <w:color w:val="auto"/>
              </w:rPr>
            </w:pPr>
          </w:p>
        </w:tc>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Trust UAD 10/11/12 as</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amended 7/23/19</w:t>
            </w:r>
            <w:r>
              <w:rPr>
                <w:rFonts w:ascii="Times New Roman" w:cs="Times New Roman" w:eastAsia="Times New Roman" w:hAnsi="Times New Roman"/>
                <w:sz w:val="28"/>
                <w:szCs w:val="28"/>
                <w:color w:val="auto"/>
                <w:vertAlign w:val="superscript"/>
              </w:rPr>
              <w:t>(47)</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1"/>
                <w:szCs w:val="21"/>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Goldman</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Prager</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color w:val="auto"/>
              </w:rPr>
              <w:t>Robinson Family Trust</w:t>
            </w: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1540" w:type="dxa"/>
            <w:vAlign w:val="bottom"/>
          </w:tcPr>
          <w:p>
            <w:pPr>
              <w:ind w:left="180"/>
              <w:spacing w:after="0" w:line="243" w:lineRule="exact"/>
              <w:rPr>
                <w:sz w:val="20"/>
                <w:szCs w:val="20"/>
                <w:color w:val="auto"/>
              </w:rPr>
            </w:pPr>
            <w:r>
              <w:rPr>
                <w:rFonts w:ascii="Times New Roman" w:cs="Times New Roman" w:eastAsia="Times New Roman" w:hAnsi="Times New Roman"/>
                <w:sz w:val="17"/>
                <w:szCs w:val="17"/>
                <w:color w:val="auto"/>
              </w:rPr>
              <w:t>2016</w:t>
            </w:r>
            <w:r>
              <w:rPr>
                <w:rFonts w:ascii="Times New Roman" w:cs="Times New Roman" w:eastAsia="Times New Roman" w:hAnsi="Times New Roman"/>
                <w:sz w:val="28"/>
                <w:szCs w:val="28"/>
                <w:color w:val="auto"/>
                <w:vertAlign w:val="superscript"/>
              </w:rPr>
              <w:t>(48)</w:t>
            </w:r>
          </w:p>
        </w:tc>
        <w:tc>
          <w:tcPr>
            <w:tcW w:w="78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1"/>
                <w:szCs w:val="21"/>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300" w:type="dxa"/>
            <w:vAlign w:val="bottom"/>
          </w:tcPr>
          <w:p>
            <w:pPr>
              <w:spacing w:after="0"/>
              <w:rPr>
                <w:sz w:val="17"/>
                <w:szCs w:val="17"/>
                <w:color w:val="auto"/>
              </w:rPr>
            </w:pPr>
          </w:p>
        </w:tc>
        <w:tc>
          <w:tcPr>
            <w:tcW w:w="23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Rock J. Eiden &amp; Sandra K.</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Eiden</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shd w:val="clear" w:color="auto" w:fill="CCEEFF"/>
          </w:tcPr>
          <w:p>
            <w:pPr>
              <w:spacing w:after="0"/>
              <w:rPr>
                <w:sz w:val="20"/>
                <w:szCs w:val="20"/>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232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5"/>
                <w:szCs w:val="25"/>
                <w:color w:val="auto"/>
                <w:vertAlign w:val="superscript"/>
              </w:rPr>
              <w:t>(49)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300" w:type="dxa"/>
            <w:vAlign w:val="bottom"/>
          </w:tcPr>
          <w:p>
            <w:pPr>
              <w:spacing w:after="0"/>
              <w:rPr>
                <w:sz w:val="16"/>
                <w:szCs w:val="16"/>
                <w:color w:val="auto"/>
              </w:rPr>
            </w:pPr>
          </w:p>
        </w:tc>
        <w:tc>
          <w:tcPr>
            <w:tcW w:w="232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auto"/>
              </w:rPr>
              <w:t>Roystone Capital Master Fund</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1300" w:type="dxa"/>
            <w:vAlign w:val="bottom"/>
          </w:tcPr>
          <w:p>
            <w:pPr>
              <w:spacing w:after="0"/>
              <w:rPr>
                <w:sz w:val="21"/>
                <w:szCs w:val="21"/>
                <w:color w:val="auto"/>
              </w:rPr>
            </w:pPr>
          </w:p>
        </w:tc>
        <w:tc>
          <w:tcPr>
            <w:tcW w:w="2320" w:type="dxa"/>
            <w:vAlign w:val="bottom"/>
            <w:gridSpan w:val="2"/>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Ltd.</w:t>
            </w:r>
            <w:r>
              <w:rPr>
                <w:rFonts w:ascii="Times New Roman" w:cs="Times New Roman" w:eastAsia="Times New Roman" w:hAnsi="Times New Roman"/>
                <w:sz w:val="28"/>
                <w:szCs w:val="28"/>
                <w:color w:val="auto"/>
                <w:vertAlign w:val="superscript"/>
              </w:rPr>
              <w:t>(50)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699,437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650,000</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297,000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300" w:type="dxa"/>
            <w:vAlign w:val="bottom"/>
          </w:tcPr>
          <w:p>
            <w:pPr>
              <w:spacing w:after="0"/>
              <w:rPr>
                <w:sz w:val="20"/>
                <w:szCs w:val="20"/>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Samantha Lewis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20"/>
                <w:szCs w:val="20"/>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0"/>
                <w:szCs w:val="20"/>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62" w:right="439" w:bottom="1440" w:gutter="0" w:footer="0" w:header="0"/>
        </w:sectPr>
      </w:pPr>
    </w:p>
    <w:bookmarkStart w:id="16" w:name="page17"/>
    <w:bookmarkEnd w:id="16"/>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40" w:type="dxa"/>
            <w:vAlign w:val="bottom"/>
          </w:tcPr>
          <w:p>
            <w:pPr>
              <w:spacing w:after="0"/>
              <w:rPr>
                <w:sz w:val="7"/>
                <w:szCs w:val="7"/>
                <w:color w:val="auto"/>
              </w:rPr>
            </w:pPr>
          </w:p>
        </w:tc>
        <w:tc>
          <w:tcPr>
            <w:tcW w:w="90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6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40" w:type="dxa"/>
            <w:vAlign w:val="bottom"/>
          </w:tcPr>
          <w:p>
            <w:pPr>
              <w:spacing w:after="0"/>
              <w:rPr>
                <w:sz w:val="5"/>
                <w:szCs w:val="5"/>
                <w:color w:val="auto"/>
              </w:rPr>
            </w:pPr>
          </w:p>
        </w:tc>
        <w:tc>
          <w:tcPr>
            <w:tcW w:w="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4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58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40" w:type="dxa"/>
            <w:vAlign w:val="bottom"/>
          </w:tcPr>
          <w:p>
            <w:pPr>
              <w:spacing w:after="0"/>
              <w:rPr>
                <w:sz w:val="7"/>
                <w:szCs w:val="7"/>
                <w:color w:val="auto"/>
              </w:rPr>
            </w:pPr>
          </w:p>
        </w:tc>
        <w:tc>
          <w:tcPr>
            <w:tcW w:w="1660" w:type="dxa"/>
            <w:vAlign w:val="bottom"/>
            <w:gridSpan w:val="3"/>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68"/>
        </w:trPr>
        <w:tc>
          <w:tcPr>
            <w:tcW w:w="1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5"/>
                <w:szCs w:val="5"/>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40" w:type="dxa"/>
            <w:vAlign w:val="bottom"/>
          </w:tcPr>
          <w:p>
            <w:pPr>
              <w:spacing w:after="0"/>
              <w:rPr>
                <w:sz w:val="5"/>
                <w:szCs w:val="5"/>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5"/>
                <w:szCs w:val="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5"/>
                <w:szCs w:val="5"/>
                <w:color w:val="auto"/>
              </w:rPr>
            </w:pPr>
          </w:p>
        </w:tc>
        <w:tc>
          <w:tcPr>
            <w:tcW w:w="158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6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6"/>
        </w:trPr>
        <w:tc>
          <w:tcPr>
            <w:tcW w:w="1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58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2"/>
                <w:szCs w:val="12"/>
                <w:color w:val="auto"/>
              </w:rPr>
            </w:pPr>
          </w:p>
        </w:tc>
        <w:tc>
          <w:tcPr>
            <w:tcW w:w="1660" w:type="dxa"/>
            <w:vAlign w:val="bottom"/>
            <w:gridSpan w:val="3"/>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83"/>
        </w:trPr>
        <w:tc>
          <w:tcPr>
            <w:tcW w:w="154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60" w:type="dxa"/>
            <w:vAlign w:val="bottom"/>
          </w:tcPr>
          <w:p>
            <w:pPr>
              <w:spacing w:after="0"/>
              <w:rPr>
                <w:sz w:val="7"/>
                <w:szCs w:val="7"/>
                <w:color w:val="auto"/>
              </w:rPr>
            </w:pPr>
          </w:p>
        </w:tc>
        <w:tc>
          <w:tcPr>
            <w:tcW w:w="74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Owned</w:t>
            </w:r>
          </w:p>
        </w:tc>
        <w:tc>
          <w:tcPr>
            <w:tcW w:w="40" w:type="dxa"/>
            <w:vAlign w:val="bottom"/>
          </w:tcPr>
          <w:p>
            <w:pPr>
              <w:spacing w:after="0"/>
              <w:rPr>
                <w:sz w:val="7"/>
                <w:szCs w:val="7"/>
                <w:color w:val="auto"/>
              </w:rPr>
            </w:pPr>
          </w:p>
        </w:tc>
        <w:tc>
          <w:tcPr>
            <w:tcW w:w="76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Stock</w:t>
            </w:r>
          </w:p>
        </w:tc>
        <w:tc>
          <w:tcPr>
            <w:tcW w:w="40" w:type="dxa"/>
            <w:vAlign w:val="bottom"/>
          </w:tcPr>
          <w:p>
            <w:pPr>
              <w:spacing w:after="0"/>
              <w:rPr>
                <w:sz w:val="7"/>
                <w:szCs w:val="7"/>
                <w:color w:val="auto"/>
              </w:rPr>
            </w:pPr>
          </w:p>
        </w:tc>
        <w:tc>
          <w:tcPr>
            <w:tcW w:w="700" w:type="dxa"/>
            <w:vAlign w:val="bottom"/>
          </w:tcPr>
          <w:p>
            <w:pPr>
              <w:jc w:val="center"/>
              <w:spacing w:after="0" w:line="84" w:lineRule="exact"/>
              <w:rPr>
                <w:sz w:val="20"/>
                <w:szCs w:val="20"/>
                <w:color w:val="auto"/>
              </w:rPr>
            </w:pPr>
            <w:r>
              <w:rPr>
                <w:rFonts w:ascii="Times New Roman" w:cs="Times New Roman" w:eastAsia="Times New Roman" w:hAnsi="Times New Roman"/>
                <w:sz w:val="9"/>
                <w:szCs w:val="9"/>
                <w:b w:val="1"/>
                <w:bCs w:val="1"/>
                <w:color w:val="auto"/>
              </w:rPr>
              <w:t>Warrants</w:t>
            </w:r>
          </w:p>
        </w:tc>
        <w:tc>
          <w:tcPr>
            <w:tcW w:w="40" w:type="dxa"/>
            <w:vAlign w:val="bottom"/>
          </w:tcPr>
          <w:p>
            <w:pPr>
              <w:spacing w:after="0"/>
              <w:rPr>
                <w:sz w:val="7"/>
                <w:szCs w:val="7"/>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are Sold</w:t>
            </w:r>
          </w:p>
        </w:tc>
        <w:tc>
          <w:tcPr>
            <w:tcW w:w="40" w:type="dxa"/>
            <w:vAlign w:val="bottom"/>
          </w:tcPr>
          <w:p>
            <w:pPr>
              <w:spacing w:after="0"/>
              <w:rPr>
                <w:sz w:val="7"/>
                <w:szCs w:val="7"/>
                <w:color w:val="auto"/>
              </w:rPr>
            </w:pPr>
          </w:p>
        </w:tc>
        <w:tc>
          <w:tcPr>
            <w:tcW w:w="16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109"/>
        </w:trPr>
        <w:tc>
          <w:tcPr>
            <w:tcW w:w="1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60" w:type="dxa"/>
            <w:vAlign w:val="bottom"/>
          </w:tcPr>
          <w:p>
            <w:pPr>
              <w:spacing w:after="0"/>
              <w:rPr>
                <w:sz w:val="9"/>
                <w:szCs w:val="9"/>
                <w:color w:val="auto"/>
              </w:rPr>
            </w:pPr>
          </w:p>
        </w:tc>
        <w:tc>
          <w:tcPr>
            <w:tcW w:w="74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40" w:type="dxa"/>
            <w:vAlign w:val="bottom"/>
          </w:tcPr>
          <w:p>
            <w:pPr>
              <w:spacing w:after="0"/>
              <w:rPr>
                <w:sz w:val="9"/>
                <w:szCs w:val="9"/>
                <w:color w:val="auto"/>
              </w:rPr>
            </w:pPr>
          </w:p>
        </w:tc>
        <w:tc>
          <w:tcPr>
            <w:tcW w:w="76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tcPr>
          <w:p>
            <w:pPr>
              <w:spacing w:after="0"/>
              <w:rPr>
                <w:sz w:val="9"/>
                <w:szCs w:val="9"/>
                <w:color w:val="auto"/>
              </w:rPr>
            </w:pPr>
          </w:p>
        </w:tc>
        <w:tc>
          <w:tcPr>
            <w:tcW w:w="700" w:type="dxa"/>
            <w:vAlign w:val="bottom"/>
            <w:vMerge w:val="restart"/>
          </w:tcPr>
          <w:p>
            <w:pPr>
              <w:jc w:val="center"/>
              <w:spacing w:after="0" w:line="127"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40" w:type="dxa"/>
            <w:vAlign w:val="bottom"/>
          </w:tcPr>
          <w:p>
            <w:pPr>
              <w:spacing w:after="0"/>
              <w:rPr>
                <w:sz w:val="9"/>
                <w:szCs w:val="9"/>
                <w:color w:val="auto"/>
              </w:rPr>
            </w:pPr>
          </w:p>
        </w:tc>
        <w:tc>
          <w:tcPr>
            <w:tcW w:w="158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6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1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196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6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40" w:type="dxa"/>
            <w:vAlign w:val="bottom"/>
          </w:tcPr>
          <w:p>
            <w:pPr>
              <w:spacing w:after="0"/>
              <w:rPr>
                <w:sz w:val="16"/>
                <w:szCs w:val="16"/>
                <w:color w:val="auto"/>
              </w:rPr>
            </w:pPr>
          </w:p>
        </w:tc>
        <w:tc>
          <w:tcPr>
            <w:tcW w:w="880" w:type="dxa"/>
            <w:vAlign w:val="bottom"/>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16"/>
                <w:szCs w:val="16"/>
                <w:color w:val="auto"/>
              </w:rPr>
            </w:pPr>
          </w:p>
        </w:tc>
        <w:tc>
          <w:tcPr>
            <w:tcW w:w="900" w:type="dxa"/>
            <w:vAlign w:val="bottom"/>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0" w:type="dxa"/>
            <w:vAlign w:val="bottom"/>
          </w:tcPr>
          <w:p>
            <w:pPr>
              <w:spacing w:after="0"/>
              <w:rPr>
                <w:sz w:val="16"/>
                <w:szCs w:val="16"/>
                <w:color w:val="auto"/>
              </w:rPr>
            </w:pP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23"/>
        </w:trPr>
        <w:tc>
          <w:tcPr>
            <w:tcW w:w="15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Scott J. Taylor</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Pura Vida Investments,</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(51)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3,200,000</w:t>
            </w: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50,000 3,200,000</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50,000</w:t>
            </w:r>
          </w:p>
        </w:tc>
        <w:tc>
          <w:tcPr>
            <w:tcW w:w="76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Seawolf Capital LLC</w:t>
            </w:r>
            <w:r>
              <w:rPr>
                <w:rFonts w:ascii="Times New Roman" w:cs="Times New Roman" w:eastAsia="Times New Roman" w:hAnsi="Times New Roman"/>
                <w:sz w:val="28"/>
                <w:szCs w:val="28"/>
                <w:color w:val="auto"/>
                <w:vertAlign w:val="superscript"/>
              </w:rPr>
              <w:t>(52)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43,750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Entities affiliated with</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9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Senvest Management</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(53)</w:t>
            </w:r>
          </w:p>
        </w:tc>
        <w:tc>
          <w:tcPr>
            <w:tcW w:w="24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5,584,975 3,468,682 4,000,000</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1,584,975</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94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3,468,682</w:t>
            </w: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SOJE Fund LP</w:t>
            </w:r>
            <w:r>
              <w:rPr>
                <w:rFonts w:ascii="Times New Roman" w:cs="Times New Roman" w:eastAsia="Times New Roman" w:hAnsi="Times New Roman"/>
                <w:sz w:val="28"/>
                <w:szCs w:val="28"/>
                <w:color w:val="auto"/>
                <w:vertAlign w:val="superscript"/>
              </w:rPr>
              <w:t>(54)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SRC WM LP</w:t>
            </w:r>
            <w:r>
              <w:rPr>
                <w:rFonts w:ascii="Times New Roman" w:cs="Times New Roman" w:eastAsia="Times New Roman" w:hAnsi="Times New Roman"/>
                <w:sz w:val="28"/>
                <w:szCs w:val="28"/>
                <w:color w:val="auto"/>
                <w:vertAlign w:val="superscript"/>
              </w:rPr>
              <w:t>(55)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Stephen J. Antinelli</w:t>
            </w:r>
            <w:r>
              <w:rPr>
                <w:rFonts w:ascii="Times New Roman" w:cs="Times New Roman" w:eastAsia="Times New Roman" w:hAnsi="Times New Roman"/>
                <w:sz w:val="28"/>
                <w:szCs w:val="28"/>
                <w:color w:val="auto"/>
                <w:vertAlign w:val="superscript"/>
              </w:rPr>
              <w:t>(56)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Stuart Spodek</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19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Sunshine Charitable</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Foundation</w:t>
            </w:r>
            <w:r>
              <w:rPr>
                <w:rFonts w:ascii="Times New Roman" w:cs="Times New Roman" w:eastAsia="Times New Roman" w:hAnsi="Times New Roman"/>
                <w:sz w:val="29"/>
                <w:szCs w:val="29"/>
                <w:color w:val="auto"/>
                <w:vertAlign w:val="superscript"/>
              </w:rPr>
              <w:t>(57)</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Nappan Cocke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6"/>
        </w:trPr>
        <w:tc>
          <w:tcPr>
            <w:tcW w:w="19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Tauro Investments,</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(58)</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TCCS I, LP</w:t>
            </w:r>
            <w:r>
              <w:rPr>
                <w:rFonts w:ascii="Times New Roman" w:cs="Times New Roman" w:eastAsia="Times New Roman" w:hAnsi="Times New Roman"/>
                <w:sz w:val="28"/>
                <w:szCs w:val="28"/>
                <w:color w:val="auto"/>
                <w:vertAlign w:val="superscript"/>
              </w:rPr>
              <w:t>(59)</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Teak Fund, LP</w:t>
            </w:r>
            <w:r>
              <w:rPr>
                <w:rFonts w:ascii="Times New Roman" w:cs="Times New Roman" w:eastAsia="Times New Roman" w:hAnsi="Times New Roman"/>
                <w:sz w:val="28"/>
                <w:szCs w:val="28"/>
                <w:color w:val="auto"/>
                <w:vertAlign w:val="superscript"/>
              </w:rPr>
              <w:t>(60)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Teton Fund, LP</w:t>
            </w:r>
            <w:r>
              <w:rPr>
                <w:rFonts w:ascii="Times New Roman" w:cs="Times New Roman" w:eastAsia="Times New Roman" w:hAnsi="Times New Roman"/>
                <w:sz w:val="28"/>
                <w:szCs w:val="28"/>
                <w:color w:val="auto"/>
                <w:vertAlign w:val="superscript"/>
              </w:rPr>
              <w:t>(61)</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1960" w:type="dxa"/>
            <w:vAlign w:val="bottom"/>
            <w:gridSpan w:val="2"/>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 Vorfeld Family</w:t>
            </w: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shd w:val="clear" w:color="auto" w:fill="CCEEFF"/>
          </w:tcPr>
          <w:p>
            <w:pPr>
              <w:ind w:left="180"/>
              <w:spacing w:after="0" w:line="258" w:lineRule="exact"/>
              <w:rPr>
                <w:sz w:val="20"/>
                <w:szCs w:val="20"/>
                <w:color w:val="auto"/>
              </w:rPr>
            </w:pPr>
            <w:r>
              <w:rPr>
                <w:rFonts w:ascii="Times New Roman" w:cs="Times New Roman" w:eastAsia="Times New Roman" w:hAnsi="Times New Roman"/>
                <w:sz w:val="18"/>
                <w:szCs w:val="18"/>
                <w:color w:val="auto"/>
              </w:rPr>
              <w:t>Trust</w:t>
            </w:r>
            <w:r>
              <w:rPr>
                <w:rFonts w:ascii="Times New Roman" w:cs="Times New Roman" w:eastAsia="Times New Roman" w:hAnsi="Times New Roman"/>
                <w:sz w:val="29"/>
                <w:szCs w:val="29"/>
                <w:color w:val="auto"/>
                <w:vertAlign w:val="superscript"/>
              </w:rPr>
              <w:t>(62)</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shd w:val="clear" w:color="auto" w:fill="CCEEFF"/>
          </w:tcPr>
          <w:p>
            <w:pPr>
              <w:spacing w:after="0"/>
              <w:rPr>
                <w:sz w:val="22"/>
                <w:szCs w:val="22"/>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Thomas Marino</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60" w:type="dxa"/>
            <w:vAlign w:val="bottom"/>
          </w:tcPr>
          <w:p>
            <w:pPr>
              <w:spacing w:after="0"/>
              <w:rPr>
                <w:sz w:val="20"/>
                <w:szCs w:val="20"/>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4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0"/>
                <w:szCs w:val="20"/>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Troy Gregory</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1"/>
        </w:trPr>
        <w:tc>
          <w:tcPr>
            <w:tcW w:w="1960" w:type="dxa"/>
            <w:vAlign w:val="bottom"/>
            <w:gridSpan w:val="2"/>
          </w:tcPr>
          <w:p>
            <w:pPr>
              <w:spacing w:after="0" w:line="201" w:lineRule="exact"/>
              <w:rPr>
                <w:sz w:val="20"/>
                <w:szCs w:val="20"/>
                <w:color w:val="auto"/>
              </w:rPr>
            </w:pPr>
            <w:r>
              <w:rPr>
                <w:rFonts w:ascii="Times New Roman" w:cs="Times New Roman" w:eastAsia="Times New Roman" w:hAnsi="Times New Roman"/>
                <w:sz w:val="18"/>
                <w:szCs w:val="18"/>
                <w:color w:val="auto"/>
              </w:rPr>
              <w:t>TLP Investment Partners</w:t>
            </w: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1960" w:type="dxa"/>
            <w:vAlign w:val="bottom"/>
            <w:gridSpan w:val="2"/>
          </w:tcPr>
          <w:p>
            <w:pPr>
              <w:ind w:left="180"/>
              <w:spacing w:after="0" w:line="258" w:lineRule="exact"/>
              <w:rPr>
                <w:sz w:val="20"/>
                <w:szCs w:val="20"/>
                <w:color w:val="auto"/>
              </w:rPr>
            </w:pPr>
            <w:r>
              <w:rPr>
                <w:rFonts w:ascii="Times New Roman" w:cs="Times New Roman" w:eastAsia="Times New Roman" w:hAnsi="Times New Roman"/>
                <w:sz w:val="29"/>
                <w:szCs w:val="29"/>
                <w:color w:val="auto"/>
                <w:vertAlign w:val="subscript"/>
              </w:rPr>
              <w:t>LLC</w:t>
            </w:r>
            <w:r>
              <w:rPr>
                <w:rFonts w:ascii="Times New Roman" w:cs="Times New Roman" w:eastAsia="Times New Roman" w:hAnsi="Times New Roman"/>
                <w:sz w:val="13"/>
                <w:szCs w:val="13"/>
                <w:color w:val="auto"/>
              </w:rPr>
              <w:t>(63)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60" w:type="dxa"/>
            <w:vAlign w:val="bottom"/>
          </w:tcPr>
          <w:p>
            <w:pPr>
              <w:spacing w:after="0"/>
              <w:rPr>
                <w:sz w:val="22"/>
                <w:szCs w:val="22"/>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4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2"/>
                <w:szCs w:val="22"/>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TUP Investments, L.P.</w:t>
            </w:r>
            <w:r>
              <w:rPr>
                <w:rFonts w:ascii="Times New Roman" w:cs="Times New Roman" w:eastAsia="Times New Roman" w:hAnsi="Times New Roman"/>
                <w:sz w:val="28"/>
                <w:szCs w:val="28"/>
                <w:color w:val="auto"/>
                <w:vertAlign w:val="superscript"/>
              </w:rPr>
              <w:t>(64)</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1960" w:type="dxa"/>
            <w:vAlign w:val="bottom"/>
            <w:gridSpan w:val="2"/>
          </w:tcPr>
          <w:p>
            <w:pPr>
              <w:spacing w:after="0" w:line="243" w:lineRule="exact"/>
              <w:rPr>
                <w:sz w:val="20"/>
                <w:szCs w:val="20"/>
                <w:color w:val="auto"/>
              </w:rPr>
            </w:pPr>
            <w:r>
              <w:rPr>
                <w:rFonts w:ascii="Times New Roman" w:cs="Times New Roman" w:eastAsia="Times New Roman" w:hAnsi="Times New Roman"/>
                <w:sz w:val="17"/>
                <w:szCs w:val="17"/>
                <w:color w:val="auto"/>
              </w:rPr>
              <w:t>Vobren Limited</w:t>
            </w:r>
            <w:r>
              <w:rPr>
                <w:rFonts w:ascii="Times New Roman" w:cs="Times New Roman" w:eastAsia="Times New Roman" w:hAnsi="Times New Roman"/>
                <w:sz w:val="28"/>
                <w:szCs w:val="28"/>
                <w:color w:val="auto"/>
                <w:vertAlign w:val="superscript"/>
              </w:rPr>
              <w:t>(65)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40" w:type="dxa"/>
            <w:vAlign w:val="bottom"/>
          </w:tcPr>
          <w:p>
            <w:pPr>
              <w:spacing w:after="0"/>
              <w:rPr>
                <w:sz w:val="21"/>
                <w:szCs w:val="2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6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James Pade III.</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40" w:type="dxa"/>
            <w:vAlign w:val="bottom"/>
            <w:shd w:val="clear" w:color="auto" w:fill="CCEEFF"/>
          </w:tcPr>
          <w:p>
            <w:pPr>
              <w:spacing w:after="0"/>
              <w:rPr>
                <w:sz w:val="19"/>
                <w:szCs w:val="19"/>
                <w:color w:val="auto"/>
              </w:rPr>
            </w:pP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154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Camire serves as the General Counsel and Secretary of the Company.</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Francis serves as the Chief Executive Officer of the Company and a member of the Company’s board of directors. 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Hartfield is a co-founder of the Company and served as a member of the Company’s board of directors until August 2023. 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 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Julien Brenier or (4) Rupert Martin.</w:t>
      </w:r>
    </w:p>
    <w:p>
      <w:pPr>
        <w:spacing w:after="0" w:line="25"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 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31" w:lineRule="auto"/>
        <w:rPr>
          <w:sz w:val="20"/>
          <w:szCs w:val="20"/>
          <w:color w:val="auto"/>
        </w:rPr>
      </w:pPr>
      <w:r>
        <w:rPr>
          <w:rFonts w:ascii="Times New Roman" w:cs="Times New Roman" w:eastAsia="Times New Roman" w:hAnsi="Times New Roman"/>
          <w:sz w:val="14"/>
          <w:szCs w:val="14"/>
          <w:color w:val="auto"/>
        </w:rPr>
        <w:t>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5" w:lineRule="exact"/>
        <w:rPr>
          <w:sz w:val="20"/>
          <w:szCs w:val="20"/>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319"/>
        <w:spacing w:after="0" w:line="241" w:lineRule="auto"/>
        <w:rPr>
          <w:sz w:val="20"/>
          <w:szCs w:val="20"/>
          <w:color w:val="auto"/>
        </w:rPr>
      </w:pPr>
      <w:r>
        <w:rPr>
          <w:rFonts w:ascii="Times New Roman" w:cs="Times New Roman" w:eastAsia="Times New Roman" w:hAnsi="Times New Roman"/>
          <w:sz w:val="14"/>
          <w:szCs w:val="14"/>
          <w:color w:val="auto"/>
        </w:rPr>
        <w:t>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sz w:val="20"/>
          <w:szCs w:val="20"/>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0" w:lineRule="auto"/>
        <w:tabs>
          <w:tab w:leader="none" w:pos="5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August 19, 2025, there were (1) 107,897,133 shares of Class A Common Stock,</w:t>
      </w:r>
    </w:p>
    <w:p>
      <w:pPr>
        <w:spacing w:after="0" w:line="1" w:lineRule="exact"/>
        <w:rPr>
          <w:rFonts w:ascii="Times New Roman" w:cs="Times New Roman" w:eastAsia="Times New Roman" w:hAnsi="Times New Roman"/>
          <w:sz w:val="18"/>
          <w:szCs w:val="18"/>
          <w:color w:val="auto"/>
        </w:rPr>
      </w:pPr>
    </w:p>
    <w:p>
      <w:pPr>
        <w:ind w:left="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49,319,542 shares of Class V Common Stock and no shares of preferred stock outstanding.</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18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sky laws of the state of residence of the holder (or we permits holders to exercise their Public Warrants on a cashless 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multiplied by the excess of the “fair market value” (defined below) over the exercise price of the 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3"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12,499,973 Public Warrants outstanding.</w:t>
      </w:r>
    </w:p>
    <w:p>
      <w:pPr>
        <w:spacing w:after="0" w:line="2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August 19, 2025, there were 7,000,000 Private Placement Warrants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 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Staggered Board</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Our board of directors is divided into three classes, with the number of directors in each class as nearly equal in size as is practicable. The directors in each class will serve for a three-year term, one class being elected each year by our stockholders.</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 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18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2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72"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exercise, disposition or lapse of our securities.</w:t>
      </w:r>
    </w:p>
    <w:p>
      <w:pPr>
        <w:spacing w:after="0" w:line="79"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exercise, disposition or lapse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exercise, disposition or lapse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real estate investment trusts, persons that have a “functional currency” other than the U.S. dollar, tax-qualified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exercise, disposition or lapse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 Holder nor a partnership or an entity or arrangement treated as a partnership for U.S. federal income tax purposes.</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“Tax Considerations Applicable to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treated as a corporation for U.S. federal income tax purposes generally will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currently are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currently are generally eligible for reduced rates of tax. If the U.S. Holder’s holding period for the Class A Common Stock so disposed of is one year or less, any gain on a sale or other taxable disposition of the shares would be subject to short-term capital gain treatment and would be subject to U.S. federal income tax at ordinary income tax rates. The deductibility of capital losses is subject to limitations.</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A cashless exercise may be nontaxable, either because the exercise is not a realization event or because the exercise is treated as a recapitalization for U.S. federal income tax purposes. It is also possible that a cashless exercise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of a Warrant could be treated in part as a taxable exchange in which gain or loss is recognized.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 basis in its Warrants will generally equal the U.S. Holder’s acquisition cost, increased by the amount of any constructive distributions included in income by such U.S. Holder (as described below under “Tax Considerations Applicable to U.S. Holders-Possible Constructive Distributions”). Such gain or loss generally will be treated as long-term capital gain or loss if the Warrant is held by the U.S. Holder for more than one year at the time of such disposition or expiration.</w:t>
      </w:r>
    </w:p>
    <w:p>
      <w:pPr>
        <w:spacing w:after="0" w:line="8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Because the term of the Warrants is more than one year, a U.S. Holder’s capital loss generally will be treated as a long-term capital loss. The deductibility of capital losses is subject to certain limitations.</w:t>
      </w:r>
    </w:p>
    <w:p>
      <w:pPr>
        <w:spacing w:after="0" w:line="2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Securities-Warrants-Public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“Tax Considerations Applicable to U.S. Holders-Taxation of Distributions” in the same manner as if such U.S. Holder received a cash distribution from us on Class A Common Stock equal to the fair market value of such increased interest.</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distributions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U.S. Holders should consult their tax advisors regarding their qualification for an exemption from backup withholding and the procedures for obtaining such an exemption.</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of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“Tax Considerations Applicable to Non-U.S. Holders-Possible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“Tax Considerations Applicable to Non-U.S. Holders-Gain on Sale, Exchange or Other Taxable Disposition of Class A Common Stock and Warrants” below. In addition, if we determine that we are likely to be classified as a “United States real property holding corporation” (see the section entitled “Tax Considerations Applicable to Non-U.S. Holders-Gain on Sale, Exchange or Other Taxable Disposition of Class A Common Stock and Warrants” below), we will withhold 15% of any distribution that exceeds our current and accumulated earnings and profits.</w:t>
      </w:r>
    </w:p>
    <w:p>
      <w:pPr>
        <w:spacing w:after="0" w:line="88"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(and, if an applicable tax treaty so requires, is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1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“Tax Considerations Applicable to U.S. Holders-Exercise of a Warrant” above, although to the extent a cashless exercise results in a taxable exchange, the tax consequences to the non-U.S. Holder would be the same as those described below in “Tax Considerations Applicable to Non-U.S. Holders-Gain on Sale, Exchange or Other Taxable Disposition of Class A Common Stock and Warrants.”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our Warrants. There can be no assurance that our Class A Common Stock or Warrants will be treated as regularly traded or not regularly traded on an established securities market for this purpose.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 Class A Common Stock or Warrants from such holder may be required to withhold U.S.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Securities-Warrants-Public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“Tax Considerations Applicable to Non-U.S. Holders-Taxation of Distributions” in the same manner as if such non-U.S. Holder received a cash distribution from us on Class A Common Stock equal to the fair market value of such increased interest without any corresponding receipt of cash.</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U.S.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(including constructive dividends) in respect of our securities held by an investor that is a non-financial foreign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proposed U.S. Treasury Regulations have been released that, if finalized in their proposed form, would eliminate the obligation under FATCA to withhold on such gross proceeds. Although these proposed Treasury Regulations are not final, the preamble states that taxpayers generally may rely on them until final U.S. Treasury Regulations are issued. Prospective investors should consult their tax advisors regarding the possible implications of FATCA on their investment in our securities.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distributions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6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0"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as of December 31, 2024 and 2023, and for the years then ended, appearing in our Annual Report on Form 10-K for the year ended December 31, 2024, and incorporated by reference herein, and the effectiveness of internal control over financial reporting as of December 31, 2024, have been audited by Baker Tilly US, LLP (formerly, Moss Adams LLP), an independent registered public accounting firm, as stated in their report (which report expresses an unqualified opinion on the consolidated financial statements and an adverse opinion on the effectiveness of internal control over financial reporting due to material weaknesses). Such consolidated financial statements are incorporated by reference in reliance upon the report of such firm given their authority as experts in accounting and auditing.</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auto"/>
          </w:rPr>
          <w:t xml:space="preserve">our Annual Report on Form 10-K for the year ended December 31, 2024, filed with the SEC on </w:t>
        </w:r>
        <w:r>
          <w:rPr>
            <w:rFonts w:ascii="Times New Roman" w:cs="Times New Roman" w:eastAsia="Times New Roman" w:hAnsi="Times New Roman"/>
            <w:sz w:val="18"/>
            <w:szCs w:val="18"/>
            <w:u w:val="single" w:color="auto"/>
            <w:color w:val="0000EE"/>
          </w:rPr>
          <w:t>March 13,</w:t>
        </w:r>
      </w:hyperlink>
      <w:r>
        <w:rPr>
          <w:rFonts w:ascii="Times New Roman" w:cs="Times New Roman" w:eastAsia="Times New Roman" w:hAnsi="Times New Roman"/>
          <w:sz w:val="18"/>
          <w:szCs w:val="18"/>
          <w:color w:val="auto"/>
        </w:rPr>
        <w:t xml:space="preserve"> </w:t>
      </w:r>
      <w:hyperlink r:id="rId48">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2024, filed on </w:t>
      </w:r>
      <w:hyperlink r:id="rId49">
        <w:r>
          <w:rPr>
            <w:rFonts w:ascii="Times New Roman" w:cs="Times New Roman" w:eastAsia="Times New Roman" w:hAnsi="Times New Roman"/>
            <w:sz w:val="18"/>
            <w:szCs w:val="18"/>
            <w:u w:val="single" w:color="auto"/>
            <w:color w:val="0000EE"/>
          </w:rPr>
          <w:t>April 29, 2025</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21"/>
        </w:numPr>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auto"/>
          </w:rPr>
          <w:t xml:space="preserve">our Quarterly Reports on Form 10-Q for the quarter ended March 31, 2025, filed with the SEC on </w:t>
        </w:r>
        <w:r>
          <w:rPr>
            <w:rFonts w:ascii="Times New Roman" w:cs="Times New Roman" w:eastAsia="Times New Roman" w:hAnsi="Times New Roman"/>
            <w:sz w:val="18"/>
            <w:szCs w:val="18"/>
            <w:u w:val="single" w:color="auto"/>
            <w:color w:val="0000EE"/>
          </w:rPr>
          <w:t>May 8,</w:t>
        </w:r>
      </w:hyperlink>
      <w:r>
        <w:rPr>
          <w:rFonts w:ascii="Times New Roman" w:cs="Times New Roman" w:eastAsia="Times New Roman" w:hAnsi="Times New Roman"/>
          <w:sz w:val="18"/>
          <w:szCs w:val="18"/>
          <w:color w:val="auto"/>
        </w:rPr>
        <w:t xml:space="preserve"> </w:t>
      </w:r>
      <w:hyperlink r:id="rId5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 and for the quarter ended June 30, 2025, filed with the SEC on</w:t>
        </w:r>
        <w:r>
          <w:rPr>
            <w:rFonts w:ascii="Times New Roman" w:cs="Times New Roman" w:eastAsia="Times New Roman" w:hAnsi="Times New Roman"/>
            <w:sz w:val="18"/>
            <w:szCs w:val="18"/>
            <w:color w:val="0000EE"/>
          </w:rPr>
          <w:t xml:space="preserve"> </w:t>
        </w:r>
      </w:hyperlink>
      <w:hyperlink r:id="rId51">
        <w:r>
          <w:rPr>
            <w:rFonts w:ascii="Times New Roman" w:cs="Times New Roman" w:eastAsia="Times New Roman" w:hAnsi="Times New Roman"/>
            <w:sz w:val="18"/>
            <w:szCs w:val="18"/>
            <w:u w:val="single" w:color="auto"/>
            <w:color w:val="0000EE"/>
          </w:rPr>
          <w:t>August 7, 2025</w:t>
        </w:r>
      </w:hyperlink>
      <w:hyperlink r:id="rId50">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29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52">
        <w:r>
          <w:rPr>
            <w:rFonts w:ascii="Times New Roman" w:cs="Times New Roman" w:eastAsia="Times New Roman" w:hAnsi="Times New Roman"/>
            <w:sz w:val="18"/>
            <w:szCs w:val="18"/>
            <w:u w:val="single" w:color="auto"/>
            <w:color w:val="0000EE"/>
          </w:rPr>
          <w:t>June 9, 2025</w:t>
        </w:r>
      </w:hyperlink>
      <w:r>
        <w:rPr>
          <w:rFonts w:ascii="Times New Roman" w:cs="Times New Roman" w:eastAsia="Times New Roman" w:hAnsi="Times New Roman"/>
          <w:sz w:val="18"/>
          <w:szCs w:val="18"/>
          <w:color w:val="auto"/>
        </w:rPr>
        <w:t xml:space="preserve">, </w:t>
      </w:r>
      <w:hyperlink r:id="rId53">
        <w:r>
          <w:rPr>
            <w:rFonts w:ascii="Times New Roman" w:cs="Times New Roman" w:eastAsia="Times New Roman" w:hAnsi="Times New Roman"/>
            <w:sz w:val="18"/>
            <w:szCs w:val="18"/>
            <w:u w:val="single" w:color="auto"/>
            <w:color w:val="0000EE"/>
          </w:rPr>
          <w:t>June 27,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54">
        <w:r>
          <w:rPr>
            <w:rFonts w:ascii="Times New Roman" w:cs="Times New Roman" w:eastAsia="Times New Roman" w:hAnsi="Times New Roman"/>
            <w:sz w:val="18"/>
            <w:szCs w:val="18"/>
            <w:u w:val="single" w:color="auto"/>
            <w:color w:val="0000EE"/>
          </w:rPr>
          <w:t>August 19, 2025</w:t>
        </w:r>
      </w:hyperlink>
      <w:r>
        <w:rPr>
          <w:rFonts w:ascii="Times New Roman" w:cs="Times New Roman" w:eastAsia="Times New Roman" w:hAnsi="Times New Roman"/>
          <w:sz w:val="18"/>
          <w:szCs w:val="18"/>
          <w:color w:val="auto"/>
        </w:rPr>
        <w:t xml:space="preserve"> to the extent for the information in such reports is filed and not furnished; and</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w:t>
      </w:r>
      <w:hyperlink r:id="rId55">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2024 filed with the SEC on March 13, 2025,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16" w:lineRule="exact"/>
        <w:rPr>
          <w:rFonts w:ascii="Times New Roman" w:cs="Times New Roman" w:eastAsia="Times New Roman" w:hAnsi="Times New Roman"/>
          <w:sz w:val="18"/>
          <w:szCs w:val="18"/>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20" w:hanging="221"/>
        <w:spacing w:after="0"/>
        <w:tabs>
          <w:tab w:leader="none" w:pos="4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780" w:right="3659" w:hanging="171"/>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 Tel: (844) 933-3627</w:t>
      </w:r>
    </w:p>
    <w:p>
      <w:pPr>
        <w:spacing w:after="0" w:line="181"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03"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Other Expenses of Issuance and Distribution.</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following is an estimate of the expenses (all of which are to be paid by the registrant) that we may incur in connection with the securities being registered hereby.</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280" w:type="dxa"/>
            <w:vAlign w:val="bottom"/>
          </w:tcPr>
          <w:p>
            <w:pPr>
              <w:spacing w:after="0"/>
              <w:rPr>
                <w:sz w:val="16"/>
                <w:szCs w:val="16"/>
                <w:color w:val="auto"/>
              </w:rPr>
            </w:pPr>
          </w:p>
        </w:tc>
        <w:tc>
          <w:tcPr>
            <w:tcW w:w="5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1280" w:type="dxa"/>
            <w:vAlign w:val="bottom"/>
          </w:tcPr>
          <w:p>
            <w:pPr>
              <w:spacing w:after="0"/>
              <w:rPr>
                <w:sz w:val="2"/>
                <w:szCs w:val="2"/>
                <w:color w:val="auto"/>
              </w:rPr>
            </w:pPr>
          </w:p>
        </w:tc>
        <w:tc>
          <w:tcPr>
            <w:tcW w:w="5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r>
      <w:tr>
        <w:trPr>
          <w:trHeight w:val="250"/>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180" w:type="dxa"/>
            <w:vAlign w:val="bottom"/>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$401,800+</w:t>
            </w:r>
          </w:p>
        </w:tc>
      </w:tr>
      <w:tr>
        <w:trPr>
          <w:trHeight w:val="23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3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Miscellaneous</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8"/>
        </w:trPr>
        <w:tc>
          <w:tcPr>
            <w:tcW w:w="72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r>
      <w:tr>
        <w:trPr>
          <w:trHeight w:val="148"/>
        </w:trPr>
        <w:tc>
          <w:tcPr>
            <w:tcW w:w="1280" w:type="dxa"/>
            <w:vAlign w:val="bottom"/>
            <w:tcBorders>
              <w:bottom w:val="single" w:sz="8" w:color="auto"/>
            </w:tcBorders>
          </w:tcPr>
          <w:p>
            <w:pPr>
              <w:spacing w:after="0"/>
              <w:rPr>
                <w:sz w:val="12"/>
                <w:szCs w:val="12"/>
                <w:color w:val="auto"/>
              </w:rPr>
            </w:pPr>
          </w:p>
        </w:tc>
        <w:tc>
          <w:tcPr>
            <w:tcW w:w="5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r>
    </w:tbl>
    <w:p>
      <w:pPr>
        <w:spacing w:after="0" w:line="31" w:lineRule="exact"/>
        <w:rPr>
          <w:sz w:val="20"/>
          <w:szCs w:val="20"/>
          <w:color w:val="auto"/>
        </w:rPr>
      </w:pPr>
    </w:p>
    <w:p>
      <w:pPr>
        <w:ind w:left="640" w:hanging="348"/>
        <w:spacing w:after="0"/>
        <w:tabs>
          <w:tab w:leader="none" w:pos="6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paid</w:t>
      </w:r>
    </w:p>
    <w:p>
      <w:pPr>
        <w:spacing w:after="0" w:line="42" w:lineRule="exact"/>
        <w:rPr>
          <w:sz w:val="20"/>
          <w:szCs w:val="20"/>
          <w:color w:val="auto"/>
        </w:rPr>
      </w:pPr>
    </w:p>
    <w:p>
      <w:pPr>
        <w:jc w:val="both"/>
        <w:ind w:left="640" w:right="299" w:hanging="348"/>
        <w:spacing w:after="0" w:line="236" w:lineRule="auto"/>
        <w:tabs>
          <w:tab w:leader="none" w:pos="6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for the SEC registration fee, estimated expenses are not presently known. The foregoing sets forth the general categories of expenses (other than underwriting discounts and commissions) that we anticipate we will incur in connection with the offering of securities under this registration statement. To the extent required, any applicable prospectus supplement will set forth the estimated aggregate amount of expenses payable in respect of any offering of securities under the registration statement.</w:t>
      </w:r>
    </w:p>
    <w:p>
      <w:pPr>
        <w:spacing w:after="0" w:line="177"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15.</w:t>
        <w:tab/>
        <w:t>Indemnification of Directors and Officers.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145(a) of the DGCL provides, in general, that a corporation may indemnify any person who was or is a party to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86"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Court of Chancery or other adjudicating court determines that, despite the adjudication of liability but in view of all of the circumstances of the case, he or she is fairly and reasonably entitled to indemnity for such expenses that the Court of Chancery or other adjudicating court shall deem proper.</w:t>
      </w:r>
    </w:p>
    <w:p>
      <w:pPr>
        <w:spacing w:after="0" w:line="8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79"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Additionally, 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the Company’s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w:t>
      </w:r>
    </w:p>
    <w:p>
      <w:pPr>
        <w:spacing w:after="0" w:line="158"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80" w:type="dxa"/>
            <w:vAlign w:val="bottom"/>
          </w:tcPr>
          <w:p>
            <w:pPr>
              <w:spacing w:after="0"/>
              <w:rPr>
                <w:sz w:val="13"/>
                <w:szCs w:val="13"/>
                <w:color w:val="auto"/>
              </w:rPr>
            </w:pPr>
          </w:p>
        </w:tc>
        <w:tc>
          <w:tcPr>
            <w:tcW w:w="396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3"/>
                <w:szCs w:val="13"/>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Pr>
          <w:p>
            <w:pPr>
              <w:spacing w:after="0"/>
              <w:rPr>
                <w:sz w:val="13"/>
                <w:szCs w:val="13"/>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 w:type="dxa"/>
            <w:vAlign w:val="bottom"/>
          </w:tcPr>
          <w:p>
            <w:pPr>
              <w:spacing w:after="0"/>
              <w:rPr>
                <w:sz w:val="13"/>
                <w:szCs w:val="13"/>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4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80" w:type="dxa"/>
            <w:vAlign w:val="bottom"/>
          </w:tcPr>
          <w:p>
            <w:pPr>
              <w:spacing w:after="0"/>
              <w:rPr>
                <w:sz w:val="16"/>
                <w:szCs w:val="16"/>
                <w:color w:val="auto"/>
              </w:rPr>
            </w:pPr>
          </w:p>
        </w:tc>
        <w:tc>
          <w:tcPr>
            <w:tcW w:w="3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0" w:type="dxa"/>
            <w:vAlign w:val="bottom"/>
            <w:gridSpan w:val="4"/>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2.</w:t>
              </w:r>
              <w:r>
                <w:rPr>
                  <w:rFonts w:ascii="Times New Roman" w:cs="Times New Roman" w:eastAsia="Times New Roman" w:hAnsi="Times New Roman"/>
                  <w:sz w:val="18"/>
                  <w:szCs w:val="18"/>
                  <w:u w:val="single" w:color="auto"/>
                  <w:color w:val="0000EE"/>
                </w:rPr>
                <w:t>1+</w:t>
              </w:r>
            </w:hyperlink>
          </w:p>
        </w:tc>
        <w:tc>
          <w:tcPr>
            <w:tcW w:w="60" w:type="dxa"/>
            <w:vAlign w:val="bottom"/>
            <w:shd w:val="clear" w:color="auto" w:fill="CCEEFF"/>
          </w:tcPr>
          <w:p>
            <w:pPr>
              <w:spacing w:after="0"/>
              <w:rPr>
                <w:sz w:val="17"/>
                <w:szCs w:val="17"/>
                <w:color w:val="auto"/>
              </w:rPr>
            </w:pPr>
          </w:p>
        </w:tc>
        <w:tc>
          <w:tcPr>
            <w:tcW w:w="4040" w:type="dxa"/>
            <w:vAlign w:val="bottom"/>
            <w:gridSpan w:val="2"/>
            <w:shd w:val="clear" w:color="auto" w:fill="CCEEFF"/>
          </w:tcPr>
          <w:p>
            <w:pPr>
              <w:ind w:left="80"/>
              <w:spacing w:after="0" w:line="196" w:lineRule="exact"/>
              <w:rPr>
                <w:sz w:val="20"/>
                <w:szCs w:val="20"/>
                <w:color w:val="auto"/>
              </w:rPr>
            </w:pPr>
            <w:r>
              <w:rPr>
                <w:rFonts w:ascii="Times New Roman" w:cs="Times New Roman" w:eastAsia="Times New Roman" w:hAnsi="Times New Roman"/>
                <w:sz w:val="18"/>
                <w:szCs w:val="18"/>
                <w:color w:val="auto"/>
              </w:rPr>
              <w:t>Agreement and Plan of Merger, dated December 10,</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shd w:val="clear" w:color="auto" w:fill="CCEEFF"/>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December 10, 2020</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9"/>
              </w:rPr>
              <w:t>2020, by and among Silver Spike, Merger Sub, WMH,</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and the Holder Representative named therein</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Certificate of Incorporation of the Company</w:t>
            </w:r>
          </w:p>
        </w:tc>
        <w:tc>
          <w:tcPr>
            <w:tcW w:w="100" w:type="dxa"/>
            <w:vAlign w:val="bottom"/>
          </w:tcPr>
          <w:p>
            <w:pPr>
              <w:spacing w:after="0"/>
              <w:rPr>
                <w:sz w:val="16"/>
                <w:szCs w:val="16"/>
                <w:color w:val="auto"/>
              </w:rPr>
            </w:pPr>
          </w:p>
        </w:tc>
        <w:tc>
          <w:tcPr>
            <w:tcW w:w="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EE"/>
            </w:tcBorders>
            <w:shd w:val="clear" w:color="auto" w:fill="CCEEFF"/>
          </w:tcPr>
          <w:p>
            <w:pPr>
              <w:spacing w:after="0" w:line="189" w:lineRule="exact"/>
              <w:rPr>
                <w:rFonts w:ascii="Times New Roman" w:cs="Times New Roman" w:eastAsia="Times New Roman" w:hAnsi="Times New Roman"/>
                <w:sz w:val="18"/>
                <w:szCs w:val="18"/>
                <w:color w:val="0000EE"/>
                <w:w w:val="88"/>
              </w:rPr>
            </w:pPr>
            <w:hyperlink r:id="rId60">
              <w:r>
                <w:rPr>
                  <w:rFonts w:ascii="Times New Roman" w:cs="Times New Roman" w:eastAsia="Times New Roman" w:hAnsi="Times New Roman"/>
                  <w:sz w:val="18"/>
                  <w:szCs w:val="18"/>
                  <w:color w:val="0000EE"/>
                  <w:w w:val="88"/>
                </w:rPr>
                <w:t>3.</w:t>
              </w:r>
              <w:r>
                <w:rPr>
                  <w:rFonts w:ascii="Times New Roman" w:cs="Times New Roman" w:eastAsia="Times New Roman" w:hAnsi="Times New Roman"/>
                  <w:sz w:val="18"/>
                  <w:szCs w:val="18"/>
                  <w:u w:val="single" w:color="auto"/>
                  <w:color w:val="0000EE"/>
                  <w:w w:val="88"/>
                </w:rPr>
                <w:t>2</w:t>
              </w:r>
            </w:hyperlink>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Amended and Restated Bylaws of the Company</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gridSpan w:val="2"/>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tcBorders>
              <w:bottom w:val="single" w:sz="8" w:color="CCEEFF"/>
            </w:tcBorders>
            <w:gridSpan w:val="2"/>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1</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Common Stock Certificate of the Company</w:t>
            </w:r>
          </w:p>
        </w:tc>
        <w:tc>
          <w:tcPr>
            <w:tcW w:w="100" w:type="dxa"/>
            <w:vAlign w:val="bottom"/>
          </w:tcPr>
          <w:p>
            <w:pPr>
              <w:spacing w:after="0"/>
              <w:rPr>
                <w:sz w:val="16"/>
                <w:szCs w:val="16"/>
                <w:color w:val="auto"/>
              </w:rPr>
            </w:pPr>
          </w:p>
        </w:tc>
        <w:tc>
          <w:tcPr>
            <w:tcW w:w="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20" w:type="dxa"/>
            <w:vAlign w:val="bottom"/>
            <w:tcBorders>
              <w:bottom w:val="single" w:sz="8" w:color="0000EE"/>
            </w:tcBorders>
            <w:shd w:val="clear" w:color="auto" w:fill="CCEEFF"/>
          </w:tcPr>
          <w:p>
            <w:pPr>
              <w:spacing w:after="0" w:line="189" w:lineRule="exact"/>
              <w:rPr>
                <w:rFonts w:ascii="Times New Roman" w:cs="Times New Roman" w:eastAsia="Times New Roman" w:hAnsi="Times New Roman"/>
                <w:sz w:val="18"/>
                <w:szCs w:val="18"/>
                <w:color w:val="0000EE"/>
                <w:w w:val="88"/>
              </w:rPr>
            </w:pPr>
            <w:hyperlink r:id="rId6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Form of Warrant Certificate of the Company</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tcBorders>
              <w:bottom w:val="single" w:sz="8" w:color="CCEEFF"/>
            </w:tcBorders>
            <w:gridSpan w:val="2"/>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tcBorders>
              <w:bottom w:val="single" w:sz="8" w:color="CCEEFF"/>
            </w:tcBorders>
            <w:gridSpan w:val="2"/>
            <w:shd w:val="clear" w:color="auto" w:fill="CCEEFF"/>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June 22, 2021</w:t>
            </w:r>
          </w:p>
        </w:tc>
        <w:tc>
          <w:tcPr>
            <w:tcW w:w="0" w:type="dxa"/>
            <w:vAlign w:val="bottom"/>
          </w:tcPr>
          <w:p>
            <w:pPr>
              <w:spacing w:after="0"/>
              <w:rPr>
                <w:sz w:val="1"/>
                <w:szCs w:val="1"/>
                <w:color w:val="auto"/>
              </w:rPr>
            </w:pPr>
          </w:p>
        </w:tc>
      </w:tr>
      <w:tr>
        <w:trPr>
          <w:trHeight w:val="189"/>
        </w:trPr>
        <w:tc>
          <w:tcPr>
            <w:tcW w:w="300" w:type="dxa"/>
            <w:vAlign w:val="bottom"/>
            <w:gridSpan w:val="2"/>
          </w:tcPr>
          <w:p>
            <w:pPr>
              <w:spacing w:after="0" w:line="189"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hyperlink>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Warrant Agreement, dated as of August 7, 2019, by</w:t>
            </w:r>
          </w:p>
        </w:tc>
        <w:tc>
          <w:tcPr>
            <w:tcW w:w="100" w:type="dxa"/>
            <w:vAlign w:val="bottom"/>
          </w:tcPr>
          <w:p>
            <w:pPr>
              <w:spacing w:after="0"/>
              <w:rPr>
                <w:sz w:val="16"/>
                <w:szCs w:val="16"/>
                <w:color w:val="auto"/>
              </w:rPr>
            </w:pPr>
          </w:p>
        </w:tc>
        <w:tc>
          <w:tcPr>
            <w:tcW w:w="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11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gridSpan w:val="2"/>
          </w:tcPr>
          <w:p>
            <w:pPr>
              <w:jc w:val="center"/>
              <w:ind w:left="3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00" w:type="dxa"/>
            <w:vAlign w:val="bottom"/>
          </w:tcPr>
          <w:p>
            <w:pPr>
              <w:spacing w:after="0"/>
              <w:rPr>
                <w:sz w:val="16"/>
                <w:szCs w:val="16"/>
                <w:color w:val="auto"/>
              </w:rPr>
            </w:pPr>
          </w:p>
        </w:tc>
        <w:tc>
          <w:tcPr>
            <w:tcW w:w="1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August 12, 2019</w:t>
            </w: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and between the Company and Continental Stock</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Transfer &amp; Trust Company, as warrant agent</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20" w:type="dxa"/>
            <w:vAlign w:val="bottom"/>
            <w:tcBorders>
              <w:bottom w:val="single" w:sz="8" w:color="0000EE"/>
            </w:tcBorders>
            <w:shd w:val="clear" w:color="auto" w:fill="CCEEFF"/>
          </w:tcPr>
          <w:p>
            <w:pPr>
              <w:spacing w:after="0" w:line="195" w:lineRule="exact"/>
              <w:rPr>
                <w:rFonts w:ascii="Times New Roman" w:cs="Times New Roman" w:eastAsia="Times New Roman" w:hAnsi="Times New Roman"/>
                <w:sz w:val="18"/>
                <w:szCs w:val="18"/>
                <w:color w:val="0000EE"/>
                <w:w w:val="88"/>
              </w:rPr>
            </w:pPr>
            <w:hyperlink r:id="rId5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hyperlink>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40" w:type="dxa"/>
            <w:vAlign w:val="bottom"/>
            <w:tcBorders>
              <w:bottom w:val="single" w:sz="8" w:color="CCEEFF"/>
            </w:tcBorders>
            <w:gridSpan w:val="2"/>
            <w:shd w:val="clear" w:color="auto" w:fill="CCEEFF"/>
          </w:tcPr>
          <w:p>
            <w:pPr>
              <w:ind w:left="80"/>
              <w:spacing w:after="0" w:line="195" w:lineRule="exact"/>
              <w:rPr>
                <w:sz w:val="20"/>
                <w:szCs w:val="20"/>
                <w:color w:val="auto"/>
              </w:rPr>
            </w:pPr>
            <w:r>
              <w:rPr>
                <w:rFonts w:ascii="Times New Roman" w:cs="Times New Roman" w:eastAsia="Times New Roman" w:hAnsi="Times New Roman"/>
                <w:sz w:val="18"/>
                <w:szCs w:val="18"/>
                <w:color w:val="auto"/>
              </w:rPr>
              <w:t>Description of Securities</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7"/>
              </w:rPr>
              <w:t>10-K</w:t>
            </w:r>
          </w:p>
        </w:tc>
        <w:tc>
          <w:tcPr>
            <w:tcW w:w="1180" w:type="dxa"/>
            <w:vAlign w:val="bottom"/>
            <w:tcBorders>
              <w:bottom w:val="single" w:sz="8" w:color="CCEEFF"/>
            </w:tcBorders>
            <w:gridSpan w:val="2"/>
            <w:shd w:val="clear" w:color="auto" w:fill="CCEEFF"/>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9"/>
              </w:rPr>
              <w:t>001-39021</w:t>
            </w:r>
          </w:p>
        </w:tc>
        <w:tc>
          <w:tcPr>
            <w:tcW w:w="580" w:type="dxa"/>
            <w:vAlign w:val="bottom"/>
            <w:tcBorders>
              <w:bottom w:val="single" w:sz="8" w:color="CCEEFF"/>
            </w:tcBorders>
            <w:gridSpan w:val="2"/>
            <w:shd w:val="clear" w:color="auto" w:fill="CCEEFF"/>
          </w:tcPr>
          <w:p>
            <w:pPr>
              <w:jc w:val="center"/>
              <w:ind w:left="30"/>
              <w:spacing w:after="0" w:line="195" w:lineRule="exact"/>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Borders>
              <w:bottom w:val="single" w:sz="8" w:color="CCEEFF"/>
            </w:tcBorders>
            <w:shd w:val="clear" w:color="auto" w:fill="CCEEFF"/>
          </w:tcPr>
          <w:p>
            <w:pPr>
              <w:spacing w:after="0"/>
              <w:rPr>
                <w:sz w:val="19"/>
                <w:szCs w:val="19"/>
                <w:color w:val="auto"/>
              </w:rPr>
            </w:pPr>
          </w:p>
        </w:tc>
        <w:tc>
          <w:tcPr>
            <w:tcW w:w="1520" w:type="dxa"/>
            <w:vAlign w:val="bottom"/>
            <w:tcBorders>
              <w:bottom w:val="single" w:sz="8" w:color="CCEEFF"/>
            </w:tcBorders>
            <w:shd w:val="clear" w:color="auto" w:fill="CCEEFF"/>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February 25, 2022</w:t>
            </w:r>
          </w:p>
        </w:tc>
        <w:tc>
          <w:tcPr>
            <w:tcW w:w="0" w:type="dxa"/>
            <w:vAlign w:val="bottom"/>
          </w:tcPr>
          <w:p>
            <w:pPr>
              <w:spacing w:after="0"/>
              <w:rPr>
                <w:sz w:val="1"/>
                <w:szCs w:val="1"/>
                <w:color w:val="auto"/>
              </w:rPr>
            </w:pPr>
          </w:p>
        </w:tc>
      </w:tr>
      <w:tr>
        <w:trPr>
          <w:trHeight w:val="189"/>
        </w:trPr>
        <w:tc>
          <w:tcPr>
            <w:tcW w:w="320" w:type="dxa"/>
            <w:vAlign w:val="bottom"/>
            <w:gridSpan w:val="3"/>
          </w:tcPr>
          <w:p>
            <w:pPr>
              <w:spacing w:after="0" w:line="189" w:lineRule="exact"/>
              <w:rPr>
                <w:rFonts w:ascii="Times New Roman" w:cs="Times New Roman" w:eastAsia="Times New Roman" w:hAnsi="Times New Roman"/>
                <w:sz w:val="18"/>
                <w:szCs w:val="18"/>
                <w:color w:val="0000EE"/>
                <w:w w:val="95"/>
              </w:rPr>
            </w:pPr>
            <w:hyperlink r:id="rId64">
              <w:r>
                <w:rPr>
                  <w:rFonts w:ascii="Times New Roman" w:cs="Times New Roman" w:eastAsia="Times New Roman" w:hAnsi="Times New Roman"/>
                  <w:sz w:val="18"/>
                  <w:szCs w:val="18"/>
                  <w:color w:val="0000EE"/>
                  <w:w w:val="95"/>
                </w:rPr>
                <w:t>5.</w:t>
              </w:r>
              <w:r>
                <w:rPr>
                  <w:rFonts w:ascii="Times New Roman" w:cs="Times New Roman" w:eastAsia="Times New Roman" w:hAnsi="Times New Roman"/>
                  <w:sz w:val="18"/>
                  <w:szCs w:val="18"/>
                  <w:u w:val="single" w:color="auto"/>
                  <w:color w:val="0000EE"/>
                  <w:w w:val="95"/>
                </w:rPr>
                <w:t>1*</w:t>
              </w:r>
            </w:hyperlink>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Opinion of Cooley LLP</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Consent of Baker Tilly US, LLP (formerly Moss</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20" w:type="dxa"/>
            <w:vAlign w:val="bottom"/>
            <w:tcBorders>
              <w:top w:val="single" w:sz="8" w:color="0000EE"/>
            </w:tcBorders>
            <w:shd w:val="clear" w:color="auto" w:fill="CCEEFF"/>
          </w:tcPr>
          <w:p>
            <w:pPr>
              <w:spacing w:after="0"/>
              <w:rPr>
                <w:sz w:val="21"/>
                <w:szCs w:val="21"/>
                <w:color w:val="auto"/>
              </w:rPr>
            </w:pPr>
          </w:p>
        </w:tc>
        <w:tc>
          <w:tcPr>
            <w:tcW w:w="80" w:type="dxa"/>
            <w:vAlign w:val="bottom"/>
            <w:tcBorders>
              <w:top w:val="single" w:sz="8" w:color="0000EE"/>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40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Adams, LLP)</w:t>
            </w:r>
          </w:p>
        </w:tc>
        <w:tc>
          <w:tcPr>
            <w:tcW w:w="100" w:type="dxa"/>
            <w:vAlign w:val="bottom"/>
            <w:tcBorders>
              <w:top w:val="single" w:sz="8" w:color="CCEEFF"/>
            </w:tcBorders>
            <w:shd w:val="clear" w:color="auto" w:fill="CCEEFF"/>
          </w:tcPr>
          <w:p>
            <w:pPr>
              <w:spacing w:after="0"/>
              <w:rPr>
                <w:sz w:val="21"/>
                <w:szCs w:val="21"/>
                <w:color w:val="auto"/>
              </w:rPr>
            </w:pPr>
          </w:p>
        </w:tc>
        <w:tc>
          <w:tcPr>
            <w:tcW w:w="44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0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5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60" w:type="dxa"/>
            <w:vAlign w:val="bottom"/>
            <w:gridSpan w:val="5"/>
          </w:tcPr>
          <w:p>
            <w:pPr>
              <w:spacing w:after="0" w:line="189"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hyperlink>
          </w:p>
        </w:tc>
        <w:tc>
          <w:tcPr>
            <w:tcW w:w="4040" w:type="dxa"/>
            <w:vAlign w:val="bottom"/>
            <w:gridSpan w:val="2"/>
          </w:tcPr>
          <w:p>
            <w:pPr>
              <w:ind w:left="80"/>
              <w:spacing w:after="0" w:line="189" w:lineRule="exact"/>
              <w:rPr>
                <w:sz w:val="20"/>
                <w:szCs w:val="20"/>
                <w:color w:val="auto"/>
              </w:rPr>
            </w:pPr>
            <w:r>
              <w:rPr>
                <w:rFonts w:ascii="Times New Roman" w:cs="Times New Roman" w:eastAsia="Times New Roman" w:hAnsi="Times New Roman"/>
                <w:sz w:val="18"/>
                <w:szCs w:val="18"/>
                <w:color w:val="auto"/>
              </w:rPr>
              <w:t>Consent of Cooley LLP (included in Exhibit 5.1)</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2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20" w:type="dxa"/>
            <w:vAlign w:val="bottom"/>
            <w:gridSpan w:val="3"/>
            <w:shd w:val="clear" w:color="auto" w:fill="CCEEFF"/>
          </w:tcPr>
          <w:p>
            <w:pPr>
              <w:spacing w:after="0" w:line="189" w:lineRule="exact"/>
              <w:rPr>
                <w:rFonts w:ascii="Times New Roman" w:cs="Times New Roman" w:eastAsia="Times New Roman" w:hAnsi="Times New Roman"/>
                <w:sz w:val="18"/>
                <w:szCs w:val="18"/>
                <w:color w:val="0000EE"/>
                <w:w w:val="95"/>
              </w:rPr>
            </w:pPr>
            <w:hyperlink r:id="rId65">
              <w:r>
                <w:rPr>
                  <w:rFonts w:ascii="Times New Roman" w:cs="Times New Roman" w:eastAsia="Times New Roman" w:hAnsi="Times New Roman"/>
                  <w:sz w:val="18"/>
                  <w:szCs w:val="18"/>
                  <w:color w:val="0000EE"/>
                  <w:w w:val="95"/>
                </w:rPr>
                <w:t>24.</w:t>
              </w:r>
              <w:r>
                <w:rPr>
                  <w:rFonts w:ascii="Times New Roman" w:cs="Times New Roman" w:eastAsia="Times New Roman" w:hAnsi="Times New Roman"/>
                  <w:sz w:val="18"/>
                  <w:szCs w:val="18"/>
                  <w:u w:val="single" w:color="auto"/>
                  <w:color w:val="0000EE"/>
                  <w:w w:val="95"/>
                </w:rPr>
                <w:t>1</w:t>
              </w:r>
            </w:hyperlink>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Power of Attorney (included on signature page of</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20" w:type="dxa"/>
            <w:vAlign w:val="bottom"/>
            <w:tcBorders>
              <w:top w:val="single" w:sz="8" w:color="0000EE"/>
            </w:tcBorders>
            <w:shd w:val="clear" w:color="auto" w:fill="CCEEFF"/>
          </w:tcPr>
          <w:p>
            <w:pPr>
              <w:spacing w:after="0"/>
              <w:rPr>
                <w:sz w:val="18"/>
                <w:szCs w:val="18"/>
                <w:color w:val="auto"/>
              </w:rPr>
            </w:pPr>
          </w:p>
        </w:tc>
        <w:tc>
          <w:tcPr>
            <w:tcW w:w="80" w:type="dxa"/>
            <w:vAlign w:val="bottom"/>
            <w:tcBorders>
              <w:top w:val="single" w:sz="8" w:color="0000EE"/>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40" w:type="dxa"/>
            <w:vAlign w:val="bottom"/>
            <w:tcBorders>
              <w:top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Registration Statement on Form S-1 filed on July 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ind w:left="840" w:right="4359" w:hanging="548"/>
        <w:spacing w:after="0" w:line="269" w:lineRule="auto"/>
        <w:tabs>
          <w:tab w:leader="none" w:pos="8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tbl>
      <w:tblPr>
        <w:tblLayout w:type="fixed"/>
        <w:tblInd w:w="300" w:type="dxa"/>
        <w:tblCellMar>
          <w:top w:w="0" w:type="dxa"/>
          <w:left w:w="0" w:type="dxa"/>
          <w:bottom w:w="0" w:type="dxa"/>
          <w:right w:w="0" w:type="dxa"/>
        </w:tblCellMar>
      </w:tblPr>
      <w:tr>
        <w:trPr>
          <w:trHeight w:val="184"/>
        </w:trPr>
        <w:tc>
          <w:tcPr>
            <w:tcW w:w="460" w:type="dxa"/>
            <w:vAlign w:val="bottom"/>
            <w:gridSpan w:val="2"/>
            <w:shd w:val="clear" w:color="auto" w:fill="CCEEFF"/>
          </w:tcPr>
          <w:p>
            <w:pPr>
              <w:jc w:val="right"/>
              <w:ind w:right="200"/>
              <w:spacing w:after="0" w:line="184" w:lineRule="exact"/>
              <w:rPr>
                <w:rFonts w:ascii="Times New Roman" w:cs="Times New Roman" w:eastAsia="Times New Roman" w:hAnsi="Times New Roman"/>
                <w:sz w:val="18"/>
                <w:szCs w:val="18"/>
                <w:color w:val="0000EE"/>
                <w:w w:val="88"/>
              </w:rPr>
            </w:pPr>
            <w:hyperlink r:id="rId66">
              <w:r>
                <w:rPr>
                  <w:rFonts w:ascii="Times New Roman" w:cs="Times New Roman" w:eastAsia="Times New Roman" w:hAnsi="Times New Roman"/>
                  <w:sz w:val="18"/>
                  <w:szCs w:val="18"/>
                  <w:color w:val="0000EE"/>
                  <w:w w:val="88"/>
                </w:rPr>
                <w:t>107</w:t>
              </w:r>
            </w:hyperlink>
          </w:p>
        </w:tc>
        <w:tc>
          <w:tcPr>
            <w:tcW w:w="2760" w:type="dxa"/>
            <w:vAlign w:val="bottom"/>
            <w:shd w:val="clear" w:color="auto" w:fill="CCEEFF"/>
          </w:tcPr>
          <w:p>
            <w:pPr>
              <w:ind w:left="80"/>
              <w:spacing w:after="0" w:line="184" w:lineRule="exact"/>
              <w:rPr>
                <w:sz w:val="20"/>
                <w:szCs w:val="20"/>
                <w:color w:val="auto"/>
              </w:rPr>
            </w:pPr>
            <w:r>
              <w:rPr>
                <w:rFonts w:ascii="Times New Roman" w:cs="Times New Roman" w:eastAsia="Times New Roman" w:hAnsi="Times New Roman"/>
                <w:sz w:val="18"/>
                <w:szCs w:val="18"/>
                <w:color w:val="auto"/>
              </w:rPr>
              <w:t>Filing Fee Table</w:t>
            </w:r>
          </w:p>
        </w:tc>
        <w:tc>
          <w:tcPr>
            <w:tcW w:w="1880" w:type="dxa"/>
            <w:vAlign w:val="bottom"/>
            <w:shd w:val="clear" w:color="auto" w:fill="CCEEFF"/>
          </w:tcPr>
          <w:p>
            <w:pPr>
              <w:ind w:left="1480"/>
              <w:spacing w:after="0" w:line="184" w:lineRule="exact"/>
              <w:rPr>
                <w:sz w:val="20"/>
                <w:szCs w:val="20"/>
                <w:color w:val="auto"/>
              </w:rPr>
            </w:pPr>
            <w:r>
              <w:rPr>
                <w:rFonts w:ascii="Times New Roman" w:cs="Times New Roman" w:eastAsia="Times New Roman" w:hAnsi="Times New Roman"/>
                <w:sz w:val="18"/>
                <w:szCs w:val="18"/>
                <w:color w:val="auto"/>
              </w:rPr>
              <w:t>S-1</w:t>
            </w:r>
          </w:p>
        </w:tc>
        <w:tc>
          <w:tcPr>
            <w:tcW w:w="1180" w:type="dxa"/>
            <w:vAlign w:val="bottom"/>
            <w:shd w:val="clear" w:color="auto" w:fill="CCEEFF"/>
          </w:tcPr>
          <w:p>
            <w:pPr>
              <w:jc w:val="right"/>
              <w:ind w:right="70"/>
              <w:spacing w:after="0" w:line="184" w:lineRule="exact"/>
              <w:rPr>
                <w:sz w:val="20"/>
                <w:szCs w:val="20"/>
                <w:color w:val="auto"/>
              </w:rPr>
            </w:pPr>
            <w:r>
              <w:rPr>
                <w:rFonts w:ascii="Times New Roman" w:cs="Times New Roman" w:eastAsia="Times New Roman" w:hAnsi="Times New Roman"/>
                <w:sz w:val="18"/>
                <w:szCs w:val="18"/>
                <w:color w:val="auto"/>
              </w:rPr>
              <w:t>333-257774</w:t>
            </w:r>
          </w:p>
        </w:tc>
        <w:tc>
          <w:tcPr>
            <w:tcW w:w="680" w:type="dxa"/>
            <w:vAlign w:val="bottom"/>
            <w:shd w:val="clear" w:color="auto" w:fill="CCEEFF"/>
          </w:tcPr>
          <w:p>
            <w:pPr>
              <w:jc w:val="right"/>
              <w:ind w:right="170"/>
              <w:spacing w:after="0" w:line="184" w:lineRule="exact"/>
              <w:rPr>
                <w:sz w:val="20"/>
                <w:szCs w:val="20"/>
                <w:color w:val="auto"/>
              </w:rPr>
            </w:pPr>
            <w:r>
              <w:rPr>
                <w:rFonts w:ascii="Times New Roman" w:cs="Times New Roman" w:eastAsia="Times New Roman" w:hAnsi="Times New Roman"/>
                <w:sz w:val="18"/>
                <w:szCs w:val="18"/>
                <w:color w:val="auto"/>
              </w:rPr>
              <w:t>107</w:t>
            </w:r>
          </w:p>
        </w:tc>
        <w:tc>
          <w:tcPr>
            <w:tcW w:w="1460" w:type="dxa"/>
            <w:vAlign w:val="bottom"/>
            <w:shd w:val="clear" w:color="auto" w:fill="CCEEFF"/>
          </w:tcPr>
          <w:p>
            <w:pPr>
              <w:ind w:left="260"/>
              <w:spacing w:after="0" w:line="184" w:lineRule="exact"/>
              <w:rPr>
                <w:sz w:val="20"/>
                <w:szCs w:val="20"/>
                <w:color w:val="auto"/>
              </w:rPr>
            </w:pPr>
            <w:r>
              <w:rPr>
                <w:rFonts w:ascii="Times New Roman" w:cs="Times New Roman" w:eastAsia="Times New Roman" w:hAnsi="Times New Roman"/>
                <w:sz w:val="18"/>
                <w:szCs w:val="18"/>
                <w:color w:val="auto"/>
              </w:rPr>
              <w:t>July 8, 2021</w:t>
            </w:r>
          </w:p>
        </w:tc>
      </w:tr>
      <w:tr>
        <w:trPr>
          <w:trHeight w:val="75"/>
        </w:trPr>
        <w:tc>
          <w:tcPr>
            <w:tcW w:w="2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CCEEFF"/>
            </w:tcBorders>
            <w:shd w:val="clear" w:color="auto" w:fill="CCEEFF"/>
          </w:tcPr>
          <w:p>
            <w:pPr>
              <w:spacing w:after="0"/>
              <w:rPr>
                <w:sz w:val="6"/>
                <w:szCs w:val="6"/>
                <w:color w:val="auto"/>
              </w:rPr>
            </w:pPr>
          </w:p>
        </w:tc>
        <w:tc>
          <w:tcPr>
            <w:tcW w:w="2760" w:type="dxa"/>
            <w:vAlign w:val="bottom"/>
            <w:tcBorders>
              <w:top w:val="single" w:sz="8" w:color="CCEEFF"/>
            </w:tcBorders>
            <w:shd w:val="clear" w:color="auto" w:fill="CCEEFF"/>
          </w:tcPr>
          <w:p>
            <w:pPr>
              <w:spacing w:after="0"/>
              <w:rPr>
                <w:sz w:val="6"/>
                <w:szCs w:val="6"/>
                <w:color w:val="auto"/>
              </w:rPr>
            </w:pPr>
          </w:p>
        </w:tc>
        <w:tc>
          <w:tcPr>
            <w:tcW w:w="1880" w:type="dxa"/>
            <w:vAlign w:val="bottom"/>
            <w:tcBorders>
              <w:top w:val="single" w:sz="8" w:color="CCEEFF"/>
            </w:tcBorders>
            <w:shd w:val="clear" w:color="auto" w:fill="CCEEFF"/>
          </w:tcPr>
          <w:p>
            <w:pPr>
              <w:spacing w:after="0"/>
              <w:rPr>
                <w:sz w:val="6"/>
                <w:szCs w:val="6"/>
                <w:color w:val="auto"/>
              </w:rPr>
            </w:pPr>
          </w:p>
        </w:tc>
        <w:tc>
          <w:tcPr>
            <w:tcW w:w="11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right="319" w:hanging="348"/>
        <w:spacing w:after="0" w:line="261" w:lineRule="auto"/>
        <w:tabs>
          <w:tab w:leader="none" w:pos="6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schedules and exhibits to this agreement have been omitted pursuant to Item 601(a)(5) of Regulation S-K. A copy of any omitted schedule and/or exhibit will be furnished to the SEC upon request.</w:t>
      </w:r>
    </w:p>
    <w:p>
      <w:pPr>
        <w:spacing w:after="0" w:line="1" w:lineRule="exact"/>
        <w:rPr>
          <w:sz w:val="20"/>
          <w:szCs w:val="20"/>
          <w:color w:val="auto"/>
        </w:rPr>
      </w:pPr>
    </w:p>
    <w:p>
      <w:pPr>
        <w:ind w:left="640" w:hanging="348"/>
        <w:spacing w:after="0"/>
        <w:tabs>
          <w:tab w:leader="none" w:pos="6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Previously filed</w:t>
      </w:r>
    </w:p>
    <w:p>
      <w:pPr>
        <w:spacing w:after="0" w:line="204" w:lineRule="exact"/>
        <w:rPr>
          <w:sz w:val="20"/>
          <w:szCs w:val="20"/>
          <w:color w:val="auto"/>
        </w:rPr>
      </w:pPr>
    </w:p>
    <w:p>
      <w:pPr>
        <w:ind w:left="300"/>
        <w:spacing w:after="0"/>
        <w:tabs>
          <w:tab w:leader="none" w:pos="1160" w:val="left"/>
        </w:tabs>
        <w:rPr>
          <w:sz w:val="20"/>
          <w:szCs w:val="20"/>
          <w:color w:val="auto"/>
        </w:rPr>
      </w:pPr>
      <w:r>
        <w:rPr>
          <w:rFonts w:ascii="Times New Roman" w:cs="Times New Roman" w:eastAsia="Times New Roman" w:hAnsi="Times New Roman"/>
          <w:sz w:val="18"/>
          <w:szCs w:val="18"/>
          <w:b w:val="1"/>
          <w:bCs w:val="1"/>
          <w:color w:val="auto"/>
        </w:rPr>
        <w:t>Item 17.</w:t>
        <w:tab/>
        <w:t>Undertakings.</w:t>
      </w:r>
    </w:p>
    <w:p>
      <w:pPr>
        <w:spacing w:after="0" w:line="121" w:lineRule="exact"/>
        <w:rPr>
          <w:sz w:val="20"/>
          <w:szCs w:val="20"/>
          <w:color w:val="auto"/>
        </w:rPr>
      </w:pPr>
    </w:p>
    <w:p>
      <w:pPr>
        <w:ind w:left="1000" w:hanging="348"/>
        <w:spacing w:after="0"/>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7"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53" w:lineRule="exact"/>
        <w:rPr>
          <w:rFonts w:ascii="Times New Roman" w:cs="Times New Roman" w:eastAsia="Times New Roman" w:hAnsi="Times New Roman"/>
          <w:sz w:val="18"/>
          <w:szCs w:val="18"/>
          <w:color w:val="auto"/>
        </w:rPr>
      </w:pPr>
    </w:p>
    <w:p>
      <w:pPr>
        <w:ind w:left="1720" w:hanging="348"/>
        <w:spacing w:after="0"/>
        <w:tabs>
          <w:tab w:leader="none" w:pos="17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740" w:right="299"/>
        <w:spacing w:after="0" w:line="255" w:lineRule="auto"/>
        <w:rPr>
          <w:sz w:val="20"/>
          <w:szCs w:val="20"/>
          <w:color w:val="auto"/>
        </w:rPr>
      </w:pPr>
      <w:r>
        <w:rPr>
          <w:rFonts w:ascii="Times New Roman" w:cs="Times New Roman" w:eastAsia="Times New Roman" w:hAnsi="Times New Roman"/>
          <w:sz w:val="18"/>
          <w:szCs w:val="18"/>
          <w:color w:val="auto"/>
        </w:rPr>
        <w:t>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(the “Commission”) pursuant to Rule 424(b) if, in the aggregate, the changes in volume and price represent no more than 20 percent change in the maximum aggregate offering price set forth in the “Calculation of Registration Fee” table in the effective registration statement; and</w:t>
      </w:r>
    </w:p>
    <w:p>
      <w:pPr>
        <w:spacing w:after="0" w:line="81" w:lineRule="exact"/>
        <w:rPr>
          <w:sz w:val="20"/>
          <w:szCs w:val="20"/>
          <w:color w:val="auto"/>
        </w:rPr>
      </w:pPr>
    </w:p>
    <w:p>
      <w:pPr>
        <w:jc w:val="both"/>
        <w:ind w:left="1720" w:right="299" w:hanging="348"/>
        <w:spacing w:after="0" w:line="254" w:lineRule="auto"/>
        <w:tabs>
          <w:tab w:leader="none" w:pos="172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and Exchange Act of 1934, as amended (the “Exchange Act”), that are incorporated by reference in the registration statement, or is contained in a form of prospectus filed pursuant to Rule 424(b) that is part of the registration statement.</w:t>
      </w:r>
    </w:p>
    <w:p>
      <w:pPr>
        <w:spacing w:after="0" w:line="80" w:lineRule="exact"/>
        <w:rPr>
          <w:rFonts w:ascii="Times New Roman" w:cs="Times New Roman" w:eastAsia="Times New Roman" w:hAnsi="Times New Roman"/>
          <w:sz w:val="18"/>
          <w:szCs w:val="18"/>
          <w:color w:val="auto"/>
        </w:rPr>
      </w:pPr>
    </w:p>
    <w:p>
      <w:pPr>
        <w:jc w:val="both"/>
        <w:ind w:left="1360" w:right="319" w:hanging="348"/>
        <w:spacing w:after="0" w:line="261" w:lineRule="auto"/>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71" w:lineRule="exact"/>
        <w:rPr>
          <w:rFonts w:ascii="Times New Roman" w:cs="Times New Roman" w:eastAsia="Times New Roman" w:hAnsi="Times New Roman"/>
          <w:sz w:val="18"/>
          <w:szCs w:val="18"/>
          <w:color w:val="auto"/>
        </w:rPr>
      </w:pPr>
    </w:p>
    <w:p>
      <w:pPr>
        <w:ind w:left="1360" w:right="319" w:hanging="348"/>
        <w:spacing w:after="0" w:line="282" w:lineRule="auto"/>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53" w:lineRule="exact"/>
        <w:rPr>
          <w:rFonts w:ascii="Times New Roman" w:cs="Times New Roman" w:eastAsia="Times New Roman" w:hAnsi="Times New Roman"/>
          <w:sz w:val="18"/>
          <w:szCs w:val="18"/>
          <w:color w:val="auto"/>
        </w:rPr>
      </w:pPr>
    </w:p>
    <w:p>
      <w:pPr>
        <w:ind w:left="1360" w:hanging="348"/>
        <w:spacing w:after="0"/>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w:t>
      </w:r>
    </w:p>
    <w:p>
      <w:pPr>
        <w:spacing w:after="0" w:line="117" w:lineRule="exact"/>
        <w:rPr>
          <w:rFonts w:ascii="Times New Roman" w:cs="Times New Roman" w:eastAsia="Times New Roman" w:hAnsi="Times New Roman"/>
          <w:sz w:val="18"/>
          <w:szCs w:val="18"/>
          <w:color w:val="auto"/>
        </w:rPr>
      </w:pPr>
    </w:p>
    <w:p>
      <w:pPr>
        <w:jc w:val="both"/>
        <w:ind w:left="1720" w:right="299" w:hanging="348"/>
        <w:spacing w:after="0" w:line="266" w:lineRule="auto"/>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7" w:lineRule="exact"/>
        <w:rPr>
          <w:rFonts w:ascii="Times New Roman" w:cs="Times New Roman" w:eastAsia="Times New Roman" w:hAnsi="Times New Roman"/>
          <w:sz w:val="18"/>
          <w:szCs w:val="18"/>
          <w:color w:val="auto"/>
        </w:rPr>
      </w:pPr>
    </w:p>
    <w:p>
      <w:pPr>
        <w:jc w:val="both"/>
        <w:ind w:left="1720" w:right="299" w:hanging="348"/>
        <w:spacing w:after="0" w:line="252" w:lineRule="auto"/>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302" w:lineRule="exact"/>
        <w:rPr>
          <w:rFonts w:ascii="Times New Roman" w:cs="Times New Roman" w:eastAsia="Times New Roman" w:hAnsi="Times New Roman"/>
          <w:sz w:val="18"/>
          <w:szCs w:val="18"/>
          <w:color w:val="auto"/>
        </w:rPr>
      </w:pPr>
    </w:p>
    <w:p>
      <w:pPr>
        <w:jc w:val="both"/>
        <w:ind w:left="1360" w:right="319" w:hanging="348"/>
        <w:spacing w:after="0" w:line="255" w:lineRule="auto"/>
        <w:tabs>
          <w:tab w:leader="none" w:pos="13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80"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53" w:lineRule="exact"/>
        <w:rPr>
          <w:rFonts w:ascii="Times New Roman" w:cs="Times New Roman" w:eastAsia="Times New Roman" w:hAnsi="Times New Roman"/>
          <w:sz w:val="18"/>
          <w:szCs w:val="18"/>
          <w:color w:val="auto"/>
        </w:rPr>
      </w:pPr>
    </w:p>
    <w:p>
      <w:pPr>
        <w:ind w:left="1720" w:right="319" w:hanging="348"/>
        <w:spacing w:after="0" w:line="282" w:lineRule="auto"/>
        <w:tabs>
          <w:tab w:leader="none" w:pos="172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1720" w:right="299" w:hanging="348"/>
        <w:spacing w:after="0" w:line="266" w:lineRule="auto"/>
        <w:tabs>
          <w:tab w:leader="none" w:pos="17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7" w:lineRule="exact"/>
        <w:rPr>
          <w:rFonts w:ascii="Times New Roman" w:cs="Times New Roman" w:eastAsia="Times New Roman" w:hAnsi="Times New Roman"/>
          <w:sz w:val="18"/>
          <w:szCs w:val="18"/>
          <w:color w:val="auto"/>
        </w:rPr>
      </w:pPr>
    </w:p>
    <w:p>
      <w:pPr>
        <w:ind w:left="1720" w:right="299" w:hanging="348"/>
        <w:spacing w:after="0" w:line="282" w:lineRule="auto"/>
        <w:tabs>
          <w:tab w:leader="none" w:pos="172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53" w:lineRule="exact"/>
        <w:rPr>
          <w:rFonts w:ascii="Times New Roman" w:cs="Times New Roman" w:eastAsia="Times New Roman" w:hAnsi="Times New Roman"/>
          <w:sz w:val="18"/>
          <w:szCs w:val="18"/>
          <w:color w:val="auto"/>
        </w:rPr>
      </w:pPr>
    </w:p>
    <w:p>
      <w:pPr>
        <w:jc w:val="both"/>
        <w:ind w:left="1360" w:right="319" w:hanging="348"/>
        <w:spacing w:after="0" w:line="256" w:lineRule="auto"/>
        <w:tabs>
          <w:tab w:leader="none" w:pos="13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79"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S-3 and has duly caused this Post-Effective Amendment No. 8 to Registration Statement to be signed on its behalf by the undersigned, thereunto duly authorized in the City of Irvine, State of California on August 22, 2025.</w:t>
      </w:r>
    </w:p>
    <w:p>
      <w:pPr>
        <w:spacing w:after="0" w:line="15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Douglas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2791460</wp:posOffset>
            </wp:positionH>
            <wp:positionV relativeFrom="paragraph">
              <wp:posOffset>26035</wp:posOffset>
            </wp:positionV>
            <wp:extent cx="2743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3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Name: Douglas Francis</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Douglas Francis and Susan Echard as his or her true and lawful attorneys-in-fact, proxies and agents, each with full power of substitution and resubstitution and full power to act without the other, for him or her in any and all capacities, to sign any and all amendments to this registration statement on Form S-3 or other applicable form and to file the same, with exhibits thereto and other documents in connection therewith, with the Securities and Exchange Commission granting unto said attorneys-in-fact, proxies and agents full power and authority to do and perform each and every act and thing requisite and necessary to be done in connection therewith, as fully for all intents and purposes as he or she might or could do in person, hereby ratifying and confirming all that said attorneys-in-fact, proxies and agents, or their or his or her substitute or substitutes, may lawfully do or cause to be done by virtue hereof.</w:t>
      </w:r>
    </w:p>
    <w:p>
      <w:pPr>
        <w:spacing w:after="0" w:line="86"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 indicated.</w:t>
      </w:r>
    </w:p>
    <w:p>
      <w:pPr>
        <w:spacing w:after="0" w:line="115"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9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220" w:type="dxa"/>
            <w:vAlign w:val="bottom"/>
          </w:tcPr>
          <w:p>
            <w:pPr>
              <w:spacing w:after="0"/>
              <w:rPr>
                <w:sz w:val="16"/>
                <w:szCs w:val="16"/>
                <w:color w:val="auto"/>
              </w:rPr>
            </w:pPr>
          </w:p>
        </w:tc>
        <w:tc>
          <w:tcPr>
            <w:tcW w:w="3680" w:type="dxa"/>
            <w:vAlign w:val="bottom"/>
            <w:tcBorders>
              <w:bottom w:val="single" w:sz="8" w:color="auto"/>
            </w:tcBorders>
            <w:gridSpan w:val="2"/>
          </w:tcPr>
          <w:p>
            <w:pPr>
              <w:ind w:left="17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7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421"/>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32"/>
        </w:trPr>
        <w:tc>
          <w:tcPr>
            <w:tcW w:w="1160" w:type="dxa"/>
            <w:vAlign w:val="bottom"/>
            <w:tcBorders>
              <w:bottom w:val="single" w:sz="8" w:color="auto"/>
            </w:tcBorders>
            <w:gridSpan w:val="2"/>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Douglas Francis</w:t>
            </w:r>
          </w:p>
        </w:tc>
        <w:tc>
          <w:tcPr>
            <w:tcW w:w="220" w:type="dxa"/>
            <w:vAlign w:val="bottom"/>
          </w:tcPr>
          <w:p>
            <w:pPr>
              <w:spacing w:after="0"/>
              <w:rPr>
                <w:sz w:val="19"/>
                <w:szCs w:val="19"/>
                <w:color w:val="auto"/>
              </w:rPr>
            </w:pPr>
          </w:p>
        </w:tc>
        <w:tc>
          <w:tcPr>
            <w:tcW w:w="368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9"/>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Susan Echard</w:t>
            </w: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32"/>
        </w:trPr>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w w:val="97"/>
              </w:rPr>
              <w:t>Susan Echard</w:t>
            </w:r>
          </w:p>
        </w:tc>
        <w:tc>
          <w:tcPr>
            <w:tcW w:w="1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Tony Aquila</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9"/>
              </w:rPr>
              <w:t>Anthony Bay</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Brenda Freeman</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2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Olga Gonzalez</w:t>
            </w: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9"/>
              </w:rPr>
              <w:t>Scott Gordon</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4"/>
        </w:trPr>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00" w:type="dxa"/>
            <w:vAlign w:val="bottom"/>
          </w:tcPr>
          <w:p>
            <w:pPr>
              <w:spacing w:after="0"/>
              <w:rPr>
                <w:sz w:val="24"/>
                <w:szCs w:val="24"/>
                <w:color w:val="auto"/>
              </w:rPr>
            </w:pPr>
          </w:p>
        </w:tc>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August 22, 2025</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Glen Ibbott</w:t>
            </w:r>
          </w:p>
        </w:tc>
        <w:tc>
          <w:tcPr>
            <w:tcW w:w="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9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*By:</w:t>
            </w:r>
          </w:p>
        </w:tc>
        <w:tc>
          <w:tcPr>
            <w:tcW w:w="180" w:type="dxa"/>
            <w:vAlign w:val="bottom"/>
          </w:tcPr>
          <w:p>
            <w:pPr>
              <w:spacing w:after="0"/>
              <w:rPr>
                <w:sz w:val="24"/>
                <w:szCs w:val="24"/>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Douglas Francis</w:t>
            </w:r>
          </w:p>
        </w:tc>
        <w:tc>
          <w:tcPr>
            <w:tcW w:w="2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Name: Douglas Francis, Attorney-in-Fact</w:t>
            </w:r>
          </w:p>
        </w:tc>
        <w:tc>
          <w:tcPr>
            <w:tcW w:w="1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II-5</w:t>
      </w:r>
    </w:p>
    <w:p>
      <w:pPr>
        <w:sectPr>
          <w:pgSz w:w="11900" w:h="16838" w:orient="portrait"/>
          <w:cols w:equalWidth="0" w:num="1">
            <w:col w:w="9019"/>
          </w:cols>
          <w:pgMar w:left="1440" w:top="263"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23.1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222222"/>
        </w:rPr>
        <w:t>We consent to the incorporation by reference in this Post-Effective Amendment No. 8 to Registration Statement on Form S-1 on Form S-3 (No. 333-257774) of WM Technology, Inc. (the “Company”) of our report dated March 13, 2025, relating to the consolidated financial statements of the Company and the effectiveness of internal control over financial reporting of the Company as of December 31, 2024, (which report expresses an unqualified opinion on the consolidated financial statements and an adverse opinion on the effectiveness of internal control over financial reporting due to material weaknesses), appearing in the Annual Report on Form 10-K of the Company for the year ended December 31, 2024, filed with the Securities and Exchange Commission. We also consent to the reference to us under the heading “Experts” in such Registration Statement.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/s/ Baker Tilly US,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(formerly, Moss Adams LLP)</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22,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41"/>
    </w:lvl>
  </w:abstractNum>
  <w:abstractNum w:abstractNumId="1">
    <w:nsid w:val="3F2DBA31"/>
    <w:multiLevelType w:val="hybridMultilevel"/>
    <w:lvl w:ilvl="0">
      <w:lvlJc w:val="left"/>
      <w:lvlText w:val="%1"/>
      <w:numFmt w:val="decimal"/>
      <w:start w:val="41"/>
    </w:lvl>
  </w:abstractNum>
  <w:abstractNum w:abstractNumId="2">
    <w:nsid w:val="7C83E458"/>
    <w:multiLevelType w:val="hybridMultilevel"/>
    <w:lvl w:ilvl="0">
      <w:lvlJc w:val="left"/>
      <w:lvlText w:val="•"/>
      <w:numFmt w:val="bullet"/>
      <w:start w:val="1"/>
    </w:lvl>
  </w:abstractNum>
  <w:abstractNum w:abstractNumId="3">
    <w:nsid w:val="257130A3"/>
    <w:multiLevelType w:val="hybridMultilevel"/>
    <w:lvl w:ilvl="0">
      <w:lvlJc w:val="left"/>
      <w:lvlText w:val="•"/>
      <w:numFmt w:val="bullet"/>
      <w:start w:val="1"/>
    </w:lvl>
  </w:abstractNum>
  <w:abstractNum w:abstractNumId="4">
    <w:nsid w:val="62BBD95A"/>
    <w:multiLevelType w:val="hybridMultilevel"/>
    <w:lvl w:ilvl="0">
      <w:lvlJc w:val="left"/>
      <w:lvlText w:val="(%1)"/>
      <w:numFmt w:val="lowerRoman"/>
      <w:start w:val="2"/>
    </w:lvl>
  </w:abstractNum>
  <w:abstractNum w:abstractNumId="5">
    <w:nsid w:val="436C6125"/>
    <w:multiLevelType w:val="hybridMultilevel"/>
    <w:lvl w:ilvl="0">
      <w:lvlJc w:val="left"/>
      <w:lvlText w:val="(%1)"/>
      <w:numFmt w:val="decimal"/>
      <w:start w:val="1"/>
    </w:lvl>
  </w:abstractNum>
  <w:abstractNum w:abstractNumId="6">
    <w:nsid w:val="628C895D"/>
    <w:multiLevelType w:val="hybridMultilevel"/>
    <w:lvl w:ilvl="0">
      <w:lvlJc w:val="left"/>
      <w:lvlText w:val="(%1)"/>
      <w:numFmt w:val="decimal"/>
      <w:start w:val="5"/>
    </w:lvl>
  </w:abstractNum>
  <w:abstractNum w:abstractNumId="7">
    <w:nsid w:val="333AB105"/>
    <w:multiLevelType w:val="hybridMultilevel"/>
    <w:lvl w:ilvl="0">
      <w:lvlJc w:val="left"/>
      <w:lvlText w:val="(%1)"/>
      <w:numFmt w:val="decimal"/>
      <w:start w:val="25"/>
    </w:lvl>
  </w:abstractNum>
  <w:abstractNum w:abstractNumId="8">
    <w:nsid w:val="721DA317"/>
    <w:multiLevelType w:val="hybridMultilevel"/>
    <w:lvl w:ilvl="0">
      <w:lvlJc w:val="left"/>
      <w:lvlText w:val="(%1)"/>
      <w:numFmt w:val="decimal"/>
      <w:start w:val="46"/>
    </w:lvl>
  </w:abstractNum>
  <w:abstractNum w:abstractNumId="9">
    <w:nsid w:val="2443A858"/>
    <w:multiLevelType w:val="hybridMultilevel"/>
    <w:lvl w:ilvl="0">
      <w:lvlJc w:val="left"/>
      <w:lvlText w:val="(%1)"/>
      <w:numFmt w:val="lowerRoman"/>
      <w:start w:val="10"/>
    </w:lvl>
  </w:abstractNum>
  <w:abstractNum w:abstractNumId="10">
    <w:nsid w:val="2D1D5AE9"/>
    <w:multiLevelType w:val="hybridMultilevel"/>
    <w:lvl w:ilvl="0">
      <w:lvlJc w:val="left"/>
      <w:lvlText w:val="•"/>
      <w:numFmt w:val="bullet"/>
      <w:start w:val="1"/>
    </w:lvl>
  </w:abstractNum>
  <w:abstractNum w:abstractNumId="11">
    <w:nsid w:val="6763845E"/>
    <w:multiLevelType w:val="hybridMultilevel"/>
    <w:lvl w:ilvl="0">
      <w:lvlJc w:val="left"/>
      <w:lvlText w:val="•"/>
      <w:numFmt w:val="bullet"/>
      <w:start w:val="1"/>
    </w:lvl>
  </w:abstractNum>
  <w:abstractNum w:abstractNumId="12">
    <w:nsid w:val="75A2A8D4"/>
    <w:multiLevelType w:val="hybridMultilevel"/>
    <w:lvl w:ilvl="0">
      <w:lvlJc w:val="left"/>
      <w:lvlText w:val="•"/>
      <w:numFmt w:val="bullet"/>
      <w:start w:val="1"/>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decimal"/>
      <w:start w:val="2"/>
    </w:lvl>
  </w:abstractNum>
  <w:abstractNum w:abstractNumId="17">
    <w:nsid w:val="189A769B"/>
    <w:multiLevelType w:val="hybridMultilevel"/>
    <w:lvl w:ilvl="0">
      <w:lvlJc w:val="left"/>
      <w:lvlText w:val="(%1)"/>
      <w:numFmt w:val="lowerLetter"/>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
      <w:numFmt w:val="bullet"/>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1"/>
      <w:numFmt w:val="decimal"/>
      <w:start w:val="41"/>
    </w:lvl>
  </w:abstractNum>
  <w:abstractNum w:abstractNumId="22">
    <w:nsid w:val="2901D82"/>
    <w:multiLevelType w:val="hybridMultilevel"/>
    <w:lvl w:ilvl="0">
      <w:lvlJc w:val="left"/>
      <w:lvlText w:val="+"/>
      <w:numFmt w:val="bullet"/>
      <w:start w:val="1"/>
    </w:lvl>
  </w:abstractNum>
  <w:abstractNum w:abstractNumId="23">
    <w:nsid w:val="3A95F874"/>
    <w:multiLevelType w:val="hybridMultilevel"/>
    <w:lvl w:ilvl="0">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1"/>
      <w:numFmt w:val="decimal"/>
      <w:start w:val="104"/>
    </w:lvl>
  </w:abstractNum>
  <w:abstractNum w:abstractNumId="27">
    <w:nsid w:val="737B8DDC"/>
    <w:multiLevelType w:val="hybridMultilevel"/>
    <w:lvl w:ilvl="0">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0">
    <w:nsid w:val="4516DDE9"/>
    <w:multiLevelType w:val="hybridMultilevel"/>
    <w:lvl w:ilvl="0">
      <w:lvlJc w:val="left"/>
      <w:lvlText w:val="%1"/>
      <w:numFmt w:val="decimal"/>
      <w:start w:val="1"/>
    </w:lvl>
    <w:lvl w:ilvl="1">
      <w:lvlJc w:val="left"/>
      <w:lvlText w:val="(%2)"/>
      <w:numFmt w:val="lowerRoman"/>
      <w:start w:val="3"/>
    </w:lvl>
  </w:abstractNum>
  <w:abstractNum w:abstractNumId="31">
    <w:nsid w:val="3006C83E"/>
    <w:multiLevelType w:val="hybridMultilevel"/>
    <w:lvl w:ilvl="0">
      <w:lvlJc w:val="left"/>
      <w:lvlText w:val="(%1)"/>
      <w:numFmt w:val="decimal"/>
      <w:start w:val="2"/>
    </w:lvl>
    <w:lvl w:ilvl="1">
      <w:lvlJc w:val="left"/>
      <w:lvlText w:val="(%2)"/>
      <w:numFmt w:val="lowerRoman"/>
      <w:start w:val="1"/>
    </w:lvl>
  </w:abstractNum>
  <w:abstractNum w:abstractNumId="32">
    <w:nsid w:val="614FD4A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3"/>
    </w:lvl>
  </w:abstractNum>
  <w:abstractNum w:abstractNumId="33">
    <w:nsid w:val="419AC241"/>
    <w:multiLevelType w:val="hybridMultilevel"/>
    <w:lvl w:ilvl="0">
      <w:lvlJc w:val="left"/>
      <w:lvlText w:val="%1"/>
      <w:numFmt w:val="lowerLetter"/>
      <w:start w:val="1"/>
    </w:lvl>
    <w:lvl w:ilvl="1">
      <w:lvlJc w:val="left"/>
      <w:lvlText w:val="(%2)"/>
      <w:numFmt w:val="decimal"/>
      <w:start w:val="6"/>
    </w:lvl>
    <w:lvl w:ilvl="2">
      <w:lvlJc w:val="left"/>
      <w:lvlText w:val="%3"/>
      <w:numFmt w:val="lowerRoman"/>
      <w:start w:val="1"/>
    </w:lvl>
  </w:abstractNum>
  <w:abstractNum w:abstractNumId="34">
    <w:nsid w:val="5577F8E1"/>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48" Type="http://schemas.openxmlformats.org/officeDocument/2006/relationships/hyperlink" Target="https://www.sec.gov/ix?doc=/Archives/edgar/data/1779474/000177947425000007/maps-20241231.htm" TargetMode="External"/><Relationship Id="rId49" Type="http://schemas.openxmlformats.org/officeDocument/2006/relationships/hyperlink" Target="https://www.sec.gov/ix?doc=/Archives/edgar/data/1779474/000114036125016331/ny20043216x1_def14a.htm" TargetMode="External"/><Relationship Id="rId50" Type="http://schemas.openxmlformats.org/officeDocument/2006/relationships/hyperlink" Target="https://www.sec.gov/ix?doc=/Archives/edgar/data/1779474/000177947425000018/maps-20250331.htm" TargetMode="External"/><Relationship Id="rId51" Type="http://schemas.openxmlformats.org/officeDocument/2006/relationships/hyperlink" Target="https://www.sec.gov/ix?doc=/Archives/edgar/data/1779474/000177947425000035/maps-20250630.htm" TargetMode="External"/><Relationship Id="rId52" Type="http://schemas.openxmlformats.org/officeDocument/2006/relationships/hyperlink" Target="https://www.sec.gov/ix?doc=/Archives/edgar/data/1779474/000177947425000020/maps-20250603.htm" TargetMode="External"/><Relationship Id="rId53" Type="http://schemas.openxmlformats.org/officeDocument/2006/relationships/hyperlink" Target="https://www.sec.gov/ix?doc=/Archives/edgar/data/1779474/000177947425000030/maps-20250624.htm" TargetMode="External"/><Relationship Id="rId54" Type="http://schemas.openxmlformats.org/officeDocument/2006/relationships/hyperlink" Target="https://www.sec.gov/ix?doc=/Archives/edgar/data/1779474/000177947425000038/maps-20250813.htm" TargetMode="External"/><Relationship Id="rId55" Type="http://schemas.openxmlformats.org/officeDocument/2006/relationships/hyperlink" Target="https://www.sec.gov/Archives/edgar/data/1779474/000177947422000010/exhibit45descriptionofsecu.htm" TargetMode="External"/><Relationship Id="rId58" Type="http://schemas.openxmlformats.org/officeDocument/2006/relationships/hyperlink" Target="https://www.sec.gov/Archives/edgar/data/1779474/000095010320024045/dp142700_ex0201.htm" TargetMode="External"/><Relationship Id="rId59" Type="http://schemas.openxmlformats.org/officeDocument/2006/relationships/hyperlink" Target="https://www.sec.gov/Archives/edgar/data/1779474/000114036121021785/brhc10025756_ex3-1.htm" TargetMode="External"/><Relationship Id="rId60" Type="http://schemas.openxmlformats.org/officeDocument/2006/relationships/hyperlink" Target="https://www.sec.gov/Archives/edgar/data/1779474/000114036121021785/brhc10025756_ex3-2.htm" TargetMode="External"/><Relationship Id="rId61" Type="http://schemas.openxmlformats.org/officeDocument/2006/relationships/hyperlink" Target="https://www.sec.gov/Archives/edgar/data/1779474/000114036121021785/brhc10025756_ex4-1.htm" TargetMode="External"/><Relationship Id="rId62" Type="http://schemas.openxmlformats.org/officeDocument/2006/relationships/hyperlink" Target="https://www.sec.gov/Archives/edgar/data/1779474/000114036121021785/brhc10025756_ex4-2.htm" TargetMode="External"/><Relationship Id="rId63" Type="http://schemas.openxmlformats.org/officeDocument/2006/relationships/hyperlink" Target="https://www.sec.gov/Archives/edgar/data/1779474/000095010319010751/dp111173_ex0401.htm" TargetMode="External"/><Relationship Id="rId64" Type="http://schemas.openxmlformats.org/officeDocument/2006/relationships/hyperlink" Target="https://www.sec.gov/Archives/edgar/data/1779474/000114036121040114/brhc10031383_ex5-1.htm" TargetMode="External"/><Relationship Id="rId65" Type="http://schemas.openxmlformats.org/officeDocument/2006/relationships/hyperlink" Target="https://www.sec.gov/Archives/edgar/data/1779474/000114036121023775/nt10026588x1_s1.htm#tPA" TargetMode="External"/><Relationship Id="rId66" Type="http://schemas.openxmlformats.org/officeDocument/2006/relationships/hyperlink" Target="https://www.sec.gov/Archives/edgar/data/1779474/000114036121023775/nt10026588x1_s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2025-08-22T16:10:26Z</dcterms:created>
  <dcterms:modified xsi:type="dcterms:W3CDTF">2025-08-22T16:10:26Z</dcterms:modified>
</cp:coreProperties>
</file>