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5848985</wp:posOffset>
            </wp:positionH>
            <wp:positionV relativeFrom="page">
              <wp:posOffset>911860</wp:posOffset>
            </wp:positionV>
            <wp:extent cx="149987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283210"/>
                    </a:xfrm>
                    <a:prstGeom prst="rect">
                      <a:avLst/>
                    </a:prstGeom>
                    <a:noFill/>
                  </pic:spPr>
                </pic:pic>
              </a:graphicData>
            </a:graphic>
          </wp:anchor>
        </w:drawing>
      </w:r>
    </w:p>
    <w:p>
      <w:pPr>
        <w:ind w:left="89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 w:lineRule="exact"/>
        <w:rPr>
          <w:sz w:val="24"/>
          <w:szCs w:val="24"/>
          <w:color w:val="auto"/>
        </w:rPr>
      </w:pPr>
    </w:p>
    <w:p>
      <w:pPr>
        <w:ind w:left="8920"/>
        <w:spacing w:after="0"/>
        <w:rPr>
          <w:sz w:val="20"/>
          <w:szCs w:val="20"/>
          <w:color w:val="auto"/>
        </w:rPr>
      </w:pPr>
      <w:r>
        <w:rPr>
          <w:rFonts w:ascii="Times New Roman" w:cs="Times New Roman" w:eastAsia="Times New Roman" w:hAnsi="Times New Roman"/>
          <w:sz w:val="18"/>
          <w:szCs w:val="18"/>
          <w:color w:val="auto"/>
        </w:rPr>
        <w:t>001-39021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5645785</wp:posOffset>
            </wp:positionH>
            <wp:positionV relativeFrom="paragraph">
              <wp:posOffset>38735</wp:posOffset>
            </wp:positionV>
            <wp:extent cx="1499870"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283210"/>
                    </a:xfrm>
                    <a:prstGeom prst="rect">
                      <a:avLst/>
                    </a:prstGeom>
                    <a:noFill/>
                  </pic:spPr>
                </pic:pic>
              </a:graphicData>
            </a:graphic>
          </wp:anchor>
        </w:drawing>
      </w:r>
    </w:p>
    <w:p>
      <w:pPr>
        <w:spacing w:after="0" w:line="50" w:lineRule="exact"/>
        <w:rPr>
          <w:sz w:val="24"/>
          <w:szCs w:val="24"/>
          <w:color w:val="auto"/>
        </w:rPr>
      </w:pPr>
    </w:p>
    <w:p>
      <w:pPr>
        <w:ind w:left="8920"/>
        <w:spacing w:after="0"/>
        <w:rPr>
          <w:sz w:val="20"/>
          <w:szCs w:val="20"/>
          <w:color w:val="auto"/>
        </w:rPr>
      </w:pPr>
      <w:r>
        <w:rPr>
          <w:rFonts w:ascii="Times New Roman" w:cs="Times New Roman" w:eastAsia="Times New Roman" w:hAnsi="Times New Roman"/>
          <w:sz w:val="18"/>
          <w:szCs w:val="18"/>
          <w:color w:val="auto"/>
        </w:rPr>
        <w:t>CUSIP Number</w:t>
      </w:r>
    </w:p>
    <w:p>
      <w:pPr>
        <w:spacing w:after="0" w:line="2" w:lineRule="exact"/>
        <w:rPr>
          <w:sz w:val="24"/>
          <w:szCs w:val="24"/>
          <w:color w:val="auto"/>
        </w:rPr>
      </w:pPr>
    </w:p>
    <w:p>
      <w:pPr>
        <w:ind w:left="8920"/>
        <w:spacing w:after="0"/>
        <w:rPr>
          <w:sz w:val="20"/>
          <w:szCs w:val="20"/>
          <w:color w:val="auto"/>
        </w:rPr>
      </w:pPr>
      <w:r>
        <w:rPr>
          <w:rFonts w:ascii="Times New Roman" w:cs="Times New Roman" w:eastAsia="Times New Roman" w:hAnsi="Times New Roman"/>
          <w:sz w:val="18"/>
          <w:szCs w:val="18"/>
          <w:color w:val="auto"/>
        </w:rPr>
        <w:t>92971A109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917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6917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w:t>
      </w:r>
    </w:p>
    <w:p>
      <w:pPr>
        <w:spacing w:after="0" w:line="70"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FORM 12b-25</w:t>
      </w:r>
    </w:p>
    <w:p>
      <w:pPr>
        <w:spacing w:after="0" w:line="43"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w:t>
      </w:r>
    </w:p>
    <w:p>
      <w:pPr>
        <w:spacing w:after="0" w:line="238"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NOTIFICATION OF LATE FILING</w:t>
      </w:r>
    </w:p>
    <w:p>
      <w:pPr>
        <w:spacing w:after="0" w:line="45" w:lineRule="exact"/>
        <w:rPr>
          <w:sz w:val="24"/>
          <w:szCs w:val="24"/>
          <w:color w:val="auto"/>
        </w:rPr>
      </w:pPr>
    </w:p>
    <w:p>
      <w:pPr>
        <w:ind w:left="20"/>
        <w:spacing w:after="0" w:line="253" w:lineRule="exact"/>
        <w:tabs>
          <w:tab w:leader="none" w:pos="1620" w:val="left"/>
        </w:tabs>
        <w:rPr>
          <w:sz w:val="20"/>
          <w:szCs w:val="20"/>
          <w:color w:val="auto"/>
        </w:rPr>
      </w:pPr>
      <w:r>
        <w:rPr>
          <w:rFonts w:ascii="Times New Roman" w:cs="Times New Roman" w:eastAsia="Times New Roman" w:hAnsi="Times New Roman"/>
          <w:sz w:val="22"/>
          <w:szCs w:val="22"/>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20"/>
          <w:szCs w:val="20"/>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20"/>
          <w:szCs w:val="20"/>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20"/>
          <w:szCs w:val="20"/>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20"/>
          <w:szCs w:val="20"/>
          <w:color w:val="auto"/>
        </w:rPr>
        <w:t>Form 10-Q</w:t>
      </w:r>
    </w:p>
    <w:p>
      <w:pPr>
        <w:spacing w:after="0" w:line="256" w:lineRule="exact"/>
        <w:rPr>
          <w:sz w:val="24"/>
          <w:szCs w:val="24"/>
          <w:color w:val="auto"/>
        </w:rPr>
      </w:pPr>
    </w:p>
    <w:p>
      <w:pPr>
        <w:ind w:left="1800" w:hanging="208"/>
        <w:spacing w:after="0" w:line="253" w:lineRule="exact"/>
        <w:tabs>
          <w:tab w:leader="none" w:pos="1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 xml:space="preserve">Form 10-D </w:t>
      </w:r>
      <w:r>
        <w:rPr>
          <w:rFonts w:ascii="MS PGothic" w:cs="MS PGothic" w:eastAsia="MS PGothic" w:hAnsi="MS PGothic"/>
          <w:sz w:val="17"/>
          <w:szCs w:val="17"/>
          <w:color w:val="auto"/>
        </w:rPr>
        <w:t>☐</w:t>
      </w:r>
      <w:r>
        <w:rPr>
          <w:rFonts w:ascii="Times New Roman" w:cs="Times New Roman" w:eastAsia="Times New Roman" w:hAnsi="Times New Roman"/>
          <w:sz w:val="22"/>
          <w:szCs w:val="22"/>
          <w:color w:val="auto"/>
        </w:rPr>
        <w:t xml:space="preserve"> Form N-CSR</w:t>
      </w: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 Period Ended: March 31, 2024</w:t>
      </w:r>
    </w:p>
    <w:p>
      <w:pPr>
        <w:spacing w:after="0" w:line="16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on Form 10-K</w:t>
      </w:r>
    </w:p>
    <w:p>
      <w:pPr>
        <w:ind w:left="220" w:hanging="212"/>
        <w:spacing w:after="0" w:line="204" w:lineRule="auto"/>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on Form 20-F</w:t>
      </w:r>
    </w:p>
    <w:p>
      <w:pPr>
        <w:ind w:left="220" w:hanging="212"/>
        <w:spacing w:after="0" w:line="204" w:lineRule="auto"/>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on Form 11-K</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on Form 10-Q</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 the Transaction Period ended: 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690943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9435" cy="205740"/>
                    </a:xfrm>
                    <a:prstGeom prst="rect">
                      <a:avLst/>
                    </a:prstGeom>
                    <a:noFill/>
                  </pic:spPr>
                </pic:pic>
              </a:graphicData>
            </a:graphic>
          </wp:anchor>
        </w:drawing>
      </w:r>
    </w:p>
    <w:p>
      <w:pPr>
        <w:spacing w:after="0" w:line="236"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Nothing in this form shall be construed to imply that the Commission has verified any information contained herein.</w:t>
      </w: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If the notification relates to a portion of the filing checked above, identify the Item(s) to which the notification relates:</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 REGISTRANT INFORMATION</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b w:val="1"/>
          <w:bCs w:val="1"/>
          <w:u w:val="single" w:color="auto"/>
          <w:color w:val="auto"/>
        </w:rPr>
        <w:t>WM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1934845</wp:posOffset>
            </wp:positionH>
            <wp:positionV relativeFrom="paragraph">
              <wp:posOffset>-14605</wp:posOffset>
            </wp:positionV>
            <wp:extent cx="1371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Full Name of Registrant</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29"/>
          <w:szCs w:val="29"/>
          <w:u w:val="single" w:color="auto"/>
          <w:color w:val="auto"/>
        </w:rPr>
        <w:t>41 Discovery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984885</wp:posOffset>
            </wp:positionH>
            <wp:positionV relativeFrom="paragraph">
              <wp:posOffset>-19050</wp:posOffset>
            </wp:positionV>
            <wp:extent cx="15087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Address of Principal Executive Office (Street and number)</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29"/>
          <w:szCs w:val="29"/>
          <w:color w:val="auto"/>
        </w:rPr>
        <w:t>Irvine, California 92618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518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51810"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City, State and Zip Code</w:t>
      </w:r>
    </w:p>
    <w:p>
      <w:pPr>
        <w:sectPr>
          <w:pgSz w:w="11900" w:h="16838" w:orient="portrait"/>
          <w:cols w:equalWidth="0" w:num="1">
            <w:col w:w="10800"/>
          </w:cols>
          <w:pgMar w:left="320" w:top="1440" w:right="7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PART II - RULES 12b-25(b) and (c)</w:t>
      </w:r>
    </w:p>
    <w:p>
      <w:pPr>
        <w:spacing w:after="0" w:line="12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If the subject report could not be filed without unreasonable effort or expense and the registrant seeks relief pursuant to Rule 12b-25(b), the following should be completed. (Check box if appropriate)</w:t>
      </w:r>
    </w:p>
    <w:p>
      <w:pPr>
        <w:spacing w:after="0" w:line="91" w:lineRule="exact"/>
        <w:rPr>
          <w:sz w:val="20"/>
          <w:szCs w:val="20"/>
          <w:color w:val="auto"/>
        </w:rPr>
      </w:pPr>
    </w:p>
    <w:tbl>
      <w:tblPr>
        <w:tblLayout w:type="fixed"/>
        <w:tblInd w:w="240" w:type="dxa"/>
        <w:tblCellMar>
          <w:top w:w="0" w:type="dxa"/>
          <w:left w:w="0" w:type="dxa"/>
          <w:bottom w:w="0" w:type="dxa"/>
          <w:right w:w="0" w:type="dxa"/>
        </w:tblCellMar>
      </w:tblPr>
      <w:tr>
        <w:trPr>
          <w:trHeight w:val="323"/>
        </w:trPr>
        <w:tc>
          <w:tcPr>
            <w:tcW w:w="40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10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8"/>
              </w:rPr>
              <w:t>(a) The reason described in reasonable detail in Part III of this form could not be eliminated without unreasonable effort</w:t>
            </w:r>
          </w:p>
        </w:tc>
        <w:tc>
          <w:tcPr>
            <w:tcW w:w="0" w:type="dxa"/>
            <w:vAlign w:val="bottom"/>
          </w:tcPr>
          <w:p>
            <w:pPr>
              <w:spacing w:after="0"/>
              <w:rPr>
                <w:sz w:val="1"/>
                <w:szCs w:val="1"/>
                <w:color w:val="auto"/>
              </w:rPr>
            </w:pPr>
          </w:p>
        </w:tc>
      </w:tr>
      <w:tr>
        <w:trPr>
          <w:trHeight w:val="55"/>
        </w:trPr>
        <w:tc>
          <w:tcPr>
            <w:tcW w:w="400" w:type="dxa"/>
            <w:vAlign w:val="bottom"/>
            <w:tcBorders>
              <w:right w:val="single" w:sz="8" w:color="auto"/>
            </w:tcBorders>
          </w:tcPr>
          <w:p>
            <w:pPr>
              <w:spacing w:after="0"/>
              <w:rPr>
                <w:sz w:val="4"/>
                <w:szCs w:val="4"/>
                <w:color w:val="auto"/>
              </w:rPr>
            </w:pPr>
          </w:p>
        </w:tc>
        <w:tc>
          <w:tcPr>
            <w:tcW w:w="10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400" w:type="dxa"/>
            <w:vAlign w:val="bottom"/>
            <w:tcBorders>
              <w:right w:val="single" w:sz="8" w:color="auto"/>
            </w:tcBorders>
          </w:tcPr>
          <w:p>
            <w:pPr>
              <w:spacing w:after="0"/>
              <w:rPr>
                <w:sz w:val="24"/>
                <w:szCs w:val="24"/>
                <w:color w:val="auto"/>
              </w:rPr>
            </w:pPr>
          </w:p>
        </w:tc>
        <w:tc>
          <w:tcPr>
            <w:tcW w:w="10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or expense;</w:t>
            </w:r>
          </w:p>
        </w:tc>
        <w:tc>
          <w:tcPr>
            <w:tcW w:w="0" w:type="dxa"/>
            <w:vAlign w:val="bottom"/>
          </w:tcPr>
          <w:p>
            <w:pPr>
              <w:spacing w:after="0"/>
              <w:rPr>
                <w:sz w:val="1"/>
                <w:szCs w:val="1"/>
                <w:color w:val="auto"/>
              </w:rPr>
            </w:pPr>
          </w:p>
        </w:tc>
      </w:tr>
      <w:tr>
        <w:trPr>
          <w:trHeight w:val="393"/>
        </w:trPr>
        <w:tc>
          <w:tcPr>
            <w:tcW w:w="40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10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(b) The subject annual report, semi-annual report, transition report on Form 10-K, Form 20-F, Form 11-K or Form N-</w:t>
            </w:r>
          </w:p>
        </w:tc>
        <w:tc>
          <w:tcPr>
            <w:tcW w:w="0" w:type="dxa"/>
            <w:vAlign w:val="bottom"/>
          </w:tcPr>
          <w:p>
            <w:pPr>
              <w:spacing w:after="0"/>
              <w:rPr>
                <w:sz w:val="1"/>
                <w:szCs w:val="1"/>
                <w:color w:val="auto"/>
              </w:rPr>
            </w:pPr>
          </w:p>
        </w:tc>
      </w:tr>
      <w:tr>
        <w:trPr>
          <w:trHeight w:val="257"/>
        </w:trPr>
        <w:tc>
          <w:tcPr>
            <w:tcW w:w="400" w:type="dxa"/>
            <w:vAlign w:val="bottom"/>
            <w:tcBorders>
              <w:right w:val="single" w:sz="8" w:color="auto"/>
            </w:tcBorders>
          </w:tcPr>
          <w:p>
            <w:pPr>
              <w:spacing w:after="0"/>
              <w:rPr>
                <w:sz w:val="22"/>
                <w:szCs w:val="22"/>
                <w:color w:val="auto"/>
              </w:rPr>
            </w:pPr>
          </w:p>
        </w:tc>
        <w:tc>
          <w:tcPr>
            <w:tcW w:w="10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CSR, or portion thereof, will be filed on or before the fifteenth calendar day following the prescribed due date; or the</w:t>
            </w:r>
          </w:p>
        </w:tc>
        <w:tc>
          <w:tcPr>
            <w:tcW w:w="0" w:type="dxa"/>
            <w:vAlign w:val="bottom"/>
          </w:tcPr>
          <w:p>
            <w:pPr>
              <w:spacing w:after="0"/>
              <w:rPr>
                <w:sz w:val="1"/>
                <w:szCs w:val="1"/>
                <w:color w:val="auto"/>
              </w:rPr>
            </w:pPr>
          </w:p>
        </w:tc>
      </w:tr>
      <w:tr>
        <w:trPr>
          <w:trHeight w:val="270"/>
        </w:trPr>
        <w:tc>
          <w:tcPr>
            <w:tcW w:w="400" w:type="dxa"/>
            <w:vAlign w:val="bottom"/>
            <w:tcBorders>
              <w:right w:val="single" w:sz="8" w:color="auto"/>
            </w:tcBorders>
          </w:tcPr>
          <w:p>
            <w:pPr>
              <w:spacing w:after="0"/>
              <w:rPr>
                <w:sz w:val="23"/>
                <w:szCs w:val="23"/>
                <w:color w:val="auto"/>
              </w:rPr>
            </w:pPr>
          </w:p>
        </w:tc>
        <w:tc>
          <w:tcPr>
            <w:tcW w:w="10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subject quarterly report or transition report on Form 10-Q or subject distribution report on Form 10-D, or portion</w:t>
            </w:r>
          </w:p>
        </w:tc>
        <w:tc>
          <w:tcPr>
            <w:tcW w:w="0" w:type="dxa"/>
            <w:vAlign w:val="bottom"/>
          </w:tcPr>
          <w:p>
            <w:pPr>
              <w:spacing w:after="0"/>
              <w:rPr>
                <w:sz w:val="1"/>
                <w:szCs w:val="1"/>
                <w:color w:val="auto"/>
              </w:rPr>
            </w:pPr>
          </w:p>
        </w:tc>
      </w:tr>
      <w:tr>
        <w:trPr>
          <w:trHeight w:val="282"/>
        </w:trPr>
        <w:tc>
          <w:tcPr>
            <w:tcW w:w="400" w:type="dxa"/>
            <w:vAlign w:val="bottom"/>
            <w:tcBorders>
              <w:right w:val="single" w:sz="8" w:color="auto"/>
            </w:tcBorders>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thereof, will be filed on or before the fifth calendar day following the prescribed due date; and</w:t>
            </w:r>
          </w:p>
        </w:tc>
        <w:tc>
          <w:tcPr>
            <w:tcW w:w="0" w:type="dxa"/>
            <w:vAlign w:val="bottom"/>
          </w:tcPr>
          <w:p>
            <w:pPr>
              <w:spacing w:after="0"/>
              <w:rPr>
                <w:sz w:val="1"/>
                <w:szCs w:val="1"/>
                <w:color w:val="auto"/>
              </w:rPr>
            </w:pPr>
          </w:p>
        </w:tc>
      </w:tr>
      <w:tr>
        <w:trPr>
          <w:trHeight w:val="272"/>
        </w:trPr>
        <w:tc>
          <w:tcPr>
            <w:tcW w:w="400" w:type="dxa"/>
            <w:vAlign w:val="bottom"/>
            <w:tcBorders>
              <w:right w:val="single" w:sz="8" w:color="auto"/>
            </w:tcBorders>
            <w:vMerge w:val="continue"/>
          </w:tcPr>
          <w:p>
            <w:pPr>
              <w:spacing w:after="0"/>
              <w:rPr>
                <w:sz w:val="23"/>
                <w:szCs w:val="23"/>
                <w:color w:val="auto"/>
              </w:rPr>
            </w:pPr>
          </w:p>
        </w:tc>
        <w:tc>
          <w:tcPr>
            <w:tcW w:w="10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 The accountant’s statement or other exhibit required by Rule 12b-25(c) has been attached if applicable.</w:t>
            </w:r>
          </w:p>
        </w:tc>
        <w:tc>
          <w:tcPr>
            <w:tcW w:w="0" w:type="dxa"/>
            <w:vAlign w:val="bottom"/>
          </w:tcPr>
          <w:p>
            <w:pPr>
              <w:spacing w:after="0"/>
              <w:rPr>
                <w:sz w:val="1"/>
                <w:szCs w:val="1"/>
                <w:color w:val="auto"/>
              </w:rPr>
            </w:pPr>
          </w:p>
        </w:tc>
      </w:tr>
      <w:tr>
        <w:trPr>
          <w:trHeight w:val="146"/>
        </w:trPr>
        <w:tc>
          <w:tcPr>
            <w:tcW w:w="400" w:type="dxa"/>
            <w:vAlign w:val="bottom"/>
            <w:tcBorders>
              <w:right w:val="single" w:sz="8" w:color="auto"/>
            </w:tcBorders>
          </w:tcPr>
          <w:p>
            <w:pPr>
              <w:spacing w:after="0"/>
              <w:rPr>
                <w:sz w:val="12"/>
                <w:szCs w:val="12"/>
                <w:color w:val="auto"/>
              </w:rPr>
            </w:pPr>
          </w:p>
        </w:tc>
        <w:tc>
          <w:tcPr>
            <w:tcW w:w="10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00" w:type="dxa"/>
            <w:vAlign w:val="bottom"/>
            <w:tcBorders>
              <w:right w:val="single" w:sz="8" w:color="auto"/>
            </w:tcBorders>
          </w:tcPr>
          <w:p>
            <w:pPr>
              <w:spacing w:after="0"/>
              <w:rPr>
                <w:sz w:val="10"/>
                <w:szCs w:val="10"/>
                <w:color w:val="auto"/>
              </w:rPr>
            </w:pPr>
          </w:p>
        </w:tc>
        <w:tc>
          <w:tcPr>
            <w:tcW w:w="10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 - NARRATIVE</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State below in reasonable detail the reasons why Forms 10-K, 20-F, 11-K, 10-Q, 10-D, N-CSR, or the transition report or portion thereof, could not be filed with the prescribed time period.</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WM Technology, Inc. (the “Company”) is filing this Notification of Late Filing on Form 12b-25 (this “Form 12b-25”) with respect to its Quarterly Report on Form 10-Q for the quarter ended March 31, 2024 (the “Form 10-Q”).</w:t>
      </w:r>
    </w:p>
    <w:p>
      <w:pPr>
        <w:spacing w:after="0" w:line="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is unable to file the Form 10-Q within the prescribed time period without unreasonable effort or expense primarily because the Company is currently focusing its efforts and resources on completing its Annual Report on Form 10-K for the fiscal year ended December 31, 2023 (the “Form 10-K”).</w:t>
      </w:r>
    </w:p>
    <w:p>
      <w:pPr>
        <w:spacing w:after="0" w:line="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As previously reported in the Form 12b-25 filed with the Securities and Exchange Commission on March 18, 2024, the delay in filing the Form 10-K is due to recent changes in the Company’s executive finance leadership, the Company’s need to complete additional financial-closing procedures associated with one or more material weaknesses in internal control over financial reporting and a corresponding delay in the preparation of the Company’s financial statements to be included in the Form 10-K.</w:t>
      </w:r>
    </w:p>
    <w:p>
      <w:pPr>
        <w:spacing w:after="0" w:line="53"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22"/>
          <w:szCs w:val="22"/>
          <w:color w:val="auto"/>
        </w:rPr>
        <w:t>The Company is working to expeditiously complete the preparation of its financial statements and file the Form 10-K and Form 10-Q as soon as reasonably possible. The Company plans to file the Form 10-Q as soon as practicable following the completion and filing of the Form 10-K.</w:t>
      </w:r>
    </w:p>
    <w:p>
      <w:pPr>
        <w:sectPr>
          <w:pgSz w:w="11900" w:h="16838" w:orient="portrait"/>
          <w:cols w:equalWidth="0" w:num="1">
            <w:col w:w="11240"/>
          </w:cols>
          <w:pgMar w:left="320" w:top="13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PART IV - OTHER INFORMATION</w:t>
      </w:r>
    </w:p>
    <w:p>
      <w:pPr>
        <w:spacing w:after="0" w:line="129" w:lineRule="exact"/>
        <w:rPr>
          <w:sz w:val="20"/>
          <w:szCs w:val="20"/>
          <w:color w:val="auto"/>
        </w:rPr>
      </w:pPr>
    </w:p>
    <w:p>
      <w:pPr>
        <w:ind w:left="480" w:hanging="472"/>
        <w:spacing w:after="0"/>
        <w:tabs>
          <w:tab w:leader="none" w:pos="4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and telephone number of person to contact in regard to this notification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Susan Echard</w:t>
            </w:r>
          </w:p>
        </w:tc>
        <w:tc>
          <w:tcPr>
            <w:tcW w:w="3420" w:type="dxa"/>
            <w:vAlign w:val="bottom"/>
            <w:tcBorders>
              <w:bottom w:val="single" w:sz="8" w:color="auto"/>
            </w:tcBorders>
          </w:tcPr>
          <w:p>
            <w:pPr>
              <w:jc w:val="right"/>
              <w:ind w:right="1292"/>
              <w:spacing w:after="0"/>
              <w:rPr>
                <w:sz w:val="20"/>
                <w:szCs w:val="20"/>
                <w:color w:val="auto"/>
              </w:rPr>
            </w:pPr>
            <w:r>
              <w:rPr>
                <w:rFonts w:ascii="Times New Roman" w:cs="Times New Roman" w:eastAsia="Times New Roman" w:hAnsi="Times New Roman"/>
                <w:sz w:val="22"/>
                <w:szCs w:val="22"/>
                <w:color w:val="auto"/>
              </w:rPr>
              <w:t>(844)</w:t>
            </w:r>
          </w:p>
        </w:tc>
        <w:tc>
          <w:tcPr>
            <w:tcW w:w="3820" w:type="dxa"/>
            <w:vAlign w:val="bottom"/>
            <w:tcBorders>
              <w:bottom w:val="single" w:sz="8" w:color="auto"/>
            </w:tcBorders>
          </w:tcPr>
          <w:p>
            <w:pPr>
              <w:jc w:val="right"/>
              <w:ind w:right="1292"/>
              <w:spacing w:after="0"/>
              <w:rPr>
                <w:sz w:val="20"/>
                <w:szCs w:val="20"/>
                <w:color w:val="auto"/>
              </w:rPr>
            </w:pPr>
            <w:r>
              <w:rPr>
                <w:rFonts w:ascii="Times New Roman" w:cs="Times New Roman" w:eastAsia="Times New Roman" w:hAnsi="Times New Roman"/>
                <w:sz w:val="22"/>
                <w:szCs w:val="22"/>
                <w:color w:val="auto"/>
              </w:rPr>
              <w:t>933-3627</w:t>
            </w:r>
          </w:p>
        </w:tc>
      </w:tr>
      <w:tr>
        <w:trPr>
          <w:trHeight w:val="277"/>
        </w:trPr>
        <w:tc>
          <w:tcPr>
            <w:tcW w:w="36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(Name)</w:t>
            </w:r>
          </w:p>
        </w:tc>
        <w:tc>
          <w:tcPr>
            <w:tcW w:w="342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8"/>
              </w:rPr>
              <w:t>(Area Code)</w:t>
            </w:r>
          </w:p>
        </w:tc>
        <w:tc>
          <w:tcPr>
            <w:tcW w:w="382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7"/>
              </w:rPr>
              <w:t>(Telephone Number)</w:t>
            </w:r>
          </w:p>
        </w:tc>
      </w:tr>
    </w:tbl>
    <w:p>
      <w:pPr>
        <w:spacing w:after="0" w:line="163" w:lineRule="exact"/>
        <w:rPr>
          <w:sz w:val="20"/>
          <w:szCs w:val="20"/>
          <w:color w:val="auto"/>
        </w:rPr>
      </w:pPr>
    </w:p>
    <w:p>
      <w:pPr>
        <w:ind w:left="660" w:hanging="652"/>
        <w:spacing w:after="0" w:line="280" w:lineRule="exact"/>
        <w:tabs>
          <w:tab w:leader="none" w:pos="5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w:t>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Form 10-K for the year ended December 31, 2023.</w:t>
      </w:r>
    </w:p>
    <w:p>
      <w:pPr>
        <w:spacing w:after="0" w:line="112" w:lineRule="exact"/>
        <w:rPr>
          <w:sz w:val="20"/>
          <w:szCs w:val="20"/>
          <w:color w:val="auto"/>
        </w:rPr>
      </w:pPr>
    </w:p>
    <w:p>
      <w:pPr>
        <w:ind w:left="660" w:hanging="652"/>
        <w:spacing w:after="0" w:line="285" w:lineRule="exact"/>
        <w:tabs>
          <w:tab w:leader="none" w:pos="48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w:t>
      </w:r>
    </w:p>
    <w:p>
      <w:pPr>
        <w:spacing w:after="0" w:line="65"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22"/>
          <w:szCs w:val="22"/>
          <w:color w:val="auto"/>
        </w:rPr>
        <w:t>If so, attach an explanation of the anticipated change, both narratively and quantitatively, and, if appropriate, state the reasons why a reasonable estimate of the results cannot be made.</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is unable to provide a reasonable estimate of any anticipated significant change in results of operations from the corresponding period for the last fiscal year as the Company is focusing its efforts on completing the Form 10-K and needs to complete additional financial-closing procedures associated with one or more material weaknesses in internal control over financial reporting.</w:t>
      </w:r>
    </w:p>
    <w:p>
      <w:pPr>
        <w:spacing w:after="0" w:line="200" w:lineRule="exact"/>
        <w:rPr>
          <w:sz w:val="20"/>
          <w:szCs w:val="20"/>
          <w:color w:val="auto"/>
        </w:rPr>
      </w:pPr>
    </w:p>
    <w:p>
      <w:pPr>
        <w:spacing w:after="0" w:line="2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9"/>
          <w:szCs w:val="29"/>
          <w:b w:val="1"/>
          <w:bCs w:val="1"/>
          <w:color w:val="auto"/>
        </w:rPr>
        <w:t>WM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917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 of Registrant as Specified in Charter)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has caused this notification to be signed on its behalf by the undersigned hereunto duly authorized.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060" w:type="dxa"/>
            <w:vAlign w:val="bottom"/>
          </w:tcPr>
          <w:p>
            <w:pPr>
              <w:spacing w:after="0"/>
              <w:rPr>
                <w:sz w:val="20"/>
                <w:szCs w:val="20"/>
                <w:color w:val="auto"/>
              </w:rPr>
            </w:pPr>
            <w:r>
              <w:rPr>
                <w:rFonts w:ascii="Times New Roman" w:cs="Times New Roman" w:eastAsia="Times New Roman" w:hAnsi="Times New Roman"/>
                <w:sz w:val="22"/>
                <w:szCs w:val="22"/>
                <w:color w:val="auto"/>
              </w:rPr>
              <w:t>Date:   May 13, 2024</w:t>
            </w:r>
          </w:p>
        </w:tc>
        <w:tc>
          <w:tcPr>
            <w:tcW w:w="2980" w:type="dxa"/>
            <w:vAlign w:val="bottom"/>
          </w:tcPr>
          <w:p>
            <w:pPr>
              <w:ind w:left="2060"/>
              <w:spacing w:after="0"/>
              <w:rPr>
                <w:sz w:val="20"/>
                <w:szCs w:val="20"/>
                <w:color w:val="auto"/>
              </w:rPr>
            </w:pPr>
            <w:r>
              <w:rPr>
                <w:rFonts w:ascii="Times New Roman" w:cs="Times New Roman" w:eastAsia="Times New Roman" w:hAnsi="Times New Roman"/>
                <w:sz w:val="22"/>
                <w:szCs w:val="22"/>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Susan Echard</w:t>
            </w:r>
          </w:p>
        </w:tc>
      </w:tr>
      <w:tr>
        <w:trPr>
          <w:trHeight w:val="251"/>
        </w:trPr>
        <w:tc>
          <w:tcPr>
            <w:tcW w:w="4060" w:type="dxa"/>
            <w:vAlign w:val="bottom"/>
          </w:tcPr>
          <w:p>
            <w:pPr>
              <w:spacing w:after="0"/>
              <w:rPr>
                <w:sz w:val="21"/>
                <w:szCs w:val="21"/>
                <w:color w:val="auto"/>
              </w:rPr>
            </w:pPr>
          </w:p>
        </w:tc>
        <w:tc>
          <w:tcPr>
            <w:tcW w:w="2980" w:type="dxa"/>
            <w:vAlign w:val="bottom"/>
          </w:tcPr>
          <w:p>
            <w:pPr>
              <w:ind w:left="206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Susan Echard</w:t>
            </w:r>
          </w:p>
        </w:tc>
      </w:tr>
      <w:tr>
        <w:trPr>
          <w:trHeight w:val="282"/>
        </w:trPr>
        <w:tc>
          <w:tcPr>
            <w:tcW w:w="4060" w:type="dxa"/>
            <w:vAlign w:val="bottom"/>
          </w:tcPr>
          <w:p>
            <w:pPr>
              <w:spacing w:after="0"/>
              <w:rPr>
                <w:sz w:val="24"/>
                <w:szCs w:val="24"/>
                <w:color w:val="auto"/>
              </w:rPr>
            </w:pPr>
          </w:p>
        </w:tc>
        <w:tc>
          <w:tcPr>
            <w:tcW w:w="2980" w:type="dxa"/>
            <w:vAlign w:val="bottom"/>
          </w:tcPr>
          <w:p>
            <w:pPr>
              <w:ind w:left="2060"/>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Interim Chief Financial Officer</w:t>
            </w:r>
          </w:p>
        </w:tc>
      </w:tr>
    </w:tbl>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ATTENTION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Intentional misstatements or omissions of fact constitute Federal Criminal Violations (See 18 U.S.C. 1001).</w:t>
      </w:r>
    </w:p>
    <w:sectPr>
      <w:pgSz w:w="11900" w:h="16838" w:orient="portrait"/>
      <w:cols w:equalWidth="0" w:num="1">
        <w:col w:w="11240"/>
      </w:cols>
      <w:pgMar w:left="320" w:top="1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2024-05-13T15:48:14Z</dcterms:created>
  <dcterms:modified xsi:type="dcterms:W3CDTF">2024-05-13T15:48:14Z</dcterms:modified>
</cp:coreProperties>
</file>