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Dean Justin</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06/16/2021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Silver Spike Acquisition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MAPS</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6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C/O WM TECHNOLOGY, INC.</w:t>
      </w:r>
    </w:p>
    <w:p>
      <w:pPr>
        <w:spacing w:after="0" w:line="93"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41 DISCOVERY</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5"/>
                <w:szCs w:val="15"/>
                <w:color w:val="auto"/>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69"/>
        </w:trPr>
        <w:tc>
          <w:tcPr>
            <w:tcW w:w="860" w:type="dxa"/>
            <w:vAlign w:val="bottom"/>
          </w:tcPr>
          <w:p>
            <w:pPr>
              <w:ind w:left="40"/>
              <w:spacing w:after="0"/>
              <w:rPr>
                <w:sz w:val="20"/>
                <w:szCs w:val="20"/>
                <w:color w:val="auto"/>
              </w:rPr>
            </w:pPr>
            <w:r>
              <w:rPr>
                <w:rFonts w:ascii="Arial" w:cs="Arial" w:eastAsia="Arial" w:hAnsi="Arial"/>
                <w:sz w:val="20"/>
                <w:szCs w:val="20"/>
                <w:color w:val="0000FF"/>
              </w:rPr>
              <w:t>IRVINE</w:t>
            </w:r>
          </w:p>
        </w:tc>
        <w:tc>
          <w:tcPr>
            <w:tcW w:w="840" w:type="dxa"/>
            <w:vAlign w:val="bottom"/>
          </w:tcPr>
          <w:p>
            <w:pPr>
              <w:ind w:left="200"/>
              <w:spacing w:after="0"/>
              <w:rPr>
                <w:sz w:val="20"/>
                <w:szCs w:val="20"/>
                <w:color w:val="auto"/>
              </w:rPr>
            </w:pPr>
            <w:r>
              <w:rPr>
                <w:rFonts w:ascii="Arial" w:cs="Arial" w:eastAsia="Arial" w:hAnsi="Arial"/>
                <w:sz w:val="20"/>
                <w:szCs w:val="20"/>
                <w:color w:val="0000FF"/>
              </w:rPr>
              <w:t>CA</w:t>
            </w:r>
          </w:p>
        </w:tc>
        <w:tc>
          <w:tcPr>
            <w:tcW w:w="880" w:type="dxa"/>
            <w:vAlign w:val="bottom"/>
          </w:tcPr>
          <w:p>
            <w:pPr>
              <w:jc w:val="right"/>
              <w:spacing w:after="0"/>
              <w:rPr>
                <w:sz w:val="20"/>
                <w:szCs w:val="20"/>
                <w:color w:val="auto"/>
              </w:rPr>
            </w:pPr>
            <w:r>
              <w:rPr>
                <w:rFonts w:ascii="Arial" w:cs="Arial" w:eastAsia="Arial" w:hAnsi="Arial"/>
                <w:sz w:val="20"/>
                <w:szCs w:val="20"/>
                <w:color w:val="0000FF"/>
              </w:rPr>
              <w:t>92618</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03"/>
        <w:spacing w:after="0"/>
        <w:rPr>
          <w:sz w:val="20"/>
          <w:szCs w:val="20"/>
          <w:color w:val="auto"/>
        </w:rPr>
      </w:pPr>
      <w:r>
        <w:rPr>
          <w:rFonts w:ascii="Arial" w:cs="Arial" w:eastAsia="Arial" w:hAnsi="Arial"/>
          <w:sz w:val="20"/>
          <w:szCs w:val="20"/>
          <w:color w:val="0000FF"/>
        </w:rPr>
        <w:t>CTO and CIO</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No securities owned</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380" w:type="dxa"/>
            <w:vAlign w:val="bottom"/>
          </w:tcPr>
          <w:p>
            <w:pPr>
              <w:ind w:left="800"/>
              <w:spacing w:after="0"/>
              <w:rPr>
                <w:sz w:val="20"/>
                <w:szCs w:val="20"/>
                <w:color w:val="auto"/>
              </w:rPr>
            </w:pPr>
            <w:r>
              <w:rPr>
                <w:rFonts w:ascii="Arial" w:cs="Arial" w:eastAsia="Arial" w:hAnsi="Arial"/>
                <w:sz w:val="20"/>
                <w:szCs w:val="20"/>
                <w:color w:val="0000FF"/>
              </w:rPr>
              <w:t>0</w:t>
            </w:r>
          </w:p>
        </w:tc>
        <w:tc>
          <w:tcPr>
            <w:tcW w:w="1180" w:type="dxa"/>
            <w:vAlign w:val="bottom"/>
            <w:gridSpan w:val="2"/>
          </w:tcPr>
          <w:p>
            <w:pPr>
              <w:ind w:left="1020"/>
              <w:spacing w:after="0"/>
              <w:rPr>
                <w:sz w:val="20"/>
                <w:szCs w:val="20"/>
                <w:color w:val="auto"/>
              </w:rPr>
            </w:pPr>
            <w:r>
              <w:rPr>
                <w:rFonts w:ascii="Arial" w:cs="Arial" w:eastAsia="Arial" w:hAnsi="Arial"/>
                <w:sz w:val="20"/>
                <w:szCs w:val="20"/>
                <w:color w:val="0000FF"/>
                <w:w w:val="96"/>
              </w:rPr>
              <w:t>D</w:t>
            </w:r>
          </w:p>
        </w:tc>
        <w:tc>
          <w:tcPr>
            <w:tcW w:w="9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980" w:type="dxa"/>
            <w:vAlign w:val="bottom"/>
            <w:tcBorders>
              <w:bottom w:val="single" w:sz="8" w:color="2C2C2C"/>
            </w:tcBorders>
            <w:gridSpan w:val="2"/>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8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3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180" w:type="dxa"/>
            <w:vAlign w:val="bottom"/>
            <w:gridSpan w:val="2"/>
            <w:vMerge w:val="restart"/>
          </w:tcPr>
          <w:p>
            <w:pPr>
              <w:ind w:left="48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4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920" w:type="dxa"/>
            <w:vAlign w:val="bottom"/>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gridSpan w:val="2"/>
          </w:tcPr>
          <w:p>
            <w:pPr>
              <w:ind w:left="480"/>
              <w:spacing w:after="0" w:line="161"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380" w:type="dxa"/>
            <w:vAlign w:val="bottom"/>
          </w:tcPr>
          <w:p>
            <w:pPr>
              <w:spacing w:after="0"/>
              <w:rPr>
                <w:sz w:val="14"/>
                <w:szCs w:val="14"/>
                <w:color w:val="auto"/>
              </w:rPr>
            </w:pPr>
          </w:p>
        </w:tc>
        <w:tc>
          <w:tcPr>
            <w:tcW w:w="1180" w:type="dxa"/>
            <w:vAlign w:val="bottom"/>
            <w:gridSpan w:val="2"/>
          </w:tcPr>
          <w:p>
            <w:pPr>
              <w:ind w:left="48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38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180" w:type="dxa"/>
            <w:vAlign w:val="bottom"/>
            <w:gridSpan w:val="2"/>
          </w:tcPr>
          <w:p>
            <w:pPr>
              <w:ind w:left="48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20"/>
                <w:szCs w:val="20"/>
                <w:color w:val="0000FF"/>
                <w:w w:val="87"/>
              </w:rPr>
              <w:t>Justin Dean, by /s/ Ron A.</w:t>
            </w:r>
          </w:p>
        </w:tc>
        <w:tc>
          <w:tcPr>
            <w:tcW w:w="1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06/21/2021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40" w:type="dxa"/>
            <w:vAlign w:val="bottom"/>
            <w:vMerge w:val="restart"/>
          </w:tcPr>
          <w:p>
            <w:pPr>
              <w:spacing w:after="0" w:line="220" w:lineRule="exact"/>
              <w:rPr>
                <w:sz w:val="20"/>
                <w:szCs w:val="20"/>
                <w:color w:val="auto"/>
              </w:rPr>
            </w:pPr>
            <w:r>
              <w:rPr>
                <w:rFonts w:ascii="Arial" w:cs="Arial" w:eastAsia="Arial" w:hAnsi="Arial"/>
                <w:sz w:val="20"/>
                <w:szCs w:val="20"/>
                <w:color w:val="0000FF"/>
                <w:w w:val="89"/>
              </w:rPr>
              <w:t>Metzger, Attorney-in-Fact</w:t>
            </w:r>
          </w:p>
        </w:tc>
        <w:tc>
          <w:tcPr>
            <w:tcW w:w="14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040" w:type="dxa"/>
            <w:vAlign w:val="bottom"/>
            <w:tcBorders>
              <w:bottom w:val="single" w:sz="8" w:color="auto"/>
            </w:tcBorders>
            <w:vMerge w:val="continue"/>
          </w:tcPr>
          <w:p>
            <w:pPr>
              <w:spacing w:after="0"/>
              <w:rPr>
                <w:sz w:val="8"/>
                <w:szCs w:val="8"/>
                <w:color w:val="auto"/>
              </w:rPr>
            </w:pPr>
          </w:p>
        </w:tc>
        <w:tc>
          <w:tcPr>
            <w:tcW w:w="14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2040" w:type="dxa"/>
            <w:vAlign w:val="bottom"/>
          </w:tcPr>
          <w:p>
            <w:pPr>
              <w:spacing w:after="0"/>
              <w:rPr>
                <w:sz w:val="20"/>
                <w:szCs w:val="20"/>
                <w:color w:val="auto"/>
              </w:rPr>
            </w:pPr>
            <w:r>
              <w:rPr>
                <w:rFonts w:ascii="Arial" w:cs="Arial" w:eastAsia="Arial" w:hAnsi="Arial"/>
                <w:sz w:val="15"/>
                <w:szCs w:val="15"/>
                <w:color w:val="auto"/>
              </w:rPr>
              <w:t>** Signature of Reporting</w:t>
            </w:r>
          </w:p>
        </w:tc>
        <w:tc>
          <w:tcPr>
            <w:tcW w:w="140" w:type="dxa"/>
            <w:vAlign w:val="bottom"/>
          </w:tcPr>
          <w:p>
            <w:pPr>
              <w:spacing w:after="0"/>
              <w:rPr>
                <w:sz w:val="21"/>
                <w:szCs w:val="21"/>
                <w:color w:val="auto"/>
              </w:rPr>
            </w:pPr>
          </w:p>
        </w:tc>
        <w:tc>
          <w:tcPr>
            <w:tcW w:w="920" w:type="dxa"/>
            <w:vAlign w:val="bottom"/>
            <w:gridSpan w:val="2"/>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40" w:type="dxa"/>
            <w:vAlign w:val="bottom"/>
            <w:vMerge w:val="restart"/>
          </w:tcPr>
          <w:p>
            <w:pPr>
              <w:spacing w:after="0"/>
              <w:rPr>
                <w:sz w:val="20"/>
                <w:szCs w:val="20"/>
                <w:color w:val="auto"/>
              </w:rPr>
            </w:pPr>
            <w:r>
              <w:rPr>
                <w:rFonts w:ascii="Arial" w:cs="Arial" w:eastAsia="Arial" w:hAnsi="Arial"/>
                <w:sz w:val="15"/>
                <w:szCs w:val="15"/>
                <w:color w:val="auto"/>
              </w:rPr>
              <w:t>Person</w:t>
            </w:r>
          </w:p>
        </w:tc>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80" w:type="dxa"/>
            <w:vAlign w:val="bottom"/>
            <w:gridSpan w:val="2"/>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80" w:type="dxa"/>
            <w:vAlign w:val="bottom"/>
            <w:gridSpan w:val="2"/>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20"/>
          <w:szCs w:val="20"/>
          <w:color w:val="auto"/>
        </w:rPr>
        <w:t>Date:</w:t>
      </w:r>
      <w:r>
        <w:rPr>
          <w:sz w:val="20"/>
          <w:szCs w:val="20"/>
          <w:color w:val="auto"/>
        </w:rPr>
        <w:tab/>
      </w:r>
      <w:r>
        <w:rPr>
          <w:rFonts w:ascii="Courier New" w:cs="Courier New" w:eastAsia="Courier New" w:hAnsi="Courier New"/>
          <w:sz w:val="18"/>
          <w:szCs w:val="18"/>
          <w:color w:val="auto"/>
        </w:rPr>
        <w:t>6/16/2021</w:t>
      </w:r>
    </w:p>
    <w:p>
      <w:pPr>
        <w:spacing w:after="0" w:line="230" w:lineRule="exact"/>
        <w:rPr>
          <w:sz w:val="20"/>
          <w:szCs w:val="20"/>
          <w:color w:val="auto"/>
        </w:rPr>
      </w:pPr>
    </w:p>
    <w:p>
      <w:pPr>
        <w:ind w:right="619"/>
        <w:spacing w:after="0" w:line="237"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Arden Lee and Brian Camire of WM Technology, Inc. (the "Company") and Ron Metzger, Kris Cachia and Michael Suyat of Cooley LLP, or any of them signing singly, and with full power of substitution, the undersigned's true and lawful attorney-in-fact to:</w:t>
      </w:r>
    </w:p>
    <w:p>
      <w:pPr>
        <w:spacing w:after="0" w:line="232" w:lineRule="exact"/>
        <w:rPr>
          <w:sz w:val="20"/>
          <w:szCs w:val="20"/>
          <w:color w:val="auto"/>
        </w:rPr>
      </w:pPr>
    </w:p>
    <w:p>
      <w:pPr>
        <w:ind w:right="25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w:t>
      </w:r>
    </w:p>
    <w:p>
      <w:pPr>
        <w:spacing w:after="0" w:line="2" w:lineRule="exact"/>
        <w:rPr>
          <w:rFonts w:ascii="Courier New" w:cs="Courier New" w:eastAsia="Courier New" w:hAnsi="Courier New"/>
          <w:sz w:val="18"/>
          <w:szCs w:val="18"/>
          <w:color w:val="auto"/>
        </w:rPr>
      </w:pPr>
    </w:p>
    <w:p>
      <w:pPr>
        <w:ind w:right="1199"/>
        <w:spacing w:after="0" w:line="23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to obtain codes and passwords enabling the undersigned to make electronic filings with the SEC of reports required by Section 16(a) of the Securities Exchange Act of 1934 or any rule or regulation of the SEC;</w:t>
      </w:r>
    </w:p>
    <w:p>
      <w:pPr>
        <w:spacing w:after="0" w:line="232" w:lineRule="exact"/>
        <w:rPr>
          <w:rFonts w:ascii="Courier New" w:cs="Courier New" w:eastAsia="Courier New" w:hAnsi="Courier New"/>
          <w:sz w:val="18"/>
          <w:szCs w:val="18"/>
          <w:color w:val="auto"/>
        </w:rPr>
      </w:pPr>
    </w:p>
    <w:p>
      <w:pPr>
        <w:ind w:right="499"/>
        <w:spacing w:after="0" w:line="27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with respect to the Company, Schedules 13D and 13G and Forms 3, 4, and 5 in accordance with Sections 13 and 16(a) of the Securities Exchange Act of 1934 and the rules thereunder;</w:t>
      </w:r>
    </w:p>
    <w:p>
      <w:pPr>
        <w:spacing w:after="0" w:line="202" w:lineRule="exact"/>
        <w:rPr>
          <w:rFonts w:ascii="Courier New" w:cs="Courier New" w:eastAsia="Courier New" w:hAnsi="Courier New"/>
          <w:sz w:val="18"/>
          <w:szCs w:val="18"/>
          <w:color w:val="auto"/>
        </w:rPr>
      </w:pPr>
    </w:p>
    <w:p>
      <w:pPr>
        <w:ind w:right="379"/>
        <w:spacing w:after="0" w:line="237" w:lineRule="auto"/>
        <w:tabs>
          <w:tab w:leader="none" w:pos="937"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Schedules 13D or 13G or Form 3, 4, or 5, complete and execute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right="39"/>
        <w:spacing w:after="0" w:line="264"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w:t>
      </w:r>
    </w:p>
    <w:p>
      <w:pPr>
        <w:spacing w:after="0" w:line="1" w:lineRule="exact"/>
        <w:rPr>
          <w:rFonts w:ascii="Courier New" w:cs="Courier New" w:eastAsia="Courier New" w:hAnsi="Courier New"/>
          <w:sz w:val="18"/>
          <w:szCs w:val="18"/>
          <w:color w:val="auto"/>
        </w:rPr>
      </w:pPr>
    </w:p>
    <w:p>
      <w:pPr>
        <w:ind w:right="839"/>
        <w:spacing w:after="0" w:line="237"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ind w:right="619"/>
        <w:spacing w:after="0" w:line="266"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Sections 13 and 16 of the Securities Exchange Act of 1934.</w:t>
      </w:r>
    </w:p>
    <w:p>
      <w:pPr>
        <w:spacing w:after="0" w:line="214" w:lineRule="exact"/>
        <w:rPr>
          <w:sz w:val="20"/>
          <w:szCs w:val="20"/>
          <w:color w:val="auto"/>
        </w:rPr>
      </w:pPr>
    </w:p>
    <w:p>
      <w:pPr>
        <w:ind w:right="739"/>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1199"/>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the date first written above.</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Justin Dean</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7308" TargetMode="External"/><Relationship Id="rId11" Type="http://schemas.openxmlformats.org/officeDocument/2006/relationships/hyperlink" Target="http://www.sec.gov/cgi-bin/browse-edgar?action=getcompany&amp;CIK=00017794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2021-06-21T15:24:34Z</dcterms:created>
  <dcterms:modified xsi:type="dcterms:W3CDTF">2021-06-21T15:24:34Z</dcterms:modified>
</cp:coreProperties>
</file>