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19, 2019.</w:t>
      </w:r>
    </w:p>
    <w:p>
      <w:pPr>
        <w:spacing w:after="0" w:line="27"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Cayman Islands</w:t>
            </w:r>
          </w:p>
        </w:tc>
        <w:tc>
          <w:tcPr>
            <w:tcW w:w="43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6770</w:t>
            </w: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rPr>
              <w:t>N/A</w:t>
            </w:r>
          </w:p>
        </w:tc>
      </w:tr>
      <w:tr>
        <w:trPr>
          <w:trHeight w:val="216"/>
        </w:trPr>
        <w:tc>
          <w:tcPr>
            <w:tcW w:w="352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 or</w:t>
            </w:r>
          </w:p>
        </w:tc>
        <w:tc>
          <w:tcPr>
            <w:tcW w:w="4300" w:type="dxa"/>
            <w:vAlign w:val="bottom"/>
          </w:tcPr>
          <w:p>
            <w:pPr>
              <w:jc w:val="center"/>
              <w:ind w:right="290"/>
              <w:spacing w:after="0"/>
              <w:rPr>
                <w:sz w:val="20"/>
                <w:szCs w:val="20"/>
                <w:color w:val="auto"/>
              </w:rPr>
            </w:pPr>
            <w:r>
              <w:rPr>
                <w:rFonts w:ascii="Arial" w:cs="Arial" w:eastAsia="Arial" w:hAnsi="Arial"/>
                <w:sz w:val="18"/>
                <w:szCs w:val="18"/>
                <w:color w:val="auto"/>
                <w:w w:val="91"/>
              </w:rPr>
              <w:t>(Primary Standard Industrial Classification Code</w:t>
            </w:r>
          </w:p>
        </w:tc>
        <w:tc>
          <w:tcPr>
            <w:tcW w:w="226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jc w:val="center"/>
              <w:ind w:right="110"/>
              <w:spacing w:after="0"/>
              <w:rPr>
                <w:sz w:val="20"/>
                <w:szCs w:val="20"/>
                <w:color w:val="auto"/>
              </w:rPr>
            </w:pPr>
            <w:r>
              <w:rPr>
                <w:rFonts w:ascii="Arial" w:cs="Arial" w:eastAsia="Arial" w:hAnsi="Arial"/>
                <w:sz w:val="18"/>
                <w:szCs w:val="18"/>
                <w:color w:val="auto"/>
                <w:w w:val="92"/>
              </w:rPr>
              <w:t>organization)</w:t>
            </w:r>
          </w:p>
        </w:tc>
        <w:tc>
          <w:tcPr>
            <w:tcW w:w="4300" w:type="dxa"/>
            <w:vAlign w:val="bottom"/>
          </w:tcPr>
          <w:p>
            <w:pPr>
              <w:jc w:val="center"/>
              <w:ind w:right="290"/>
              <w:spacing w:after="0"/>
              <w:rPr>
                <w:sz w:val="20"/>
                <w:szCs w:val="20"/>
                <w:color w:val="auto"/>
              </w:rPr>
            </w:pPr>
            <w:r>
              <w:rPr>
                <w:rFonts w:ascii="Arial" w:cs="Arial" w:eastAsia="Arial" w:hAnsi="Arial"/>
                <w:sz w:val="18"/>
                <w:szCs w:val="18"/>
                <w:color w:val="auto"/>
                <w:w w:val="91"/>
              </w:rPr>
              <w:t>Number)</w:t>
            </w:r>
          </w:p>
        </w:tc>
        <w:tc>
          <w:tcPr>
            <w:tcW w:w="2260" w:type="dxa"/>
            <w:vAlign w:val="bottom"/>
          </w:tcPr>
          <w:p>
            <w:pPr>
              <w:jc w:val="center"/>
              <w:ind w:left="510"/>
              <w:spacing w:after="0"/>
              <w:rPr>
                <w:sz w:val="20"/>
                <w:szCs w:val="20"/>
                <w:color w:val="auto"/>
              </w:rPr>
            </w:pPr>
            <w:r>
              <w:rPr>
                <w:rFonts w:ascii="Arial" w:cs="Arial" w:eastAsia="Arial" w:hAnsi="Arial"/>
                <w:sz w:val="18"/>
                <w:szCs w:val="18"/>
                <w:color w:val="auto"/>
                <w:w w:val="94"/>
              </w:rPr>
              <w:t>Identification Number)</w:t>
            </w:r>
          </w:p>
        </w:tc>
      </w:tr>
    </w:tbl>
    <w:p>
      <w:pPr>
        <w:ind w:left="48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Scott Gordon, Chief Executive Officer</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Gregory Gentile, Chief Financial Officer</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 Silver Spike Acquisition Corp.</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5620" w:type="dxa"/>
            <w:vAlign w:val="bottom"/>
          </w:tcPr>
          <w:p>
            <w:pPr>
              <w:ind w:left="680"/>
              <w:spacing w:after="0"/>
              <w:rPr>
                <w:sz w:val="20"/>
                <w:szCs w:val="20"/>
                <w:color w:val="auto"/>
              </w:rPr>
            </w:pPr>
            <w:r>
              <w:rPr>
                <w:rFonts w:ascii="Arial" w:cs="Arial" w:eastAsia="Arial" w:hAnsi="Arial"/>
                <w:sz w:val="18"/>
                <w:szCs w:val="18"/>
                <w:color w:val="auto"/>
              </w:rPr>
              <w:t>Copies to:</w:t>
            </w:r>
          </w:p>
        </w:tc>
      </w:tr>
      <w:tr>
        <w:trPr>
          <w:trHeight w:val="414"/>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Deanna L. Kirkpatrick</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Derek J. Dostal</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Jonathan Ko</w:t>
            </w: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Davis Polk &amp; Wardwell LLP</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88"/>
              </w:rPr>
              <w:t>450 Lexington Avenue</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300 South Grand Avenue, Suite 3400</w:t>
            </w: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New York, NY 10017</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Los Angeles, CA 90071</w:t>
            </w:r>
          </w:p>
        </w:tc>
      </w:tr>
      <w:tr>
        <w:trPr>
          <w:trHeight w:val="234"/>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Telephone: (212) 450-4000</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Telephone: (213)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308610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1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82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9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331"/>
        </w:trPr>
        <w:tc>
          <w:tcPr>
            <w:tcW w:w="2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670" w:gutter="0" w:footer="0" w:header="0"/>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640" w:type="dxa"/>
            <w:vAlign w:val="bottom"/>
            <w:tcBorders>
              <w:top w:val="single" w:sz="8" w:color="auto"/>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 of Security</w:t>
            </w:r>
          </w:p>
        </w:tc>
        <w:tc>
          <w:tcPr>
            <w:tcW w:w="18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Amount Being</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640" w:type="dxa"/>
            <w:vAlign w:val="bottom"/>
          </w:tcPr>
          <w:p>
            <w:pPr>
              <w:ind w:left="400"/>
              <w:spacing w:after="0"/>
              <w:rPr>
                <w:sz w:val="20"/>
                <w:szCs w:val="20"/>
                <w:color w:val="auto"/>
              </w:rPr>
            </w:pPr>
            <w:r>
              <w:rPr>
                <w:rFonts w:ascii="Arial" w:cs="Arial" w:eastAsia="Arial" w:hAnsi="Arial"/>
                <w:sz w:val="18"/>
                <w:szCs w:val="18"/>
                <w:b w:val="1"/>
                <w:bCs w:val="1"/>
                <w:color w:val="auto"/>
              </w:rPr>
              <w:t>Amount of</w:t>
            </w:r>
          </w:p>
        </w:tc>
      </w:tr>
      <w:tr>
        <w:trPr>
          <w:trHeight w:val="270"/>
        </w:trPr>
        <w:tc>
          <w:tcPr>
            <w:tcW w:w="20" w:type="dxa"/>
            <w:vAlign w:val="bottom"/>
          </w:tcPr>
          <w:p>
            <w:pPr>
              <w:spacing w:after="0"/>
              <w:rPr>
                <w:sz w:val="23"/>
                <w:szCs w:val="23"/>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Being Registered</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Registered</w:t>
            </w:r>
          </w:p>
        </w:tc>
        <w:tc>
          <w:tcPr>
            <w:tcW w:w="18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Security</w:t>
            </w:r>
            <w:r>
              <w:rPr>
                <w:rFonts w:ascii="Arial" w:cs="Arial" w:eastAsia="Arial" w:hAnsi="Arial"/>
                <w:sz w:val="30"/>
                <w:szCs w:val="30"/>
                <w:b w:val="1"/>
                <w:bCs w:val="1"/>
                <w:color w:val="auto"/>
                <w:w w:val="85"/>
                <w:vertAlign w:val="superscript"/>
              </w:rPr>
              <w:t>(1)</w:t>
            </w:r>
          </w:p>
        </w:tc>
        <w:tc>
          <w:tcPr>
            <w:tcW w:w="1920" w:type="dxa"/>
            <w:vAlign w:val="bottom"/>
            <w:tcBorders>
              <w:bottom w:val="single" w:sz="8" w:color="auto"/>
            </w:tcBorders>
          </w:tcPr>
          <w:p>
            <w:pPr>
              <w:ind w:left="660"/>
              <w:spacing w:after="0" w:line="269"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30"/>
                <w:szCs w:val="30"/>
                <w:b w:val="1"/>
                <w:bCs w:val="1"/>
                <w:color w:val="auto"/>
                <w:vertAlign w:val="superscript"/>
              </w:rPr>
              <w:t>(1)</w:t>
            </w: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Registration Fee</w:t>
            </w:r>
          </w:p>
        </w:tc>
      </w:tr>
      <w:tr>
        <w:trPr>
          <w:trHeight w:val="195"/>
        </w:trPr>
        <w:tc>
          <w:tcPr>
            <w:tcW w:w="2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w w:val="98"/>
              </w:rPr>
              <w:t>Units, each consisting of one Class A ordinary share,</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20"/>
        </w:trPr>
        <w:tc>
          <w:tcPr>
            <w:tcW w:w="4180" w:type="dxa"/>
            <w:vAlign w:val="bottom"/>
            <w:gridSpan w:val="2"/>
          </w:tcPr>
          <w:p>
            <w:pPr>
              <w:spacing w:after="0"/>
              <w:rPr>
                <w:sz w:val="20"/>
                <w:szCs w:val="20"/>
                <w:color w:val="auto"/>
              </w:rPr>
            </w:pPr>
            <w:r>
              <w:rPr>
                <w:rFonts w:ascii="Arial" w:cs="Arial" w:eastAsia="Arial" w:hAnsi="Arial"/>
                <w:sz w:val="18"/>
                <w:szCs w:val="18"/>
                <w:color w:val="auto"/>
              </w:rPr>
              <w:t>$0.0001 par value, and one-half of one redeemable</w:t>
            </w: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67"/>
        </w:trPr>
        <w:tc>
          <w:tcPr>
            <w:tcW w:w="4180" w:type="dxa"/>
            <w:vAlign w:val="bottom"/>
            <w:tcBorders>
              <w:bottom w:val="single" w:sz="8" w:color="auto"/>
            </w:tcBorders>
            <w:gridSpan w:val="2"/>
          </w:tcPr>
          <w:p>
            <w:pPr>
              <w:spacing w:after="0" w:line="266" w:lineRule="exact"/>
              <w:rPr>
                <w:sz w:val="20"/>
                <w:szCs w:val="20"/>
                <w:color w:val="auto"/>
              </w:rPr>
            </w:pPr>
            <w:r>
              <w:rPr>
                <w:rFonts w:ascii="Arial" w:cs="Arial" w:eastAsia="Arial" w:hAnsi="Arial"/>
                <w:sz w:val="18"/>
                <w:szCs w:val="18"/>
                <w:color w:val="auto"/>
              </w:rPr>
              <w:t>warrant</w:t>
            </w:r>
            <w:r>
              <w:rPr>
                <w:rFonts w:ascii="Arial" w:cs="Arial" w:eastAsia="Arial" w:hAnsi="Arial"/>
                <w:sz w:val="30"/>
                <w:szCs w:val="30"/>
                <w:color w:val="auto"/>
                <w:vertAlign w:val="superscript"/>
              </w:rPr>
              <w:t>(2)</w:t>
            </w:r>
          </w:p>
        </w:tc>
        <w:tc>
          <w:tcPr>
            <w:tcW w:w="1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28,750,000 Units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$287,500,000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$34,845</w:t>
            </w:r>
          </w:p>
        </w:tc>
      </w:tr>
      <w:tr>
        <w:trPr>
          <w:trHeight w:val="250"/>
        </w:trPr>
        <w:tc>
          <w:tcPr>
            <w:tcW w:w="41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17"/>
                <w:szCs w:val="17"/>
                <w:color w:val="auto"/>
              </w:rPr>
              <w:t>Class A ordinary shares included as part of the units</w:t>
            </w:r>
            <w:r>
              <w:rPr>
                <w:rFonts w:ascii="Arial" w:cs="Arial" w:eastAsia="Arial" w:hAnsi="Arial"/>
                <w:sz w:val="28"/>
                <w:szCs w:val="28"/>
                <w:color w:val="auto"/>
                <w:vertAlign w:val="superscript"/>
              </w:rPr>
              <w:t>(3)</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28,750,000 Shares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(4)</w:t>
            </w:r>
          </w:p>
        </w:tc>
      </w:tr>
      <w:tr>
        <w:trPr>
          <w:trHeight w:val="250"/>
        </w:trPr>
        <w:tc>
          <w:tcPr>
            <w:tcW w:w="41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17"/>
                <w:szCs w:val="17"/>
                <w:color w:val="auto"/>
              </w:rPr>
              <w:t>Redeemable warrants included as part of the units</w:t>
            </w:r>
            <w:r>
              <w:rPr>
                <w:rFonts w:ascii="Arial" w:cs="Arial" w:eastAsia="Arial" w:hAnsi="Arial"/>
                <w:sz w:val="28"/>
                <w:szCs w:val="28"/>
                <w:color w:val="auto"/>
                <w:vertAlign w:val="superscript"/>
              </w:rPr>
              <w:t>(3)</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14,375,000 Warrants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(4)</w:t>
            </w:r>
          </w:p>
        </w:tc>
      </w:tr>
      <w:tr>
        <w:trPr>
          <w:trHeight w:val="21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$287,500,000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$34,845</w:t>
            </w:r>
          </w:p>
        </w:tc>
      </w:tr>
    </w:tbl>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Class A ordinary shares and 1,875,000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share splits, share dividends or similar transactions.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ind w:right="10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JULY 19,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 Units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Silver Spike Acquisition Corp. is a newly incorporated blank check company incorporated as a Cayman Islands exempted company and incorporated for the purpose of effecting a merger, amalgamation,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provided herein, and only whole warrants are exercisable.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have also granted the underwriters a 45-day option to purchase up to an additional 3,750,000 units to cover over-allotments, if any.</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completion of our initial business combination, including interest (which interest shall be net of taxes payable), divided by the number of then issued and outstanding Class A ordinary shares that were sold as part of the units in this offering, which we refer to collectively as our public shares, subject to the limitations described herein. If we are unable to complete our initial business combination within 24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sponsor, Silver Spike Sponsor, LLC, a Delaware limited liability company (which we refer to as our “sponsor” throughout this prospectus), has committed to purchase an aggregate of 7,000,000 warrants (or 7,750,000 warrants if the underwriters’ over-allotment option is exercised in full) at a price of $1.00 per warrant ($7,000,000 in the aggregate or $7,750,000 in the aggregate if the underwriters’ over-allotment option is exercised in full) in a private placement that will close simultaneously with the closing of this offering. We refer to these warrants throughout this prospectus as the private placement warrants. Each private placement warrant entitles the holder thereof to purchase one Class A ordinary share at $11.50 per share, subject to adjustment as provided herein.</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initial shareholders currently hold 7,187,500 Class B ordinary shares (which we refer to as “founders shares,” as further described herein), up to 937,500 of which are subject to forfeiture by our sponsor depending on the extent to which the underwriters’ over-allotment option is exercised. Holders of Class A ordinary shares and Class B ordinary shares are entitled to one vote for each share held on all matters to be voted on by our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The Class B ordinary shares held by our initial shareholders will automatically convert into Class A ordinary shares on the first business day following the completion of our initial business combination on a one-for-one basis, subject to adjustment as provided herein.</w:t>
      </w:r>
    </w:p>
    <w:p>
      <w:pPr>
        <w:spacing w:after="0" w:line="200" w:lineRule="exact"/>
        <w:rPr>
          <w:sz w:val="20"/>
          <w:szCs w:val="20"/>
          <w:color w:val="auto"/>
        </w:rPr>
      </w:pP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Prior to this offering, there has been no public market for our units, ordinary shares or warrants. We intend to apply to list our units on the Nasdaq Capital Market, or Nasdaq, under the symbol “SSPKU” on or promptly after the date of this prospectus. We cannot guarantee that our securities will be approved for listing on Nasdaq. The Class A ordinary shares and warrants constituting the units will begin separate trading on the 52nd day following the date of this prospectus unless Credit Suisse Securities (USA) LLC informs us of its decision to allow earlier separate trading, subject to our filing a Current Report on Form 8-K with the Securities and Exchange Commission, or the “SEC”, containing an audited balance sheet of the Company reflecting our receipt of the gross proceeds of this offering and issuing a press release announcing when such separate trading will begin. Once the securities constituting the units begin separate trading, we expect that the Class A ordinary shares and warrants will be listed on Nasdaq under the symbols “SSPK” and “ SSPKW,” respectively.</w:t>
      </w:r>
    </w:p>
    <w:p>
      <w:pPr>
        <w:spacing w:after="0" w:line="16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risks. See the section of this prospectus entitled “Risk Factors” beginning on page 29. Investors will not be entitled to protections normally afforded to investors in Rule 419 blank check offerings.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D5EAEA"/>
            </w:tcBorders>
          </w:tcPr>
          <w:p>
            <w:pPr>
              <w:spacing w:after="0"/>
              <w:rPr>
                <w:sz w:val="20"/>
                <w:szCs w:val="20"/>
                <w:color w:val="auto"/>
              </w:rPr>
            </w:pPr>
          </w:p>
        </w:tc>
        <w:tc>
          <w:tcPr>
            <w:tcW w:w="248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 Unit</w:t>
            </w:r>
          </w:p>
        </w:tc>
        <w:tc>
          <w:tcPr>
            <w:tcW w:w="100" w:type="dxa"/>
            <w:vAlign w:val="bottom"/>
            <w:tcBorders>
              <w:bottom w:val="single" w:sz="8" w:color="D5EAEA"/>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4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480" w:type="dxa"/>
            <w:vAlign w:val="bottom"/>
            <w:shd w:val="clear" w:color="auto" w:fill="D5EAEA"/>
          </w:tcPr>
          <w:p>
            <w:pPr>
              <w:spacing w:after="0"/>
              <w:rPr>
                <w:sz w:val="18"/>
                <w:szCs w:val="18"/>
                <w:color w:val="auto"/>
              </w:rPr>
            </w:pP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250,000,000</w:t>
            </w:r>
          </w:p>
        </w:tc>
      </w:tr>
      <w:tr>
        <w:trPr>
          <w:trHeight w:val="257"/>
        </w:trPr>
        <w:tc>
          <w:tcPr>
            <w:tcW w:w="564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13,750,000</w:t>
            </w:r>
          </w:p>
        </w:tc>
      </w:tr>
      <w:tr>
        <w:trPr>
          <w:trHeight w:val="216"/>
        </w:trPr>
        <w:tc>
          <w:tcPr>
            <w:tcW w:w="5640" w:type="dxa"/>
            <w:vAlign w:val="bottom"/>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276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9.45</w:t>
            </w:r>
          </w:p>
        </w:tc>
        <w:tc>
          <w:tcPr>
            <w:tcW w:w="440" w:type="dxa"/>
            <w:vAlign w:val="bottom"/>
            <w:gridSpan w:val="2"/>
            <w:shd w:val="clear" w:color="auto" w:fill="D5EAEA"/>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236,250,000</w:t>
            </w:r>
          </w:p>
        </w:tc>
      </w:tr>
    </w:tbl>
    <w:p>
      <w:pPr>
        <w:sectPr>
          <w:pgSz w:w="11900" w:h="16838" w:orient="portrait"/>
          <w:cols w:equalWidth="0" w:num="1">
            <w:col w:w="11420"/>
          </w:cols>
          <w:pgMar w:left="240" w:top="584" w:right="239" w:bottom="0" w:gutter="0" w:footer="0" w:header="0"/>
        </w:sectPr>
      </w:pPr>
    </w:p>
    <w:bookmarkStart w:id="3" w:name="page4"/>
    <w:bookmarkEnd w:id="3"/>
    <w:p>
      <w:pPr>
        <w:ind w:left="332" w:hanging="332"/>
        <w:spacing w:after="0" w:line="259"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t>Includes $0.35 per unit, or $8,750,000 (or up to $10,062,500 if the underwriters’ over-allotment option is exercised in full) in the aggregate, payable to the underwriters for deferred underwriting commissions to be placed in a trust account located in the United States as described herein. Does not include certain fees and expenses payable to the underwriters in connection with this offering.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503" w:right="3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Of the proceeds we receive from this offering and the sale of the private placement warrants described in this prospectus, $250,000,000 or $287,500,000 if the underwriters’ over-allotment option is exercised in full ($10.00 per unit), will be deposited into a U.S.-based trust account with Continental Stock Transfer &amp; Trust Company acting as trustee. 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The proceeds deposited in the trust account could become subject to the claims of our creditors, if any, which could have priority over the claims of our public shareholders.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w w:val="94"/>
              </w:rPr>
              <w:t>The underwriters are offering the units for sale on a firm commitment basis. Delivery of the units will be made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9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Sole Book-Running Manager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Suisse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14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4050"/>
              <w:spacing w:after="0"/>
              <w:rPr>
                <w:sz w:val="20"/>
                <w:szCs w:val="20"/>
                <w:color w:val="auto"/>
              </w:rPr>
            </w:pPr>
            <w:r>
              <w:rPr>
                <w:rFonts w:ascii="Arial" w:cs="Arial" w:eastAsia="Arial" w:hAnsi="Arial"/>
                <w:sz w:val="18"/>
                <w:szCs w:val="18"/>
                <w:color w:val="auto"/>
              </w:rPr>
              <w:t>, 2019</w:t>
            </w:r>
          </w:p>
        </w:tc>
      </w:tr>
      <w:tr>
        <w:trPr>
          <w:trHeight w:val="567"/>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380" w:type="dxa"/>
            <w:vAlign w:val="bottom"/>
            <w:gridSpan w:val="5"/>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040" w:type="dxa"/>
            <w:vAlign w:val="bottom"/>
          </w:tcPr>
          <w:p>
            <w:pPr>
              <w:spacing w:after="0"/>
              <w:rPr>
                <w:sz w:val="24"/>
                <w:szCs w:val="24"/>
                <w:color w:val="auto"/>
              </w:rPr>
            </w:pPr>
          </w:p>
        </w:tc>
        <w:tc>
          <w:tcPr>
            <w:tcW w:w="340" w:type="dxa"/>
            <w:vAlign w:val="bottom"/>
            <w:tcBorders>
              <w:top w:val="single" w:sz="8" w:color="auto"/>
            </w:tcBorders>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The Offering</w:t>
              </w:r>
            </w:hyperlink>
          </w:p>
        </w:tc>
        <w:tc>
          <w:tcPr>
            <w:tcW w:w="7100" w:type="dxa"/>
            <w:vAlign w:val="bottom"/>
            <w:gridSpan w:val="15"/>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20" w:type="dxa"/>
            <w:vAlign w:val="bottom"/>
          </w:tcPr>
          <w:p>
            <w:pPr>
              <w:spacing w:after="0"/>
              <w:rPr>
                <w:sz w:val="17"/>
                <w:szCs w:val="17"/>
                <w:color w:val="auto"/>
              </w:rPr>
            </w:pPr>
          </w:p>
        </w:tc>
        <w:tc>
          <w:tcPr>
            <w:tcW w:w="7100" w:type="dxa"/>
            <w:vAlign w:val="bottom"/>
            <w:gridSpan w:val="15"/>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Cautionary Note Regarding Forward-Looking Statements</w:t>
              </w:r>
            </w:hyperlink>
          </w:p>
        </w:tc>
        <w:tc>
          <w:tcPr>
            <w:tcW w:w="3880" w:type="dxa"/>
            <w:vAlign w:val="bottom"/>
            <w:gridSpan w:val="2"/>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Use of Proceeds</w:t>
              </w:r>
            </w:hyperlink>
          </w:p>
        </w:tc>
        <w:tc>
          <w:tcPr>
            <w:tcW w:w="6860" w:type="dxa"/>
            <w:vAlign w:val="bottom"/>
            <w:gridSpan w:val="11"/>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196"/>
        </w:trPr>
        <w:tc>
          <w:tcPr>
            <w:tcW w:w="8040" w:type="dxa"/>
            <w:vAlign w:val="bottom"/>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6860" w:type="dxa"/>
            <w:vAlign w:val="bottom"/>
            <w:gridSpan w:val="11"/>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Capitalization</w:t>
              </w:r>
            </w:hyperlink>
          </w:p>
        </w:tc>
        <w:tc>
          <w:tcPr>
            <w:tcW w:w="7000" w:type="dxa"/>
            <w:vAlign w:val="bottom"/>
            <w:gridSpan w:val="12"/>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8040" w:type="dxa"/>
            <w:vAlign w:val="bottom"/>
            <w:gridSpan w:val="1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Proposed Business</w:t>
              </w:r>
            </w:hyperlink>
          </w:p>
        </w:tc>
        <w:tc>
          <w:tcPr>
            <w:tcW w:w="1580" w:type="dxa"/>
            <w:vAlign w:val="bottom"/>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Management</w:t>
              </w:r>
            </w:hyperlink>
          </w:p>
        </w:tc>
        <w:tc>
          <w:tcPr>
            <w:tcW w:w="6680" w:type="dxa"/>
            <w:vAlign w:val="bottom"/>
            <w:gridSpan w:val="10"/>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1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Principal Shareholders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1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 Party Transactions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11"/>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Description of Securities</w:t>
              </w:r>
            </w:hyperlink>
          </w:p>
        </w:tc>
        <w:tc>
          <w:tcPr>
            <w:tcW w:w="2040" w:type="dxa"/>
            <w:vAlign w:val="bottom"/>
            <w:gridSpan w:val="5"/>
          </w:tcPr>
          <w:p>
            <w:pPr>
              <w:spacing w:after="0"/>
              <w:rPr>
                <w:sz w:val="17"/>
                <w:szCs w:val="17"/>
                <w:color w:val="auto"/>
              </w:rPr>
            </w:pPr>
          </w:p>
        </w:tc>
        <w:tc>
          <w:tcPr>
            <w:tcW w:w="4200" w:type="dxa"/>
            <w:vAlign w:val="bottom"/>
            <w:gridSpan w:val="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1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Income Tax Considerations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Underwriting</w:t>
              </w:r>
            </w:hyperlink>
          </w:p>
        </w:tc>
        <w:tc>
          <w:tcPr>
            <w:tcW w:w="1000" w:type="dxa"/>
            <w:vAlign w:val="bottom"/>
            <w:gridSpan w:val="7"/>
          </w:tcPr>
          <w:p>
            <w:pPr>
              <w:spacing w:after="0"/>
              <w:rPr>
                <w:sz w:val="17"/>
                <w:szCs w:val="17"/>
                <w:color w:val="auto"/>
              </w:rPr>
            </w:pPr>
          </w:p>
        </w:tc>
        <w:tc>
          <w:tcPr>
            <w:tcW w:w="6060" w:type="dxa"/>
            <w:vAlign w:val="bottom"/>
            <w:gridSpan w:val="7"/>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6"/>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Legal Matters</w:t>
              </w:r>
            </w:hyperlink>
          </w:p>
        </w:tc>
        <w:tc>
          <w:tcPr>
            <w:tcW w:w="7020" w:type="dxa"/>
            <w:vAlign w:val="bottom"/>
            <w:gridSpan w:val="1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rFonts w:ascii="Arial" w:cs="Arial" w:eastAsia="Arial" w:hAnsi="Arial"/>
                <w:sz w:val="18"/>
                <w:szCs w:val="18"/>
                <w:color w:val="0000EE"/>
                <w:w w:val="85"/>
              </w:rPr>
            </w:pPr>
            <w:hyperlink w:anchor="page157">
              <w:r>
                <w:rPr>
                  <w:rFonts w:ascii="Arial" w:cs="Arial" w:eastAsia="Arial" w:hAnsi="Arial"/>
                  <w:sz w:val="18"/>
                  <w:szCs w:val="18"/>
                  <w:color w:val="0000EE"/>
                  <w:w w:val="85"/>
                </w:rPr>
                <w:t>Experts</w:t>
              </w:r>
            </w:hyperlink>
          </w:p>
        </w:tc>
        <w:tc>
          <w:tcPr>
            <w:tcW w:w="460" w:type="dxa"/>
            <w:vAlign w:val="bottom"/>
            <w:gridSpan w:val="5"/>
          </w:tcPr>
          <w:p>
            <w:pPr>
              <w:spacing w:after="0"/>
              <w:rPr>
                <w:sz w:val="17"/>
                <w:szCs w:val="17"/>
                <w:color w:val="auto"/>
              </w:rPr>
            </w:pPr>
          </w:p>
        </w:tc>
        <w:tc>
          <w:tcPr>
            <w:tcW w:w="7020" w:type="dxa"/>
            <w:vAlign w:val="bottom"/>
            <w:gridSpan w:val="1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14"/>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Where You Can Find Additional Information</w:t>
              </w:r>
            </w:hyperlink>
          </w:p>
        </w:tc>
        <w:tc>
          <w:tcPr>
            <w:tcW w:w="4780" w:type="dxa"/>
            <w:vAlign w:val="bottom"/>
            <w:gridSpan w:val="5"/>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150</w:t>
              </w:r>
            </w:hyperlink>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Index to Financial Statements</w:t>
              </w:r>
            </w:hyperlink>
          </w:p>
        </w:tc>
        <w:tc>
          <w:tcPr>
            <w:tcW w:w="1100" w:type="dxa"/>
            <w:vAlign w:val="bottom"/>
            <w:tcBorders>
              <w:top w:val="single" w:sz="8" w:color="0000EE"/>
            </w:tcBorders>
          </w:tcPr>
          <w:p>
            <w:pPr>
              <w:spacing w:after="0"/>
              <w:rPr>
                <w:sz w:val="17"/>
                <w:szCs w:val="17"/>
                <w:color w:val="auto"/>
              </w:rPr>
            </w:pPr>
          </w:p>
        </w:tc>
        <w:tc>
          <w:tcPr>
            <w:tcW w:w="4780" w:type="dxa"/>
            <w:vAlign w:val="bottom"/>
            <w:gridSpan w:val="5"/>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1"/>
              </w:rPr>
            </w:pPr>
            <w:hyperlink w:anchor="page158">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Until , 2019,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56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00" w:right="40"/>
        <w:spacing w:after="0" w:line="342"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“our,” “company” or “our company” are to Silver Spike Acquisition Corp., a Cayman Islands exempted company;</w:t>
      </w:r>
    </w:p>
    <w:p>
      <w:pPr>
        <w:spacing w:after="0" w:line="225" w:lineRule="exact"/>
        <w:rPr>
          <w:rFonts w:ascii="Arial" w:cs="Arial" w:eastAsia="Arial" w:hAnsi="Arial"/>
          <w:sz w:val="18"/>
          <w:szCs w:val="18"/>
          <w:color w:val="auto"/>
        </w:rPr>
      </w:pPr>
    </w:p>
    <w:p>
      <w:pPr>
        <w:ind w:left="740" w:right="60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memorandum and articles of association” are to our memorandum and articles of association to be in effect upon completion of this offering;</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“Class A ordinary shares” are to our Class A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“Class B ordinary shares” are to our Class B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“Companies Law” are to the Companies Law (2018 Revision) of the Cayman Islands as the same may be amended from time to time;</w:t>
      </w:r>
    </w:p>
    <w:p>
      <w:pPr>
        <w:spacing w:after="0" w:line="236" w:lineRule="exact"/>
        <w:rPr>
          <w:rFonts w:ascii="Arial" w:cs="Arial" w:eastAsia="Arial" w:hAnsi="Arial"/>
          <w:sz w:val="17"/>
          <w:szCs w:val="17"/>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225" w:lineRule="exact"/>
        <w:rPr>
          <w:rFonts w:ascii="Arial" w:cs="Arial" w:eastAsia="Arial" w:hAnsi="Arial"/>
          <w:sz w:val="18"/>
          <w:szCs w:val="18"/>
          <w:color w:val="auto"/>
        </w:rPr>
      </w:pPr>
    </w:p>
    <w:p>
      <w:pPr>
        <w:jc w:val="both"/>
        <w:ind w:left="740" w:hanging="318"/>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our Class B ordinary shares initially purchased by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81"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shareholders” are to our sponsor and other holders of our founder shares prior to this offering (if any);</w:t>
      </w:r>
    </w:p>
    <w:p>
      <w:pPr>
        <w:spacing w:after="0" w:line="225" w:lineRule="exact"/>
        <w:rPr>
          <w:rFonts w:ascii="Arial" w:cs="Arial" w:eastAsia="Arial" w:hAnsi="Arial"/>
          <w:sz w:val="18"/>
          <w:szCs w:val="18"/>
          <w:color w:val="auto"/>
        </w:rPr>
      </w:pPr>
    </w:p>
    <w:p>
      <w:pPr>
        <w:ind w:left="740" w:right="6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entered into between us and our initial shareholders, directors and officers, the form of which is filed as an exhibit to the registration statement of which this prospectus forms a part;</w:t>
      </w:r>
    </w:p>
    <w:p>
      <w:pPr>
        <w:spacing w:after="0" w:line="170" w:lineRule="exact"/>
        <w:rPr>
          <w:rFonts w:ascii="Arial" w:cs="Arial" w:eastAsia="Arial" w:hAnsi="Arial"/>
          <w:sz w:val="18"/>
          <w:szCs w:val="18"/>
          <w:color w:val="auto"/>
        </w:rPr>
      </w:pPr>
    </w:p>
    <w:p>
      <w:pPr>
        <w:ind w:left="740" w:right="18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 and any other advisors described in the “Management” section of this prospectus;</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placement warrants” are to the warrants issued to our sponsor in a private placement simultaneously with the closing of this offering;</w:t>
      </w:r>
    </w:p>
    <w:p>
      <w:pPr>
        <w:spacing w:after="0" w:line="248" w:lineRule="exact"/>
        <w:rPr>
          <w:rFonts w:ascii="Arial" w:cs="Arial" w:eastAsia="Arial" w:hAnsi="Arial"/>
          <w:sz w:val="16"/>
          <w:szCs w:val="16"/>
          <w:color w:val="auto"/>
        </w:rPr>
      </w:pPr>
    </w:p>
    <w:p>
      <w:pPr>
        <w:ind w:left="740" w:right="58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740" w:right="160" w:hanging="31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123" w:lineRule="exact"/>
        <w:rPr>
          <w:rFonts w:ascii="Arial" w:cs="Arial" w:eastAsia="Arial" w:hAnsi="Arial"/>
          <w:sz w:val="16"/>
          <w:szCs w:val="16"/>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Silver Spike Sponsor, LLC, a Delaware limited liability company;</w:t>
      </w:r>
    </w:p>
    <w:p>
      <w:pPr>
        <w:spacing w:after="0" w:line="225" w:lineRule="exact"/>
        <w:rPr>
          <w:rFonts w:ascii="Arial" w:cs="Arial" w:eastAsia="Arial" w:hAnsi="Arial"/>
          <w:sz w:val="18"/>
          <w:szCs w:val="18"/>
          <w:color w:val="auto"/>
        </w:rPr>
      </w:pPr>
    </w:p>
    <w:p>
      <w:pPr>
        <w:ind w:left="740" w:right="16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are to our redeemable warrants sold as part of the units in this offering (whether they are purchased in this offering or thereafter in the open market) and the private placement warrants; and</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5895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89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sz w:val="20"/>
          <w:szCs w:val="20"/>
          <w:color w:val="auto"/>
        </w:rPr>
      </w:pPr>
    </w:p>
    <w:p>
      <w:pPr>
        <w:ind w:left="100" w:right="40"/>
        <w:spacing w:after="0" w:line="276"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All references in this prospectus to shares of the Company being forfeited shall take effect as surrenders for no consideration of such shares as a matter of Cayman Islands law. Any share dividends described in this prospectus will take effect as a share capitalization as a matter of Cayman Islands law. Unless we tell you otherwise, the information in this prospectus assumes that the underwriters will not exercise their over-allotment option and the forfeiture by our sponsor of 937,500 founder shares.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Our sponsor is an affiliate of Silver Spike Capital. Silver Spike Capital is an asset management fund focused on the burgeoning cannabis and related health</w:t>
      </w:r>
    </w:p>
    <w:p>
      <w:pPr>
        <w:spacing w:after="0" w:line="46" w:lineRule="exact"/>
        <w:rPr>
          <w:sz w:val="20"/>
          <w:szCs w:val="20"/>
          <w:color w:val="auto"/>
        </w:rPr>
      </w:pPr>
    </w:p>
    <w:p>
      <w:pPr>
        <w:ind w:left="100" w:right="140" w:hanging="2"/>
        <w:spacing w:after="0" w:line="277" w:lineRule="auto"/>
        <w:tabs>
          <w:tab w:leader="none" w:pos="28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73" w:lineRule="exact"/>
        <w:rPr>
          <w:sz w:val="20"/>
          <w:szCs w:val="20"/>
          <w:color w:val="auto"/>
        </w:rPr>
      </w:pPr>
    </w:p>
    <w:p>
      <w:pPr>
        <w:ind w:left="100" w:right="2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7" w:lineRule="exact"/>
        <w:rPr>
          <w:sz w:val="20"/>
          <w:szCs w:val="20"/>
          <w:color w:val="auto"/>
        </w:rPr>
      </w:pPr>
    </w:p>
    <w:p>
      <w:pPr>
        <w:ind w:left="100" w:right="20"/>
        <w:spacing w:after="0" w:line="288" w:lineRule="auto"/>
        <w:rPr>
          <w:sz w:val="20"/>
          <w:szCs w:val="20"/>
          <w:color w:val="auto"/>
        </w:rPr>
      </w:pPr>
      <w:r>
        <w:rPr>
          <w:rFonts w:ascii="Arial" w:cs="Arial" w:eastAsia="Arial" w:hAnsi="Arial"/>
          <w:sz w:val="16"/>
          <w:szCs w:val="16"/>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24 months, we believe that legislative activity in certain jurisdictions will further broaden our opportunity set for eligible acquisitions.</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015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179" w:lineRule="exact"/>
        <w:rPr>
          <w:sz w:val="20"/>
          <w:szCs w:val="20"/>
          <w:color w:val="auto"/>
        </w:rPr>
      </w:pPr>
    </w:p>
    <w:p>
      <w:pPr>
        <w:ind w:left="100" w:right="20"/>
        <w:spacing w:after="0" w:line="270" w:lineRule="auto"/>
        <w:rPr>
          <w:sz w:val="20"/>
          <w:szCs w:val="20"/>
          <w:color w:val="auto"/>
        </w:rPr>
      </w:pPr>
      <w:r>
        <w:rPr>
          <w:rFonts w:ascii="Arial" w:cs="Arial" w:eastAsia="Arial" w:hAnsi="Arial"/>
          <w:sz w:val="17"/>
          <w:szCs w:val="17"/>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178" w:lineRule="exact"/>
        <w:rPr>
          <w:sz w:val="20"/>
          <w:szCs w:val="20"/>
          <w:color w:val="auto"/>
        </w:rPr>
      </w:pPr>
    </w:p>
    <w:p>
      <w:pPr>
        <w:ind w:left="100" w:right="10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3" w:lineRule="exact"/>
        <w:rPr>
          <w:sz w:val="20"/>
          <w:szCs w:val="20"/>
          <w:color w:val="auto"/>
        </w:rPr>
      </w:pPr>
    </w:p>
    <w:p>
      <w:pPr>
        <w:ind w:left="100" w:right="80"/>
        <w:spacing w:after="0" w:line="273"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8" w:lineRule="exact"/>
        <w:rPr>
          <w:sz w:val="20"/>
          <w:szCs w:val="20"/>
          <w:color w:val="auto"/>
        </w:rPr>
      </w:pPr>
    </w:p>
    <w:p>
      <w:pPr>
        <w:ind w:left="100"/>
        <w:spacing w:after="0" w:line="289" w:lineRule="auto"/>
        <w:rPr>
          <w:sz w:val="20"/>
          <w:szCs w:val="20"/>
          <w:color w:val="auto"/>
        </w:rPr>
      </w:pPr>
      <w:r>
        <w:rPr>
          <w:rFonts w:ascii="Arial" w:cs="Arial" w:eastAsia="Arial" w:hAnsi="Arial"/>
          <w:sz w:val="16"/>
          <w:szCs w:val="16"/>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67" w:lineRule="exact"/>
        <w:rPr>
          <w:sz w:val="20"/>
          <w:szCs w:val="20"/>
          <w:color w:val="auto"/>
        </w:rPr>
      </w:pPr>
    </w:p>
    <w:p>
      <w:pPr>
        <w:ind w:left="100" w:right="26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left="100" w:right="80"/>
        <w:spacing w:after="0" w:line="312" w:lineRule="auto"/>
        <w:rPr>
          <w:sz w:val="20"/>
          <w:szCs w:val="20"/>
          <w:color w:val="auto"/>
        </w:rPr>
      </w:pPr>
      <w:r>
        <w:rPr>
          <w:rFonts w:ascii="Arial" w:cs="Arial" w:eastAsia="Arial" w:hAnsi="Arial"/>
          <w:sz w:val="16"/>
          <w:szCs w:val="16"/>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42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427470"/>
                    </a:xfrm>
                    <a:prstGeom prst="rect">
                      <a:avLst/>
                    </a:prstGeom>
                    <a:noFill/>
                  </pic:spPr>
                </pic:pic>
              </a:graphicData>
            </a:graphic>
          </wp:anchor>
        </w:drawing>
      </w:r>
    </w:p>
    <w:p>
      <w:pPr>
        <w:spacing w:after="0" w:line="179" w:lineRule="exact"/>
        <w:rPr>
          <w:sz w:val="20"/>
          <w:szCs w:val="20"/>
          <w:color w:val="auto"/>
        </w:rPr>
      </w:pPr>
    </w:p>
    <w:p>
      <w:pPr>
        <w:ind w:left="100" w:right="340"/>
        <w:spacing w:after="0" w:line="277" w:lineRule="auto"/>
        <w:rPr>
          <w:sz w:val="20"/>
          <w:szCs w:val="20"/>
          <w:color w:val="auto"/>
        </w:rPr>
      </w:pPr>
      <w:r>
        <w:rPr>
          <w:rFonts w:ascii="Arial" w:cs="Arial" w:eastAsia="Arial" w:hAnsi="Arial"/>
          <w:sz w:val="18"/>
          <w:szCs w:val="18"/>
          <w:color w:val="auto"/>
        </w:rPr>
        <w:t>collective operating, technical, regulatory and legal expertise in cannabis to build a strong business with competitive advantages to emerge as a leading public company in the space.</w:t>
      </w:r>
    </w:p>
    <w:p>
      <w:pPr>
        <w:spacing w:after="0" w:line="170" w:lineRule="exact"/>
        <w:rPr>
          <w:sz w:val="20"/>
          <w:szCs w:val="20"/>
          <w:color w:val="auto"/>
        </w:rPr>
      </w:pPr>
    </w:p>
    <w:p>
      <w:pPr>
        <w:ind w:left="100"/>
        <w:spacing w:after="0" w:line="276" w:lineRule="auto"/>
        <w:rPr>
          <w:sz w:val="20"/>
          <w:szCs w:val="20"/>
          <w:color w:val="auto"/>
        </w:rPr>
      </w:pPr>
      <w:r>
        <w:rPr>
          <w:rFonts w:ascii="Arial" w:cs="Arial" w:eastAsia="Arial" w:hAnsi="Arial"/>
          <w:sz w:val="17"/>
          <w:szCs w:val="17"/>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that will provide operating, technical, regulatory and legal expertise in cannabis to assist a target business access the public markets.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73" w:lineRule="exact"/>
        <w:rPr>
          <w:sz w:val="20"/>
          <w:szCs w:val="20"/>
          <w:color w:val="auto"/>
        </w:rPr>
      </w:pPr>
    </w:p>
    <w:p>
      <w:pPr>
        <w:ind w:left="100" w:right="100"/>
        <w:spacing w:after="0" w:line="293"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65" w:lineRule="exact"/>
        <w:rPr>
          <w:sz w:val="20"/>
          <w:szCs w:val="20"/>
          <w:color w:val="auto"/>
        </w:rPr>
      </w:pPr>
    </w:p>
    <w:p>
      <w:pPr>
        <w:jc w:val="both"/>
        <w:ind w:left="100" w:right="4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left="100" w:right="10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740" w:right="64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61" w:lineRule="exact"/>
        <w:rPr>
          <w:rFonts w:ascii="Arial" w:cs="Arial" w:eastAsia="Arial" w:hAnsi="Arial"/>
          <w:sz w:val="18"/>
          <w:szCs w:val="18"/>
          <w:color w:val="auto"/>
        </w:rPr>
      </w:pPr>
    </w:p>
    <w:p>
      <w:pPr>
        <w:ind w:left="740" w:right="32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740" w:right="340" w:hanging="318"/>
        <w:spacing w:after="0" w:line="26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6" w:lineRule="exact"/>
        <w:rPr>
          <w:rFonts w:ascii="Arial" w:cs="Arial" w:eastAsia="Arial" w:hAnsi="Arial"/>
          <w:sz w:val="18"/>
          <w:szCs w:val="18"/>
          <w:color w:val="auto"/>
        </w:rPr>
      </w:pPr>
    </w:p>
    <w:p>
      <w:pPr>
        <w:ind w:left="740" w:right="440" w:hanging="318"/>
        <w:spacing w:after="0" w:line="313"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8" w:lineRule="exact"/>
        <w:rPr>
          <w:rFonts w:ascii="Arial" w:cs="Arial" w:eastAsia="Arial" w:hAnsi="Arial"/>
          <w:sz w:val="17"/>
          <w:szCs w:val="17"/>
          <w:color w:val="auto"/>
        </w:rPr>
      </w:pPr>
    </w:p>
    <w:p>
      <w:pPr>
        <w:ind w:left="740" w:right="80" w:hanging="318"/>
        <w:spacing w:after="0" w:line="26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07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740" w:right="580" w:hanging="318"/>
        <w:spacing w:after="0" w:line="347"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may benefit from capital markets access. </w:t>
      </w:r>
      <w:r>
        <w:rPr>
          <w:rFonts w:ascii="Arial" w:cs="Arial" w:eastAsia="Arial" w:hAnsi="Arial"/>
          <w:sz w:val="16"/>
          <w:szCs w:val="16"/>
          <w:color w:val="auto"/>
        </w:rPr>
        <w:t>We intend to seek a target that may benefit from being, or has the potential to become,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an increased public profile, enhanced corporate governance and increased access to a more diversified pool of capital; and</w:t>
      </w:r>
    </w:p>
    <w:p>
      <w:pPr>
        <w:spacing w:after="0" w:line="116" w:lineRule="exact"/>
        <w:rPr>
          <w:rFonts w:ascii="Arial" w:cs="Arial" w:eastAsia="Arial" w:hAnsi="Arial"/>
          <w:sz w:val="16"/>
          <w:szCs w:val="16"/>
          <w:color w:val="auto"/>
        </w:rPr>
      </w:pPr>
    </w:p>
    <w:p>
      <w:pPr>
        <w:ind w:left="740" w:right="900" w:hanging="31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based on our analysis and due diligence review.</w:t>
      </w:r>
    </w:p>
    <w:p>
      <w:pPr>
        <w:spacing w:after="0" w:line="166" w:lineRule="exact"/>
        <w:rPr>
          <w:sz w:val="20"/>
          <w:szCs w:val="20"/>
          <w:color w:val="auto"/>
        </w:rPr>
      </w:pPr>
    </w:p>
    <w:p>
      <w:pPr>
        <w:ind w:left="100" w:right="80"/>
        <w:spacing w:after="0" w:line="297"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left="100" w:right="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00"/>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ind w:left="100" w:right="220"/>
        <w:spacing w:after="0" w:line="276"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5878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179"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00" w:right="180"/>
        <w:spacing w:after="0" w:line="279" w:lineRule="auto"/>
        <w:rPr>
          <w:sz w:val="20"/>
          <w:szCs w:val="20"/>
          <w:color w:val="auto"/>
        </w:rPr>
      </w:pPr>
      <w:r>
        <w:rPr>
          <w:rFonts w:ascii="Arial" w:cs="Arial" w:eastAsia="Arial" w:hAnsi="Arial"/>
          <w:sz w:val="17"/>
          <w:szCs w:val="17"/>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7" w:lineRule="exact"/>
        <w:rPr>
          <w:sz w:val="20"/>
          <w:szCs w:val="20"/>
          <w:color w:val="auto"/>
        </w:rPr>
      </w:pPr>
    </w:p>
    <w:p>
      <w:pPr>
        <w:ind w:left="100" w:right="12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00" w:right="18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3" w:lineRule="exact"/>
        <w:rPr>
          <w:sz w:val="20"/>
          <w:szCs w:val="20"/>
          <w:color w:val="auto"/>
        </w:rPr>
      </w:pPr>
    </w:p>
    <w:p>
      <w:pPr>
        <w:jc w:val="both"/>
        <w:ind w:left="100" w:right="100"/>
        <w:spacing w:after="0" w:line="312" w:lineRule="auto"/>
        <w:rPr>
          <w:sz w:val="20"/>
          <w:szCs w:val="20"/>
          <w:color w:val="auto"/>
        </w:rPr>
      </w:pPr>
      <w:r>
        <w:rPr>
          <w:rFonts w:ascii="Arial" w:cs="Arial" w:eastAsia="Arial" w:hAnsi="Arial"/>
          <w:sz w:val="16"/>
          <w:szCs w:val="16"/>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121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1213485"/>
                    </a:xfrm>
                    <a:prstGeom prst="rect">
                      <a:avLst/>
                    </a:prstGeom>
                    <a:noFill/>
                  </pic:spPr>
                </pic:pic>
              </a:graphicData>
            </a:graphic>
          </wp:anchor>
        </w:drawing>
      </w:r>
    </w:p>
    <w:p>
      <w:pPr>
        <w:spacing w:after="0" w:line="179"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100" w:right="160"/>
        <w:spacing w:after="0" w:line="277" w:lineRule="auto"/>
        <w:rPr>
          <w:sz w:val="20"/>
          <w:szCs w:val="20"/>
          <w:color w:val="auto"/>
        </w:rPr>
      </w:pPr>
      <w:r>
        <w:rPr>
          <w:rFonts w:ascii="Arial" w:cs="Arial" w:eastAsia="Arial" w:hAnsi="Arial"/>
          <w:sz w:val="18"/>
          <w:szCs w:val="18"/>
          <w:color w:val="auto"/>
        </w:rPr>
        <w:t>We are a Cayman Islands exempted company incorporated in June 2019. Our executive offices are located at 1114 6th Ave, 41st Floor, New York, New York, 10036 and our telephone number is (212) 905-4923.</w:t>
      </w: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25" w:right="4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07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00"/>
        <w:spacing w:after="0" w:line="327" w:lineRule="auto"/>
        <w:rPr>
          <w:sz w:val="20"/>
          <w:szCs w:val="20"/>
          <w:color w:val="auto"/>
        </w:rPr>
      </w:pPr>
      <w:r>
        <w:rPr>
          <w:rFonts w:ascii="Arial" w:cs="Arial" w:eastAsia="Arial" w:hAnsi="Arial"/>
          <w:sz w:val="15"/>
          <w:szCs w:val="15"/>
          <w:b w:val="1"/>
          <w:bCs w:val="1"/>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40" w:lineRule="exact"/>
        <w:rPr>
          <w:sz w:val="20"/>
          <w:szCs w:val="20"/>
          <w:color w:val="auto"/>
        </w:rPr>
      </w:pPr>
    </w:p>
    <w:p>
      <w:pPr>
        <w:ind w:left="100"/>
        <w:spacing w:after="0"/>
        <w:tabs>
          <w:tab w:leader="none" w:pos="5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25,000,000 units (or 28,750,000 units if the underwriters’ over-allotment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option is exercised in full), at $10.00 per unit, each unit consisting of:</w:t>
      </w:r>
    </w:p>
    <w:p>
      <w:pPr>
        <w:spacing w:after="0" w:line="211" w:lineRule="exact"/>
        <w:rPr>
          <w:sz w:val="20"/>
          <w:szCs w:val="20"/>
          <w:color w:val="auto"/>
        </w:rPr>
      </w:pPr>
    </w:p>
    <w:p>
      <w:pPr>
        <w:ind w:left="5600"/>
        <w:spacing w:after="0"/>
        <w:tabs>
          <w:tab w:leader="none" w:pos="5860" w:val="left"/>
        </w:tabs>
        <w:rPr>
          <w:sz w:val="20"/>
          <w:szCs w:val="20"/>
          <w:color w:val="auto"/>
        </w:rPr>
      </w:pPr>
      <w:r>
        <w:rPr>
          <w:rFonts w:ascii="Arial" w:cs="Arial" w:eastAsia="Arial" w:hAnsi="Arial"/>
          <w:sz w:val="18"/>
          <w:szCs w:val="18"/>
          <w:color w:val="auto"/>
        </w:rPr>
        <w:t>·</w:t>
        <w:tab/>
        <w:t>one Class A ordinary share; and</w:t>
      </w:r>
    </w:p>
    <w:p>
      <w:pPr>
        <w:spacing w:after="0" w:line="225" w:lineRule="exact"/>
        <w:rPr>
          <w:sz w:val="20"/>
          <w:szCs w:val="20"/>
          <w:color w:val="auto"/>
        </w:rPr>
      </w:pPr>
    </w:p>
    <w:p>
      <w:pPr>
        <w:ind w:left="5600"/>
        <w:spacing w:after="0"/>
        <w:tabs>
          <w:tab w:leader="none" w:pos="5860" w:val="left"/>
        </w:tabs>
        <w:rPr>
          <w:sz w:val="20"/>
          <w:szCs w:val="20"/>
          <w:color w:val="auto"/>
        </w:rPr>
      </w:pPr>
      <w:r>
        <w:rPr>
          <w:rFonts w:ascii="Arial" w:cs="Arial" w:eastAsia="Arial" w:hAnsi="Arial"/>
          <w:sz w:val="18"/>
          <w:szCs w:val="18"/>
          <w:color w:val="auto"/>
        </w:rPr>
        <w:t>·</w:t>
        <w:tab/>
        <w:t>one-half of one redeemable warrant.</w:t>
      </w:r>
    </w:p>
    <w:p>
      <w:pPr>
        <w:sectPr>
          <w:pgSz w:w="11900" w:h="16838" w:orient="portrait"/>
          <w:cols w:equalWidth="0" w:num="1">
            <w:col w:w="11320"/>
          </w:cols>
          <w:pgMar w:left="240" w:top="225" w:right="33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right="480"/>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Units: “SSPKU”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“SSPK”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“SSPKW”</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85"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jc w:val="both"/>
        <w:ind w:left="100" w:right="380"/>
        <w:spacing w:after="0" w:line="264"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ind w:right="100"/>
        <w:spacing w:after="0" w:line="270"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7422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before this offering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after this offering</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before this offering</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after this offering</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0" w:lineRule="exact"/>
        <w:rPr>
          <w:sz w:val="20"/>
          <w:szCs w:val="20"/>
          <w:color w:val="auto"/>
        </w:rPr>
      </w:pPr>
    </w:p>
    <w:p>
      <w:pPr>
        <w:ind w:left="100" w:right="440"/>
        <w:spacing w:after="0" w:line="277" w:lineRule="auto"/>
        <w:rPr>
          <w:sz w:val="20"/>
          <w:szCs w:val="20"/>
          <w:color w:val="auto"/>
        </w:rPr>
      </w:pPr>
      <w:r>
        <w:rPr>
          <w:rFonts w:ascii="Arial" w:cs="Arial" w:eastAsia="Arial" w:hAnsi="Arial"/>
          <w:sz w:val="18"/>
          <w:szCs w:val="18"/>
          <w:color w:val="auto"/>
        </w:rPr>
        <w:t>Number of warrants to be outstanding after this offering and the private placement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30"/>
          <w:szCs w:val="30"/>
          <w:color w:val="auto"/>
          <w:vertAlign w:val="superscript"/>
        </w:rPr>
        <w:t>(1)</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7,187,500</w:t>
      </w:r>
      <w:r>
        <w:rPr>
          <w:rFonts w:ascii="Arial" w:cs="Arial" w:eastAsia="Arial" w:hAnsi="Arial"/>
          <w:sz w:val="30"/>
          <w:szCs w:val="30"/>
          <w:color w:val="auto"/>
          <w:vertAlign w:val="superscript"/>
        </w:rPr>
        <w:t>(2) (3)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31,250,000</w:t>
      </w:r>
      <w:r>
        <w:rPr>
          <w:rFonts w:ascii="Arial" w:cs="Arial" w:eastAsia="Arial" w:hAnsi="Arial"/>
          <w:sz w:val="30"/>
          <w:szCs w:val="30"/>
          <w:color w:val="auto"/>
          <w:vertAlign w:val="superscript"/>
        </w:rPr>
        <w:t>(1) (3) (4)</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7,000,000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19,500,000</w:t>
      </w:r>
      <w:r>
        <w:rPr>
          <w:rFonts w:ascii="Arial" w:cs="Arial" w:eastAsia="Arial" w:hAnsi="Arial"/>
          <w:sz w:val="30"/>
          <w:szCs w:val="30"/>
          <w:color w:val="auto"/>
          <w:vertAlign w:val="superscript"/>
        </w:rPr>
        <w:t>(1)</w:t>
      </w:r>
    </w:p>
    <w:p>
      <w:pPr>
        <w:spacing w:after="0" w:line="300"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Each whole warrant offered in this offering is exercisable to purchase one Class A ordinary share, subject to adjustment as provided herein, and only whole warrants are exercisable. No fractional warrants will be issued upon separation of the units and only whole warrants will trade.</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structured each unit to contain one-half of one warrant, with each whole warrant exercisable for one Class A ordinary share, as compared to units issued by some other similar blank check companies which contain whole warrants exercisable for one share, in order to reduce the dilutive effect of the warrants upon completion of our initial business combination as compared to units that each contain a whole warrant to purchase one share, which we believe will make us a more attractive business combination partner for target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if (x) we issue additional ordinary shares or equity-linked securities for capital raising purposes in</w:t>
      </w:r>
    </w:p>
    <w:p>
      <w:pPr>
        <w:spacing w:after="0" w:line="200" w:lineRule="exact"/>
        <w:rPr>
          <w:sz w:val="20"/>
          <w:szCs w:val="20"/>
          <w:color w:val="auto"/>
        </w:rPr>
      </w:pPr>
    </w:p>
    <w:p>
      <w:pPr>
        <w:sectPr>
          <w:pgSz w:w="11900" w:h="16838" w:orient="portrait"/>
          <w:cols w:equalWidth="0" w:num="2">
            <w:col w:w="4880" w:space="720"/>
            <w:col w:w="5680"/>
          </w:cols>
          <w:pgMar w:left="240" w:top="225" w:right="379" w:bottom="1440" w:gutter="0" w:footer="0" w:header="0"/>
          <w:type w:val="continuous"/>
        </w:sectPr>
      </w:pPr>
    </w:p>
    <w:p>
      <w:pPr>
        <w:spacing w:after="0" w:line="275" w:lineRule="exact"/>
        <w:rPr>
          <w:sz w:val="20"/>
          <w:szCs w:val="20"/>
          <w:color w:val="auto"/>
        </w:rPr>
      </w:pPr>
    </w:p>
    <w:p>
      <w:pPr>
        <w:ind w:left="1280" w:hanging="534"/>
        <w:spacing w:after="0"/>
        <w:tabs>
          <w:tab w:leader="none" w:pos="12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Assumes no exercise of the underwriters’ over-allotment option and the forfeiture by our sponsor of 937,500 founder shares.</w:t>
      </w:r>
    </w:p>
    <w:p>
      <w:pPr>
        <w:spacing w:after="0" w:line="242" w:lineRule="exact"/>
        <w:rPr>
          <w:rFonts w:ascii="Arial" w:cs="Arial" w:eastAsia="Arial" w:hAnsi="Arial"/>
          <w:sz w:val="30"/>
          <w:szCs w:val="30"/>
          <w:color w:val="auto"/>
          <w:vertAlign w:val="superscript"/>
        </w:rPr>
      </w:pPr>
    </w:p>
    <w:p>
      <w:pPr>
        <w:ind w:left="100" w:right="80" w:firstLine="646"/>
        <w:spacing w:after="0" w:line="194"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Consists solely of founder shares and includes up to 937,500 founder shares that are subject to forfeiture by our sponsor depending on the extent to which the underwriters’ over-allotment option is exercised.</w:t>
      </w:r>
    </w:p>
    <w:p>
      <w:pPr>
        <w:spacing w:after="0" w:line="242" w:lineRule="exact"/>
        <w:rPr>
          <w:rFonts w:ascii="Arial" w:cs="Arial" w:eastAsia="Arial" w:hAnsi="Arial"/>
          <w:sz w:val="30"/>
          <w:szCs w:val="30"/>
          <w:color w:val="auto"/>
          <w:vertAlign w:val="superscript"/>
        </w:rPr>
      </w:pPr>
    </w:p>
    <w:p>
      <w:pPr>
        <w:ind w:left="100" w:firstLine="646"/>
        <w:spacing w:after="0" w:line="209"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Founder shares are currently classified as Class B ordinary shares, which shares will automatically convert into Class A ordinary shares on the first business day following our initial business combination on a one-for-one basis, subject to adjustment as described below adjacent to the caption “Founder shares conversion and anti-dilution rights.”</w:t>
      </w:r>
    </w:p>
    <w:p>
      <w:pPr>
        <w:spacing w:after="0" w:line="129" w:lineRule="exact"/>
        <w:rPr>
          <w:rFonts w:ascii="Arial" w:cs="Arial" w:eastAsia="Arial" w:hAnsi="Arial"/>
          <w:sz w:val="30"/>
          <w:szCs w:val="30"/>
          <w:color w:val="auto"/>
          <w:vertAlign w:val="superscript"/>
        </w:rPr>
      </w:pPr>
    </w:p>
    <w:p>
      <w:pPr>
        <w:ind w:left="1280" w:hanging="534"/>
        <w:spacing w:after="0"/>
        <w:tabs>
          <w:tab w:leader="none" w:pos="12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Includes 25,000,000 public shares and 6,250,000 founder shares.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24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line="285" w:lineRule="auto"/>
        <w:rPr>
          <w:sz w:val="20"/>
          <w:szCs w:val="20"/>
          <w:color w:val="auto"/>
        </w:rPr>
      </w:pPr>
      <w:r>
        <w:rPr>
          <w:rFonts w:ascii="Arial" w:cs="Arial" w:eastAsia="Arial" w:hAnsi="Arial"/>
          <w:sz w:val="16"/>
          <w:szCs w:val="16"/>
          <w:color w:val="auto"/>
        </w:rPr>
        <w:t>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volume weighted average trading price of our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173" w:lineRule="exact"/>
        <w:rPr>
          <w:sz w:val="20"/>
          <w:szCs w:val="20"/>
          <w:color w:val="auto"/>
        </w:rPr>
      </w:pPr>
    </w:p>
    <w:p>
      <w:pPr>
        <w:ind w:left="100"/>
        <w:spacing w:after="0"/>
        <w:tabs>
          <w:tab w:leader="none" w:pos="558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225" w:lineRule="exact"/>
        <w:rPr>
          <w:sz w:val="20"/>
          <w:szCs w:val="20"/>
          <w:color w:val="auto"/>
        </w:rPr>
      </w:pPr>
    </w:p>
    <w:p>
      <w:pPr>
        <w:ind w:left="5880" w:hanging="272"/>
        <w:spacing w:after="0"/>
        <w:tabs>
          <w:tab w:leader="none" w:pos="5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5" w:lineRule="exact"/>
        <w:rPr>
          <w:rFonts w:ascii="Arial" w:cs="Arial" w:eastAsia="Arial" w:hAnsi="Arial"/>
          <w:sz w:val="18"/>
          <w:szCs w:val="18"/>
          <w:color w:val="auto"/>
        </w:rPr>
      </w:pPr>
    </w:p>
    <w:p>
      <w:pPr>
        <w:ind w:left="5880" w:hanging="272"/>
        <w:spacing w:after="0"/>
        <w:tabs>
          <w:tab w:leader="none" w:pos="5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provided in each case that we have an effective registration statement under</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Securities Act covering the issuance of the Class A ordinary shares</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issuable upon exercise of the warrants and a current prospectus relating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them is available and such shares are registered, qualified or exempt from</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registration under the securities, or blue sky, laws of the state of residence of</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holder (or we permit holders to exercise their warrants on a cashless basis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under the circumstances specified in the warrant agreement).</w:t>
      </w:r>
    </w:p>
    <w:p>
      <w:pPr>
        <w:spacing w:after="0" w:line="211" w:lineRule="exact"/>
        <w:rPr>
          <w:sz w:val="20"/>
          <w:szCs w:val="20"/>
          <w:color w:val="auto"/>
        </w:rPr>
      </w:pPr>
    </w:p>
    <w:p>
      <w:pPr>
        <w:ind w:left="5600"/>
        <w:spacing w:after="0" w:line="270"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 registration statement covering the issuance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to those Class A ordinary</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73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7360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shares until the warrants expire or are redeemed; provided that if our Class A</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ordinary shares are, at the time of any exercise of a warrant, not listed on 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national securities exchange such that it satisfies the definition of a “covered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security” under Section 18(b)(1) of the Securities Act, we may, at our option,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require holders of public warrants who exercise their warrants to do so on 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“cashless basis” in accordance with Section 3(a)(9) of the Securities Act and,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in the event we so elect, we will not be required to file or maintain in effect a</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registration statement.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warrants will expire at 5:00 p.m., New York City time, five years after the</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completion of our initial business combination or earlier upon redemption or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liquidation. On the exercise of any warrant, the warrant exercise price will be</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paid directly to us and not placed in the trust account.</w:t>
      </w:r>
    </w:p>
    <w:p>
      <w:pPr>
        <w:sectPr>
          <w:pgSz w:w="11900" w:h="16838" w:orient="portrait"/>
          <w:cols w:equalWidth="0" w:num="1">
            <w:col w:w="11320"/>
          </w:cols>
          <w:pgMar w:left="240" w:top="225"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Redemption of warrants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81"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whole and not in part;</w:t>
      </w:r>
    </w:p>
    <w:p>
      <w:pPr>
        <w:spacing w:after="0" w:line="222" w:lineRule="exact"/>
        <w:rPr>
          <w:sz w:val="20"/>
          <w:szCs w:val="20"/>
          <w:color w:val="auto"/>
        </w:rPr>
      </w:pPr>
    </w:p>
    <w:p>
      <w:pPr>
        <w:sectPr>
          <w:pgSz w:w="11900" w:h="16838" w:orient="portrait"/>
          <w:cols w:equalWidth="0" w:num="2">
            <w:col w:w="5660" w:space="260"/>
            <w:col w:w="5400"/>
          </w:cols>
          <w:pgMar w:left="240" w:top="225" w:right="339" w:bottom="1440" w:gutter="0" w:footer="0" w:header="0"/>
          <w:type w:val="continuous"/>
        </w:sectPr>
      </w:pPr>
    </w:p>
    <w:p>
      <w:pPr>
        <w:spacing w:after="0" w:line="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 a price of $0.01 per warrant;</w:t>
      </w:r>
    </w:p>
    <w:p>
      <w:pPr>
        <w:spacing w:after="0" w:line="222" w:lineRule="exact"/>
        <w:rPr>
          <w:sz w:val="20"/>
          <w:szCs w:val="20"/>
          <w:color w:val="auto"/>
        </w:rPr>
      </w:pPr>
    </w:p>
    <w:p>
      <w:pPr>
        <w:sectPr>
          <w:pgSz w:w="11900" w:h="16838" w:orient="portrait"/>
          <w:cols w:equalWidth="0" w:num="2">
            <w:col w:w="5660" w:space="260"/>
            <w:col w:w="5400"/>
          </w:cols>
          <w:pgMar w:left="240" w:top="225" w:right="339" w:bottom="1440" w:gutter="0" w:footer="0" w:header="0"/>
          <w:type w:val="continuous"/>
        </w:sectPr>
      </w:pPr>
    </w:p>
    <w:p>
      <w:pPr>
        <w:spacing w:after="0" w:line="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hanging="8"/>
        <w:spacing w:after="0" w:line="277" w:lineRule="auto"/>
        <w:rPr>
          <w:sz w:val="20"/>
          <w:szCs w:val="20"/>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0"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hanging="8"/>
        <w:spacing w:after="0" w:line="286" w:lineRule="auto"/>
        <w:rPr>
          <w:sz w:val="20"/>
          <w:szCs w:val="20"/>
          <w:color w:val="auto"/>
        </w:rPr>
      </w:pPr>
      <w:r>
        <w:rPr>
          <w:rFonts w:ascii="Arial" w:cs="Arial" w:eastAsia="Arial" w:hAnsi="Arial"/>
          <w:sz w:val="16"/>
          <w:szCs w:val="16"/>
          <w:color w:val="auto"/>
        </w:rPr>
        <w:t>if, and only if, the last reported sale price of our Class A ordinary shares equals or exceeds $18.00 per share (as adjusted for share splits, share dividends, rights issuances, subdivisions, reorganizations, recapitalizations and the like) for any 20 trading days within a 30-trading day period ending</w:t>
      </w:r>
    </w:p>
    <w:p>
      <w:pPr>
        <w:spacing w:after="0" w:line="2"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5940"/>
        <w:spacing w:after="0"/>
        <w:rPr>
          <w:sz w:val="20"/>
          <w:szCs w:val="20"/>
          <w:color w:val="auto"/>
        </w:rPr>
      </w:pPr>
      <w:r>
        <w:rPr>
          <w:rFonts w:ascii="Arial" w:cs="Arial" w:eastAsia="Arial" w:hAnsi="Arial"/>
          <w:sz w:val="17"/>
          <w:szCs w:val="17"/>
          <w:color w:val="auto"/>
        </w:rPr>
        <w:t>on the third trading day prior to the date on which we send the notice of</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redemption to the warrant holders.</w:t>
      </w:r>
    </w:p>
    <w:p>
      <w:pPr>
        <w:spacing w:after="0" w:line="211" w:lineRule="exact"/>
        <w:rPr>
          <w:sz w:val="20"/>
          <w:szCs w:val="20"/>
          <w:color w:val="auto"/>
        </w:rPr>
      </w:pPr>
    </w:p>
    <w:p>
      <w:pPr>
        <w:ind w:left="5600"/>
        <w:spacing w:after="0" w:line="289" w:lineRule="auto"/>
        <w:rPr>
          <w:sz w:val="20"/>
          <w:szCs w:val="20"/>
          <w:color w:val="auto"/>
        </w:rPr>
      </w:pPr>
      <w:r>
        <w:rPr>
          <w:rFonts w:ascii="Arial" w:cs="Arial" w:eastAsia="Arial" w:hAnsi="Arial"/>
          <w:sz w:val="16"/>
          <w:szCs w:val="16"/>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If we call the warrants for redemption as described above, our management</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will have the option to require all holders that wish to exercise warrants to do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so on a “cashless basis.” In determining whether to require all holders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exercise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400" w:type="dxa"/>
            <w:vAlign w:val="bottom"/>
            <w:tcBorders>
              <w:top w:val="single" w:sz="8" w:color="auto"/>
              <w:left w:val="single" w:sz="8" w:color="auto"/>
            </w:tcBorders>
          </w:tcPr>
          <w:p>
            <w:pPr>
              <w:spacing w:after="0"/>
              <w:rPr>
                <w:sz w:val="24"/>
                <w:szCs w:val="24"/>
                <w:color w:val="auto"/>
              </w:rPr>
            </w:pPr>
          </w:p>
        </w:tc>
        <w:tc>
          <w:tcPr>
            <w:tcW w:w="802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6"/>
              </w:rPr>
              <w:t>their warrants on a “cashless basis,” our management will consider, among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other factors, our cash position, the number of warrants that are outstanding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and the dilutive effect on our shareholders of issuing the maximum number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Class A ordinary shares issuable upon the exercise of our warrants. In such</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event, each holder would pay the exercise price by surrendering the warrants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for that number of Class A ordinary shares equal to the quotient obtained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dividing (x) the product of the number of Class A ordinary shares underlying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the warrants, multiplied by the excess of the “fair market value” (defined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below) over the exercise price of the warrants by (y) the fair market value.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“fair market value” shall mean the average last reported sale price of the Class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A ordinary shares for the 10 trading days ending on the third trading day prior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1"/>
              </w:rPr>
              <w:t>to the date on which the notice of redemption is sent to the holders of warrants.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Please see the section entitled “Description of Securities—Warrants—Public</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Shareholders’ Redeemable Warrants” for additional information.</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None of the private placement warrants will be redeemable by us so long as</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they are held by our sponsor or its permitted transferees.</w:t>
            </w:r>
          </w:p>
        </w:tc>
      </w:tr>
      <w:tr>
        <w:trPr>
          <w:trHeight w:val="418"/>
        </w:trPr>
        <w:tc>
          <w:tcPr>
            <w:tcW w:w="34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Founder shares</w:t>
            </w: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In June 2019, our sponsor subscribed for an aggregate of 7,187,500 founder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shares, par value $0.0001 per share, for an aggregate purchase price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$25,000, or $0.004 per share (after giving effect to a forfeiture of one share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1"/>
              </w:rPr>
              <w:t>our sponsor for no value, a subsequent share capitalization and the forfeiture of</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937,500 shares assuming the over-allotment option is not exercised).</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Prior to the initial investment in the company of $25,000 by our sponsor,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6"/>
              </w:rPr>
              <w:t>company had no assets, tangible or intangible. The purchase price of these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founder shares was determined by dividing the amount of cash contributed to</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us by the number of founder shares issued. Our initial shareholders will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collectively own 20% of our issued and outstanding shares after this offering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6"/>
              </w:rPr>
              <w:t>(assuming they do not purchase any units in this offering). If we increase 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decrease the size of this offering, we will effect a capitalization or share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repurchase or redemption or other appropriate mechanism, as applicable, with</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respect to our founder shares immediately prior to the consummation of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offering in such amount as to maintain the number of founder shares at 20%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our issued and outstanding ordinary shares upon the consummation of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offering. Up to 937,500 founder shares are subject to forfeiture by our sponsor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depending on the extent to which the underwriters’ over-allotment option is</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exercised.</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The founder shares are identical to the Class A ordinary shares included in the</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units being sold in this offering, except that:</w:t>
            </w:r>
          </w:p>
        </w:tc>
      </w:tr>
      <w:tr>
        <w:trPr>
          <w:trHeight w:val="307"/>
        </w:trPr>
        <w:tc>
          <w:tcPr>
            <w:tcW w:w="3400" w:type="dxa"/>
            <w:vAlign w:val="bottom"/>
            <w:tcBorders>
              <w:left w:val="single" w:sz="8" w:color="auto"/>
              <w:bottom w:val="single" w:sz="8" w:color="auto"/>
            </w:tcBorders>
          </w:tcPr>
          <w:p>
            <w:pPr>
              <w:spacing w:after="0"/>
              <w:rPr>
                <w:sz w:val="24"/>
                <w:szCs w:val="24"/>
                <w:color w:val="auto"/>
              </w:rPr>
            </w:pPr>
          </w:p>
        </w:tc>
        <w:tc>
          <w:tcPr>
            <w:tcW w:w="8020" w:type="dxa"/>
            <w:vAlign w:val="bottom"/>
            <w:tcBorders>
              <w:bottom w:val="single" w:sz="8" w:color="auto"/>
              <w:right w:val="single" w:sz="8" w:color="auto"/>
            </w:tcBorders>
          </w:tcPr>
          <w:p>
            <w:pPr>
              <w:spacing w:after="0"/>
              <w:rPr>
                <w:sz w:val="24"/>
                <w:szCs w:val="24"/>
                <w:color w:val="auto"/>
              </w:rPr>
            </w:pPr>
          </w:p>
        </w:tc>
      </w:tr>
      <w:tr>
        <w:trPr>
          <w:trHeight w:val="571"/>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25"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5775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7759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920" w:right="120" w:hanging="325"/>
        <w:spacing w:after="0" w:line="259" w:lineRule="auto"/>
        <w:tabs>
          <w:tab w:leader="none" w:pos="59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initial business combination, only holders of the founder shares have the right to vote on the election of directors and holders of a majority of our founder shares may remove a member of the board of directors for any reason;</w:t>
      </w:r>
    </w:p>
    <w:p>
      <w:pPr>
        <w:spacing w:after="0" w:line="186" w:lineRule="exact"/>
        <w:rPr>
          <w:rFonts w:ascii="Arial" w:cs="Arial" w:eastAsia="Arial" w:hAnsi="Arial"/>
          <w:sz w:val="18"/>
          <w:szCs w:val="18"/>
          <w:color w:val="auto"/>
        </w:rPr>
      </w:pPr>
    </w:p>
    <w:p>
      <w:pPr>
        <w:ind w:left="5920" w:right="60" w:hanging="325"/>
        <w:spacing w:after="0" w:line="277" w:lineRule="auto"/>
        <w:tabs>
          <w:tab w:leader="none" w:pos="59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70" w:lineRule="exact"/>
        <w:rPr>
          <w:rFonts w:ascii="Arial" w:cs="Arial" w:eastAsia="Arial" w:hAnsi="Arial"/>
          <w:sz w:val="18"/>
          <w:szCs w:val="18"/>
          <w:color w:val="auto"/>
        </w:rPr>
      </w:pPr>
    </w:p>
    <w:p>
      <w:pPr>
        <w:ind w:left="5920" w:hanging="325"/>
        <w:spacing w:after="0" w:line="283" w:lineRule="auto"/>
        <w:tabs>
          <w:tab w:leader="none" w:pos="59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initial shareholders have entered into a letter agreement with us, pursuant to which they have agreed to waive: (1)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(2)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have agreed, pursuant to such letter agreement, to vote their founder shares and any public shares they hold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5" w:right="4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24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public shares acquired by them, if any;</w:t>
      </w:r>
    </w:p>
    <w:p>
      <w:pPr>
        <w:sectPr>
          <w:pgSz w:w="11900" w:h="16838" w:orient="portrait"/>
          <w:cols w:equalWidth="0" w:num="1">
            <w:col w:w="11300"/>
          </w:cols>
          <w:pgMar w:left="240" w:top="225" w:right="359" w:bottom="1440" w:gutter="0" w:footer="0" w:header="0"/>
        </w:sectPr>
      </w:pP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hanging="8"/>
        <w:spacing w:after="0" w:line="276" w:lineRule="auto"/>
        <w:rPr>
          <w:sz w:val="20"/>
          <w:szCs w:val="20"/>
          <w:color w:val="auto"/>
        </w:rPr>
      </w:pPr>
      <w:r>
        <w:rPr>
          <w:rFonts w:ascii="Arial" w:cs="Arial" w:eastAsia="Arial" w:hAnsi="Arial"/>
          <w:sz w:val="17"/>
          <w:szCs w:val="17"/>
          <w:color w:val="auto"/>
        </w:rPr>
        <w:t>the founder shares will automatically convert into our Class A ordinary shares on the first business day following the completion of our initial business combination on a one-for-one basis subject to adjustment pursuant to certain anti-dilution rights, as described below adjacent to the caption “Founder shares conversion and anti-dilution rights”; and</w:t>
      </w:r>
    </w:p>
    <w:p>
      <w:pPr>
        <w:spacing w:after="0" w:line="173" w:lineRule="exact"/>
        <w:rPr>
          <w:sz w:val="20"/>
          <w:szCs w:val="20"/>
          <w:color w:val="auto"/>
        </w:rPr>
      </w:pPr>
    </w:p>
    <w:p>
      <w:pPr>
        <w:sectPr>
          <w:pgSz w:w="11900" w:h="16838" w:orient="portrait"/>
          <w:cols w:equalWidth="0" w:num="2">
            <w:col w:w="5660" w:space="280"/>
            <w:col w:w="5360"/>
          </w:cols>
          <w:pgMar w:left="240" w:top="225" w:right="35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222" w:lineRule="exact"/>
        <w:rPr>
          <w:sz w:val="20"/>
          <w:szCs w:val="20"/>
          <w:color w:val="auto"/>
        </w:rPr>
      </w:pPr>
    </w:p>
    <w:p>
      <w:pPr>
        <w:sectPr>
          <w:pgSz w:w="11900" w:h="16838" w:orient="portrait"/>
          <w:cols w:equalWidth="0" w:num="2">
            <w:col w:w="5660" w:space="260"/>
            <w:col w:w="5380"/>
          </w:cols>
          <w:pgMar w:left="240" w:top="225" w:right="35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shareholders have agreed not to transfer, assign or sell any of their founder shares until the earlier to occur of: (A) one year after the completion of our initial business combination; or (B) the date on which we complete a liquidation, merger, amalgamation, share exchange, reorganization or other similar transaction after our initial business combination that results in all of our public shareholders having the right to exchange their ordinary shares for cash, securities or other property (except as described herein under “Principal Shareholders—Transfers of Founder Shares and Private Placement Warrants”). Any permitted transferees would be subject to the same restrictions and other agreements of our initial shareholders with respect to any founder shares. We refer to such transfer restrictions throughout this prospectus as the lock-up.</w:t>
      </w:r>
    </w:p>
    <w:p>
      <w:pPr>
        <w:spacing w:after="0" w:line="173" w:lineRule="exact"/>
        <w:rPr>
          <w:sz w:val="20"/>
          <w:szCs w:val="20"/>
          <w:color w:val="auto"/>
        </w:rPr>
      </w:pPr>
    </w:p>
    <w:p>
      <w:pPr>
        <w:sectPr>
          <w:pgSz w:w="11900" w:h="16838" w:orient="portrait"/>
          <w:cols w:equalWidth="0" w:num="2">
            <w:col w:w="4880" w:space="720"/>
            <w:col w:w="5700"/>
          </w:cols>
          <w:pgMar w:left="240" w:top="225" w:right="359" w:bottom="1440" w:gutter="0" w:footer="0" w:header="0"/>
          <w:type w:val="continuous"/>
        </w:sectPr>
      </w:pPr>
    </w:p>
    <w:p>
      <w:pPr>
        <w:ind w:left="5600"/>
        <w:spacing w:after="0" w:line="273" w:lineRule="auto"/>
        <w:rPr>
          <w:sz w:val="20"/>
          <w:szCs w:val="20"/>
          <w:color w:val="auto"/>
        </w:rPr>
      </w:pPr>
      <w:r>
        <w:rPr>
          <w:rFonts w:ascii="Arial" w:cs="Arial" w:eastAsia="Arial" w:hAnsi="Arial"/>
          <w:sz w:val="17"/>
          <w:szCs w:val="17"/>
          <w:color w:val="auto"/>
        </w:rPr>
        <w:t>Notwithstanding the foregoing, if the last reported sale price of our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w:t>
      </w:r>
    </w:p>
    <w:p>
      <w:pPr>
        <w:sectPr>
          <w:pgSz w:w="11900" w:h="16838" w:orient="portrait"/>
          <w:cols w:equalWidth="0" w:num="1">
            <w:col w:w="11300"/>
          </w:cols>
          <w:pgMar w:left="240" w:top="225" w:right="359" w:bottom="1440" w:gutter="0" w:footer="0" w:header="0"/>
          <w:type w:val="continuous"/>
        </w:sectPr>
      </w:pP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on the first business day</w:t>
      </w:r>
    </w:p>
    <w:p>
      <w:pPr>
        <w:spacing w:after="0" w:line="1" w:lineRule="exact"/>
        <w:rPr>
          <w:sz w:val="20"/>
          <w:szCs w:val="20"/>
          <w:color w:val="auto"/>
        </w:rPr>
      </w:pPr>
    </w:p>
    <w:p>
      <w:pPr>
        <w:sectPr>
          <w:pgSz w:w="11900" w:h="16838" w:orient="portrait"/>
          <w:cols w:equalWidth="0" w:num="2">
            <w:col w:w="4880" w:space="720"/>
            <w:col w:w="5700"/>
          </w:cols>
          <w:pgMar w:left="240" w:top="225" w:right="359" w:bottom="1440" w:gutter="0" w:footer="0" w:header="0"/>
          <w:type w:val="continuous"/>
        </w:sectPr>
      </w:pPr>
    </w:p>
    <w:p>
      <w:pPr>
        <w:ind w:left="5600" w:right="20"/>
        <w:spacing w:after="0" w:line="285" w:lineRule="auto"/>
        <w:rPr>
          <w:sz w:val="20"/>
          <w:szCs w:val="20"/>
          <w:color w:val="auto"/>
        </w:rPr>
      </w:pPr>
      <w:r>
        <w:rPr>
          <w:rFonts w:ascii="Arial" w:cs="Arial" w:eastAsia="Arial" w:hAnsi="Arial"/>
          <w:sz w:val="16"/>
          <w:szCs w:val="16"/>
          <w:color w:val="auto"/>
        </w:rPr>
        <w:t>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410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linked securities issued or deemed issued in connection with our initial</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business combination (net of redemptions), excluding any Class A ordinary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shares or equity-linked securities issued, or to be issued, to any seller in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initial business combination and any private placement warrants issued to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sponsor, an affiliate of our sponsor or any of our officers or directors. Any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conversion of Class B ordinary shares described herein will take effect as a</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redemption of Class B ordinary shares and an issuance of Class A ordinary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shares as a matter of Cayman Islands law. The term “equity-linked securities”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refers to any debt or equity securities that are convertible, exercisable or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exchangeable for our Class A ordinary shares issued in a financing transaction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in connection with our initial business combination, including but not limited</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to a private placement of equity or debt.</w:t>
            </w:r>
          </w:p>
        </w:tc>
      </w:tr>
      <w:tr>
        <w:trPr>
          <w:trHeight w:val="418"/>
        </w:trPr>
        <w:tc>
          <w:tcPr>
            <w:tcW w:w="41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Election of directors; voting rights</w:t>
            </w: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Prior to our initial business combination, only holders of our founder shares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will have the right to vote on the election of directors. Holders of our public</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shares will not be entitled to vote on the election of directors during such time.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In addition, prior to our initial business combination, holders of a majority of</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our founder shares may remove a member of the board of directors for any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reason. These provisions of our amended and restated memorandum and</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articles of association may only be amended by a special resolution passed by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1"/>
              </w:rPr>
              <w:t>at least 90% of our ordinary shares voting in a general meeting. With respect to</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any other matter submitted to a vote of our shareholders, including any vote in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connection with our initial business combination, except as required by law,</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holders of our founder shares and holders of our public shares will vote</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together as a single class, with each share entitling the holder to one vote.</w:t>
            </w:r>
          </w:p>
        </w:tc>
      </w:tr>
      <w:tr>
        <w:trPr>
          <w:trHeight w:val="418"/>
        </w:trPr>
        <w:tc>
          <w:tcPr>
            <w:tcW w:w="41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Private placement warrants</w:t>
            </w: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Our sponsor has committed, pursuant to a written agreement, to purchase an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aggregate of 7,000,000 private placement warrants (or 7,750,000 if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underwriters’ over-allotment option is exercised in full) at a price of $1.00 per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warrant ($7,000,000 in the aggregate or $7,750,000 in the aggregate if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underwriters’ over-allotment option is exercised in full) in a private placement</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that will occur simultaneously with the closing of this offering. Each private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placement warrant is exercisable to purchase one Class A ordinary share at a</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price of $11.50 per share, subject to adjustment as provided herein. Private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placement warrants may be exercised only for a whole number of shares.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1"/>
              </w:rPr>
              <w:t>purchase price of the private placement warrants will be added to the proceeds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from this offering to be held in the trust account. If we do not complete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initial business combination within 24 months from the closing of this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offering, the proceeds of the sale of the private placement warrants held in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trust account will be used to fund the redemption of our public shares (subject</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to the requirements of applicable law) and the private placement warrants will</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expire worthless. The private placement warrants will not be redeemable by us</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so long as they are held by our sponsor or</w:t>
            </w:r>
          </w:p>
        </w:tc>
      </w:tr>
      <w:tr>
        <w:trPr>
          <w:trHeight w:val="307"/>
        </w:trPr>
        <w:tc>
          <w:tcPr>
            <w:tcW w:w="4100" w:type="dxa"/>
            <w:vAlign w:val="bottom"/>
            <w:tcBorders>
              <w:left w:val="single" w:sz="8" w:color="auto"/>
              <w:bottom w:val="single" w:sz="8" w:color="auto"/>
            </w:tcBorders>
          </w:tcPr>
          <w:p>
            <w:pPr>
              <w:spacing w:after="0"/>
              <w:rPr>
                <w:sz w:val="24"/>
                <w:szCs w:val="24"/>
                <w:color w:val="auto"/>
              </w:rPr>
            </w:pPr>
          </w:p>
        </w:tc>
        <w:tc>
          <w:tcPr>
            <w:tcW w:w="7320" w:type="dxa"/>
            <w:vAlign w:val="bottom"/>
            <w:tcBorders>
              <w:bottom w:val="single" w:sz="8" w:color="auto"/>
              <w:right w:val="single" w:sz="8" w:color="auto"/>
            </w:tcBorders>
          </w:tcPr>
          <w:p>
            <w:pPr>
              <w:spacing w:after="0"/>
              <w:rPr>
                <w:sz w:val="24"/>
                <w:szCs w:val="24"/>
                <w:color w:val="auto"/>
              </w:rPr>
            </w:pPr>
          </w:p>
        </w:tc>
      </w:tr>
      <w:tr>
        <w:trPr>
          <w:trHeight w:val="328"/>
        </w:trPr>
        <w:tc>
          <w:tcPr>
            <w:tcW w:w="41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25"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4680" w:type="dxa"/>
            <w:vAlign w:val="bottom"/>
            <w:tcBorders>
              <w:top w:val="single" w:sz="8" w:color="auto"/>
              <w:left w:val="single" w:sz="8" w:color="auto"/>
            </w:tcBorders>
          </w:tcPr>
          <w:p>
            <w:pPr>
              <w:spacing w:after="0"/>
              <w:rPr>
                <w:sz w:val="24"/>
                <w:szCs w:val="24"/>
                <w:color w:val="auto"/>
              </w:rPr>
            </w:pPr>
          </w:p>
        </w:tc>
        <w:tc>
          <w:tcPr>
            <w:tcW w:w="6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2"/>
              </w:rPr>
              <w:t>its permitted transferees. If the private placement warrants are held by holders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other than our sponsor or its permitted transferees, the private placement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warrants will be redeemable by us and exercisable by the holders on the same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basis as the warrants included in the units being sold in this offering. Our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sponsor, as well as its permitted transferees, have the option to exercise the</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private placement warrants on a cashless basis.</w:t>
            </w:r>
          </w:p>
        </w:tc>
      </w:tr>
      <w:tr>
        <w:trPr>
          <w:trHeight w:val="418"/>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Transfer restrictions on private placement warrants</w:t>
            </w: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1"/>
              </w:rPr>
              <w:t>The private placement warrants (including the Class A ordinary shares issuable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upon exercise of the private placement warrants) will not be transferable,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assignable or salable until 30 days after the completion of our initial business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combination, except as described herein under “Principal Shareholders—</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Transfers of Founder Shares and Private Placement Warrants.”</w:t>
            </w:r>
          </w:p>
        </w:tc>
      </w:tr>
      <w:tr>
        <w:trPr>
          <w:trHeight w:val="418"/>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Proceeds to be held in trust account</w:t>
            </w: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Nasdaq rules provide that at least 90% of the gross proceeds from this offering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the sale of the private placement warrants be deposited in a trust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account. Of the $257,000,000 in proceeds we will receive from this offering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and the sale of the private placement warrants described in this prospectus, or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$295,250,000 if the underwriters’ over-allotment option is exercised in full,</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$250,000,000 ($10.00 per unit), or $287,500,000 ($10.00 per unit) if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underwriters’ over-allotment option is exercised in full, (including $8,750,000</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(or up to $10,062,500 if the underwriters’ over-allotment option is exercised in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full) in deferred underwriting commissions), will be deposited into a U.S.-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based trust account with Continental Stock Transfer &amp; Trust Company acting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as trustee, and $2,000,000 will be used to pay expenses in connection with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closing of this offering and for working capital following this offering.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funds in the trust account will be invested only in U.S. government treasury</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bills with a maturity of 180 days or less or in money market funds investing</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solely in U.S. Treasuries.</w:t>
            </w:r>
          </w:p>
        </w:tc>
      </w:tr>
      <w:tr>
        <w:trPr>
          <w:trHeight w:val="418"/>
        </w:trPr>
        <w:tc>
          <w:tcPr>
            <w:tcW w:w="468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Except with respect to interest earned on the funds held in the trust account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may be released to us to pay our taxes, if any, the funds held in the trust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account will not be released from the trust account until the earliest to occur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of: (1) the completion of our initial business combination; (2) the redemption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of any public shares properly submitted in connection with a shareholder vote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to amend our amended and restated memorandum and articles of association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(A) to modify the substance or timing of our obligation to redeem 100% of our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public shares if we do not complete our initial business combination within 24</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months from the closing of this offering or (B) with respect to any other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provision relating to shareholders’ rights or pre-initial business combination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activity; and (3) the redemption of our public shares if we are unable to</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complete our initial business combination within 24 months from the closing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of this offering, subject to applicable law. The proceeds deposited in the trust</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account could become subject to the claims of</w:t>
            </w:r>
          </w:p>
        </w:tc>
      </w:tr>
      <w:tr>
        <w:trPr>
          <w:trHeight w:val="307"/>
        </w:trPr>
        <w:tc>
          <w:tcPr>
            <w:tcW w:w="4680" w:type="dxa"/>
            <w:vAlign w:val="bottom"/>
            <w:tcBorders>
              <w:left w:val="single" w:sz="8" w:color="auto"/>
              <w:bottom w:val="single" w:sz="8" w:color="auto"/>
            </w:tcBorders>
          </w:tcPr>
          <w:p>
            <w:pPr>
              <w:spacing w:after="0"/>
              <w:rPr>
                <w:sz w:val="24"/>
                <w:szCs w:val="24"/>
                <w:color w:val="auto"/>
              </w:rPr>
            </w:pPr>
          </w:p>
        </w:tc>
        <w:tc>
          <w:tcPr>
            <w:tcW w:w="6740" w:type="dxa"/>
            <w:vAlign w:val="bottom"/>
            <w:tcBorders>
              <w:bottom w:val="single" w:sz="8" w:color="auto"/>
              <w:right w:val="single" w:sz="8" w:color="auto"/>
            </w:tcBorders>
          </w:tcPr>
          <w:p>
            <w:pPr>
              <w:spacing w:after="0"/>
              <w:rPr>
                <w:sz w:val="24"/>
                <w:szCs w:val="24"/>
                <w:color w:val="auto"/>
              </w:rPr>
            </w:pPr>
          </w:p>
        </w:tc>
      </w:tr>
      <w:tr>
        <w:trPr>
          <w:trHeight w:val="328"/>
        </w:trPr>
        <w:tc>
          <w:tcPr>
            <w:tcW w:w="46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25"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24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our creditors, if any, which could have priority over the claims of our public</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shareholders.</w:t>
      </w:r>
    </w:p>
    <w:p>
      <w:pPr>
        <w:sectPr>
          <w:pgSz w:w="11900" w:h="16838" w:orient="portrait"/>
          <w:cols w:equalWidth="0" w:num="1">
            <w:col w:w="11320"/>
          </w:cols>
          <w:pgMar w:left="240" w:top="225"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Unless and until we complete our initial business combination, no 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$3,500,000 of interest annually (assuming an interest rate of 1.40% per year). Unless and until we complete our initial business combination, we may pay our expenses only from:</w:t>
      </w:r>
    </w:p>
    <w:p>
      <w:pPr>
        <w:spacing w:after="0" w:line="166"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20" w:hanging="8"/>
        <w:spacing w:after="0" w:line="302" w:lineRule="auto"/>
        <w:rPr>
          <w:sz w:val="20"/>
          <w:szCs w:val="20"/>
          <w:color w:val="auto"/>
        </w:rPr>
      </w:pPr>
      <w:r>
        <w:rPr>
          <w:rFonts w:ascii="Arial" w:cs="Arial" w:eastAsia="Arial" w:hAnsi="Arial"/>
          <w:sz w:val="16"/>
          <w:szCs w:val="16"/>
          <w:color w:val="auto"/>
        </w:rPr>
        <w:t>the net proceeds of this offering and the sale of the private placement warrants not held in the trust account, which will be approximately $1,000,000 in working capital after the payment of approximately $1,000,000 in expenses relating to this offering; and</w:t>
      </w:r>
    </w:p>
    <w:p>
      <w:pPr>
        <w:spacing w:after="0" w:line="154"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hanging="8"/>
        <w:spacing w:after="0" w:line="273" w:lineRule="auto"/>
        <w:rPr>
          <w:sz w:val="20"/>
          <w:szCs w:val="20"/>
          <w:color w:val="auto"/>
        </w:rPr>
      </w:pPr>
      <w:r>
        <w:rPr>
          <w:rFonts w:ascii="Arial" w:cs="Arial" w:eastAsia="Arial" w:hAnsi="Arial"/>
          <w:sz w:val="17"/>
          <w:szCs w:val="17"/>
          <w:color w:val="auto"/>
        </w:rPr>
        <w:t>any loans or additional investments from our sponsor, members of our management team or any of their affiliates or other third parties, although they are under no obligation to loan funds or invest in us; and provided that any such loans will not have any claim on the proceeds held in the trust account unless such proceeds are released to us upon completion of our initial business combination.</w:t>
      </w:r>
    </w:p>
    <w:p>
      <w:pPr>
        <w:spacing w:after="0" w:line="178"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There is no limitation on our ability to raise funds privately or through loans in connection with our initial business combination. The rules of Nasdaq require</w:t>
      </w:r>
    </w:p>
    <w:p>
      <w:pPr>
        <w:spacing w:after="0" w:line="1"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ind w:left="5600"/>
        <w:spacing w:after="0" w:line="284" w:lineRule="auto"/>
        <w:rPr>
          <w:sz w:val="20"/>
          <w:szCs w:val="20"/>
          <w:color w:val="auto"/>
        </w:rPr>
      </w:pPr>
      <w:r>
        <w:rPr>
          <w:rFonts w:ascii="Arial" w:cs="Arial" w:eastAsia="Arial" w:hAnsi="Arial"/>
          <w:sz w:val="16"/>
          <w:szCs w:val="16"/>
          <w:color w:val="auto"/>
        </w:rPr>
        <w:t>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23" w:name="page24"/>
    <w:bookmarkEnd w:id="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187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right="460"/>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provided that in the event that our initial business combination involves more than one target business, the 80% fair market value test will be based on the aggregate value of all of the target businesses.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w:t>
      </w:r>
    </w:p>
    <w:p>
      <w:pPr>
        <w:spacing w:after="0" w:line="20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24" w:name="page25"/>
    <w:bookmarkEnd w:id="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187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right="280"/>
        <w:spacing w:after="0" w:line="277"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affiliates will be restricted from making any purchases if such purchases would violate Section 9(a)(2) or Rule 10b-5 of the Exchange Act.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w:t>
      </w:r>
    </w:p>
    <w:p>
      <w:pPr>
        <w:spacing w:after="0" w:line="20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324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right="60"/>
        <w:spacing w:after="0" w:line="273" w:lineRule="auto"/>
        <w:rPr>
          <w:sz w:val="20"/>
          <w:szCs w:val="20"/>
          <w:color w:val="auto"/>
        </w:rPr>
      </w:pPr>
      <w:r>
        <w:rPr>
          <w:rFonts w:ascii="Arial" w:cs="Arial" w:eastAsia="Arial" w:hAnsi="Arial"/>
          <w:sz w:val="17"/>
          <w:szCs w:val="17"/>
          <w:color w:val="auto"/>
        </w:rPr>
        <w:t>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ectPr>
          <w:pgSz w:w="11900" w:h="16838" w:orient="portrait"/>
          <w:cols w:equalWidth="0" w:num="1">
            <w:col w:w="11320"/>
          </w:cols>
          <w:pgMar w:left="240" w:top="225" w:right="339" w:bottom="1440" w:gutter="0" w:footer="0" w:header="0"/>
        </w:sectPr>
      </w:pP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Manner of conducting redemptions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9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ind w:left="5600"/>
        <w:spacing w:after="0" w:line="264"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ectPr>
          <w:pgSz w:w="11900" w:h="16838" w:orient="portrait"/>
          <w:cols w:equalWidth="0" w:num="1">
            <w:col w:w="11320"/>
          </w:cols>
          <w:pgMar w:left="240" w:top="225" w:right="339" w:bottom="1440" w:gutter="0" w:footer="0" w:header="0"/>
          <w:type w:val="continuous"/>
        </w:sectPr>
      </w:pP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hanging="8"/>
        <w:spacing w:after="0" w:line="277" w:lineRule="auto"/>
        <w:rPr>
          <w:sz w:val="20"/>
          <w:szCs w:val="20"/>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60" w:hanging="8"/>
        <w:spacing w:after="0" w:line="276" w:lineRule="auto"/>
        <w:rPr>
          <w:sz w:val="20"/>
          <w:szCs w:val="20"/>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3" w:lineRule="exact"/>
        <w:rPr>
          <w:sz w:val="20"/>
          <w:szCs w:val="20"/>
          <w:color w:val="auto"/>
        </w:rPr>
      </w:pPr>
    </w:p>
    <w:p>
      <w:pPr>
        <w:sectPr>
          <w:pgSz w:w="11900" w:h="16838" w:orient="portrait"/>
          <w:cols w:equalWidth="0" w:num="2">
            <w:col w:w="5660" w:space="280"/>
            <w:col w:w="5380"/>
          </w:cols>
          <w:pgMar w:left="240" w:top="225" w:right="339" w:bottom="1440" w:gutter="0" w:footer="0" w:header="0"/>
          <w:type w:val="continuous"/>
        </w:sectPr>
      </w:pPr>
    </w:p>
    <w:p>
      <w:pPr>
        <w:ind w:left="5600"/>
        <w:spacing w:after="0"/>
        <w:rPr>
          <w:sz w:val="20"/>
          <w:szCs w:val="20"/>
          <w:color w:val="auto"/>
        </w:rPr>
      </w:pPr>
      <w:r>
        <w:rPr>
          <w:rFonts w:ascii="Arial" w:cs="Arial" w:eastAsia="Arial" w:hAnsi="Arial"/>
          <w:sz w:val="16"/>
          <w:szCs w:val="16"/>
          <w:color w:val="auto"/>
        </w:rPr>
        <w:t>Upon the public announcement of our initial business combination, if we elect</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to conduct redemptions pursuant to the tender offer rules, we and our sponsor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will terminate any</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659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5989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plan established in accordance with Rule 10b5-1 to purchase our Class A</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ordinary shares in the open market, in order to comply with Rule 14e-5 under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Exchange Act.</w:t>
      </w:r>
    </w:p>
    <w:p>
      <w:pPr>
        <w:spacing w:after="0" w:line="211" w:lineRule="exact"/>
        <w:rPr>
          <w:sz w:val="20"/>
          <w:szCs w:val="20"/>
          <w:color w:val="auto"/>
        </w:rPr>
      </w:pPr>
    </w:p>
    <w:p>
      <w:pPr>
        <w:ind w:left="5600"/>
        <w:spacing w:after="0" w:line="286"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38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If, however, shareholder approval of the transaction is required by applicable</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law or stock exchange listing requirement, or we decide to obtain shareholder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approval for business or other reasons, we will:</w:t>
      </w:r>
    </w:p>
    <w:p>
      <w:pPr>
        <w:spacing w:after="0" w:line="211" w:lineRule="exact"/>
        <w:rPr>
          <w:sz w:val="20"/>
          <w:szCs w:val="20"/>
          <w:color w:val="auto"/>
        </w:rPr>
      </w:pPr>
    </w:p>
    <w:p>
      <w:pPr>
        <w:ind w:left="5940" w:hanging="332"/>
        <w:spacing w:after="0" w:line="286" w:lineRule="auto"/>
        <w:tabs>
          <w:tab w:leader="none" w:pos="59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65" w:lineRule="exact"/>
        <w:rPr>
          <w:rFonts w:ascii="Arial" w:cs="Arial" w:eastAsia="Arial" w:hAnsi="Arial"/>
          <w:sz w:val="17"/>
          <w:szCs w:val="17"/>
          <w:color w:val="auto"/>
        </w:rPr>
      </w:pPr>
    </w:p>
    <w:p>
      <w:pPr>
        <w:ind w:left="5920" w:hanging="312"/>
        <w:spacing w:after="0"/>
        <w:tabs>
          <w:tab w:leader="none" w:pos="5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5600" w:right="20"/>
        <w:spacing w:after="0" w:line="253"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If we seek shareholder approval, we will complete our initial business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combination only if we receive an ordinary resolution under Cayman Islands</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law, which requires the affirmative vote of a majority of the shareholders who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attend and vote at a general meeting of the company. In such case, pursuant to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terms of a letter agreement entered into with</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324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us, our initial shareholders have agreed (and their permitted transferees will agree) to vote their founder shares and any public shares held by them in favor of our initial business combination. We expect that at the time of any shareholder vote relating to our initial business combination, our initial shareholders and their permitted transferees will own at least 20% of our issued and outstanding ordinary shares entitled to vote thereon. Our directors and officers also have agreed to vote in favor of our initial business combination with respect to public shares acquired by them, if any.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business combination.</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3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w:t>
      </w:r>
    </w:p>
    <w:p>
      <w:pPr>
        <w:spacing w:after="0" w:line="20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28" w:name="page29"/>
    <w:bookmarkEnd w:id="2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324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right="320"/>
        <w:spacing w:after="0" w:line="264"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right="340"/>
        <w:spacing w:after="0" w:line="264" w:lineRule="auto"/>
        <w:rPr>
          <w:sz w:val="20"/>
          <w:szCs w:val="20"/>
          <w:color w:val="auto"/>
        </w:rPr>
      </w:pPr>
      <w:r>
        <w:rPr>
          <w:rFonts w:ascii="Arial" w:cs="Arial" w:eastAsia="Arial" w:hAnsi="Arial"/>
          <w:sz w:val="18"/>
          <w:szCs w:val="18"/>
          <w:color w:val="auto"/>
        </w:rPr>
        <w:t>Redemption Rights in connection with proposed amendments to our amended and restated memorandum and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Some other blank check companies have a provision in their constitutional documents which prohibits the amendment of certain constitutional provisions. Our amended and restated memorandum and articles of association will provide that any of its provisions (other than amendments relating to the appointment or removal of directors prior to our initial business combination, which require the approval of at least 90% of our ordinary shares voting in a general meeting), including those related to pre-business combination activity (including the requirement to deposit proceeds of this</w:t>
      </w:r>
    </w:p>
    <w:p>
      <w:pPr>
        <w:spacing w:after="0" w:line="200" w:lineRule="exact"/>
        <w:rPr>
          <w:sz w:val="20"/>
          <w:szCs w:val="20"/>
          <w:color w:val="auto"/>
        </w:rPr>
      </w:pPr>
    </w:p>
    <w:p>
      <w:pPr>
        <w:sectPr>
          <w:pgSz w:w="11900" w:h="16838" w:orient="portrait"/>
          <w:cols w:equalWidth="0" w:num="2">
            <w:col w:w="4880" w:space="720"/>
            <w:col w:w="5700"/>
          </w:cols>
          <w:pgMar w:left="240" w:top="225" w:right="35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29" w:name="page30"/>
    <w:bookmarkEnd w:id="2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187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right="700"/>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offering and the private placement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Our initial shareholders, who will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pacing w:after="0" w:line="3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shareholders who properly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w:t>
      </w:r>
    </w:p>
    <w:p>
      <w:pPr>
        <w:spacing w:after="0" w:line="200" w:lineRule="exact"/>
        <w:rPr>
          <w:sz w:val="20"/>
          <w:szCs w:val="20"/>
          <w:color w:val="auto"/>
        </w:rPr>
      </w:pPr>
    </w:p>
    <w:p>
      <w:pPr>
        <w:sectPr>
          <w:pgSz w:w="11900" w:h="16838" w:orient="portrait"/>
          <w:cols w:equalWidth="0" w:num="2">
            <w:col w:w="4880" w:space="720"/>
            <w:col w:w="5720"/>
          </w:cols>
          <w:pgMar w:left="240" w:top="225" w:right="339" w:bottom="1440" w:gutter="0" w:footer="0" w:header="0"/>
          <w:type w:val="continuous"/>
        </w:sectPr>
      </w:pP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30" w:name="page31"/>
    <w:bookmarkEnd w:id="3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646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646176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 The underwriters have agreed to waive their rights to their deferred underwriting commission held in the trust account in the event we do not complete our initial business combination within the allotted time frame and, in such event, such amounts will be included with the funds held in the trust account that will be available to fund the redemption of our public shares.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memorandum and articles of association (A) to modify the substance or timing</w:t>
      </w:r>
    </w:p>
    <w:p>
      <w:pPr>
        <w:spacing w:after="0" w:line="200" w:lineRule="exact"/>
        <w:rPr>
          <w:sz w:val="20"/>
          <w:szCs w:val="20"/>
          <w:color w:val="auto"/>
        </w:rPr>
      </w:pPr>
    </w:p>
    <w:p>
      <w:pPr>
        <w:sectPr>
          <w:pgSz w:w="11900" w:h="16838" w:orient="portrait"/>
          <w:cols w:equalWidth="0" w:num="2">
            <w:col w:w="4880" w:space="720"/>
            <w:col w:w="5680"/>
          </w:cols>
          <w:pgMar w:left="240" w:top="225" w:right="379" w:bottom="1440" w:gutter="0" w:footer="0" w:header="0"/>
          <w:type w:val="continuous"/>
        </w:sect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9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gridSpan w:val="2"/>
          </w:tcPr>
          <w:p>
            <w:pPr>
              <w:ind w:left="1700"/>
              <w:spacing w:after="0"/>
              <w:rPr>
                <w:sz w:val="20"/>
                <w:szCs w:val="20"/>
                <w:color w:val="auto"/>
              </w:rPr>
            </w:pPr>
            <w:r>
              <w:rPr>
                <w:rFonts w:ascii="Arial" w:cs="Arial" w:eastAsia="Arial" w:hAnsi="Arial"/>
                <w:sz w:val="18"/>
                <w:szCs w:val="18"/>
                <w:color w:val="auto"/>
                <w:w w:val="95"/>
              </w:rPr>
              <w:t>of our obligation to redeem 100% of our public shares if we do not complete</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our initial business combination within 24 months from the closing of this</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8"/>
              </w:rPr>
              <w:t>offering or (B) with respect to any other provision relating to shareholders’</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3"/>
              </w:rPr>
              <w:t>rights or pre-initial business combination activity, unless we provide our public</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3"/>
              </w:rPr>
              <w:t>shareholders with the opportunity to redeem their public shares upon approval</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7"/>
              </w:rPr>
              <w:t>of any such amendment at a per-share price, payable in cash, equal to the</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aggregate amount then on deposit in the trust account, including interest</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5"/>
              </w:rPr>
              <w:t>(which interest shall be net of taxes payable), divided by the number of then</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1"/>
              </w:rPr>
              <w:t>issued and outstanding public shares. However, we may not redeem our public</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1"/>
              </w:rPr>
              <w:t>shares in an amount that would cause our net tangible assets, after payment of</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the deferred underwriting commissions, to be less than $5,000,001 upon</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3"/>
              </w:rPr>
              <w:t>completion of our initial business combination (so that we do not then become</w:t>
            </w:r>
          </w:p>
        </w:tc>
      </w:tr>
      <w:tr>
        <w:trPr>
          <w:trHeight w:val="230"/>
        </w:trPr>
        <w:tc>
          <w:tcPr>
            <w:tcW w:w="39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subject to the SEC’s “penny stock” rules).</w:t>
            </w:r>
          </w:p>
        </w:tc>
      </w:tr>
      <w:tr>
        <w:trPr>
          <w:trHeight w:val="418"/>
        </w:trPr>
        <w:tc>
          <w:tcPr>
            <w:tcW w:w="39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Limited payments to insiders</w:t>
            </w: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1"/>
              </w:rPr>
              <w:t>There will be no finder’s fees, reimbursements or cash payments made by us to</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5"/>
              </w:rPr>
              <w:t>our sponsor, officers or directors, or our or any of their affiliates, for services</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rendered to us prior to or in connection with the completion of our initial</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5"/>
              </w:rPr>
              <w:t>business combination, other than the following payments, none of which will</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be made from the proceeds of this offering and the sale of the private</w:t>
            </w:r>
          </w:p>
        </w:tc>
      </w:tr>
      <w:tr>
        <w:trPr>
          <w:trHeight w:val="216"/>
        </w:trPr>
        <w:tc>
          <w:tcPr>
            <w:tcW w:w="39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w w:val="98"/>
              </w:rPr>
              <w:t>placement warrants held in the trust account prior to the completion of our</w:t>
            </w:r>
          </w:p>
        </w:tc>
      </w:tr>
      <w:tr>
        <w:trPr>
          <w:trHeight w:val="230"/>
        </w:trPr>
        <w:tc>
          <w:tcPr>
            <w:tcW w:w="39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2"/>
          </w:tcPr>
          <w:p>
            <w:pPr>
              <w:ind w:left="1700"/>
              <w:spacing w:after="0"/>
              <w:rPr>
                <w:sz w:val="20"/>
                <w:szCs w:val="20"/>
                <w:color w:val="auto"/>
              </w:rPr>
            </w:pPr>
            <w:r>
              <w:rPr>
                <w:rFonts w:ascii="Arial" w:cs="Arial" w:eastAsia="Arial" w:hAnsi="Arial"/>
                <w:sz w:val="18"/>
                <w:szCs w:val="18"/>
                <w:color w:val="auto"/>
              </w:rPr>
              <w:t>initial business combination:</w:t>
            </w:r>
          </w:p>
        </w:tc>
      </w:tr>
      <w:tr>
        <w:trPr>
          <w:trHeight w:val="418"/>
        </w:trPr>
        <w:tc>
          <w:tcPr>
            <w:tcW w:w="3900" w:type="dxa"/>
            <w:vAlign w:val="bottom"/>
            <w:tcBorders>
              <w:left w:val="single" w:sz="8" w:color="auto"/>
            </w:tcBorders>
          </w:tcPr>
          <w:p>
            <w:pPr>
              <w:spacing w:after="0"/>
              <w:rPr>
                <w:sz w:val="24"/>
                <w:szCs w:val="24"/>
                <w:color w:val="auto"/>
              </w:rPr>
            </w:pPr>
          </w:p>
        </w:tc>
        <w:tc>
          <w:tcPr>
            <w:tcW w:w="1960" w:type="dxa"/>
            <w:vAlign w:val="bottom"/>
          </w:tcPr>
          <w:p>
            <w:pPr>
              <w:ind w:left="1700"/>
              <w:spacing w:after="0"/>
              <w:rPr>
                <w:sz w:val="20"/>
                <w:szCs w:val="20"/>
                <w:color w:val="auto"/>
              </w:rPr>
            </w:pPr>
            <w:r>
              <w:rPr>
                <w:rFonts w:ascii="Arial" w:cs="Arial" w:eastAsia="Arial" w:hAnsi="Arial"/>
                <w:sz w:val="18"/>
                <w:szCs w:val="18"/>
                <w:color w:val="auto"/>
              </w:rPr>
              <w:t>·</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repayment of an aggregate of up to $250,000 in loans that may be made to</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us by our sponsor to cover offering-related and organizational expenses</w:t>
            </w:r>
          </w:p>
        </w:tc>
      </w:tr>
      <w:tr>
        <w:trPr>
          <w:trHeight w:val="230"/>
        </w:trPr>
        <w:tc>
          <w:tcPr>
            <w:tcW w:w="390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 of June 11, 2019, we had borrowed $12,500 from our sponsor);</w:t>
            </w:r>
          </w:p>
        </w:tc>
      </w:tr>
      <w:tr>
        <w:trPr>
          <w:trHeight w:val="418"/>
        </w:trPr>
        <w:tc>
          <w:tcPr>
            <w:tcW w:w="3900" w:type="dxa"/>
            <w:vAlign w:val="bottom"/>
            <w:tcBorders>
              <w:left w:val="single" w:sz="8" w:color="auto"/>
            </w:tcBorders>
          </w:tcPr>
          <w:p>
            <w:pPr>
              <w:spacing w:after="0"/>
              <w:rPr>
                <w:sz w:val="24"/>
                <w:szCs w:val="24"/>
                <w:color w:val="auto"/>
              </w:rPr>
            </w:pPr>
          </w:p>
        </w:tc>
        <w:tc>
          <w:tcPr>
            <w:tcW w:w="1960" w:type="dxa"/>
            <w:vAlign w:val="bottom"/>
          </w:tcPr>
          <w:p>
            <w:pPr>
              <w:ind w:left="1700"/>
              <w:spacing w:after="0"/>
              <w:rPr>
                <w:sz w:val="20"/>
                <w:szCs w:val="20"/>
                <w:color w:val="auto"/>
              </w:rPr>
            </w:pPr>
            <w:r>
              <w:rPr>
                <w:rFonts w:ascii="Arial" w:cs="Arial" w:eastAsia="Arial" w:hAnsi="Arial"/>
                <w:sz w:val="18"/>
                <w:szCs w:val="18"/>
                <w:color w:val="auto"/>
              </w:rPr>
              <w:t>·</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reimbursement for any out-of-pocket expenses related to identifying,</w:t>
            </w:r>
          </w:p>
        </w:tc>
      </w:tr>
      <w:tr>
        <w:trPr>
          <w:trHeight w:val="230"/>
        </w:trPr>
        <w:tc>
          <w:tcPr>
            <w:tcW w:w="390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investigating and completing an initial business combination; and</w:t>
            </w:r>
          </w:p>
        </w:tc>
      </w:tr>
      <w:tr>
        <w:trPr>
          <w:trHeight w:val="418"/>
        </w:trPr>
        <w:tc>
          <w:tcPr>
            <w:tcW w:w="3900" w:type="dxa"/>
            <w:vAlign w:val="bottom"/>
            <w:tcBorders>
              <w:left w:val="single" w:sz="8" w:color="auto"/>
            </w:tcBorders>
          </w:tcPr>
          <w:p>
            <w:pPr>
              <w:spacing w:after="0"/>
              <w:rPr>
                <w:sz w:val="24"/>
                <w:szCs w:val="24"/>
                <w:color w:val="auto"/>
              </w:rPr>
            </w:pPr>
          </w:p>
        </w:tc>
        <w:tc>
          <w:tcPr>
            <w:tcW w:w="1960" w:type="dxa"/>
            <w:vAlign w:val="bottom"/>
          </w:tcPr>
          <w:p>
            <w:pPr>
              <w:ind w:left="1700"/>
              <w:spacing w:after="0"/>
              <w:rPr>
                <w:sz w:val="20"/>
                <w:szCs w:val="20"/>
                <w:color w:val="auto"/>
              </w:rPr>
            </w:pPr>
            <w:r>
              <w:rPr>
                <w:rFonts w:ascii="Arial" w:cs="Arial" w:eastAsia="Arial" w:hAnsi="Arial"/>
                <w:sz w:val="18"/>
                <w:szCs w:val="18"/>
                <w:color w:val="auto"/>
              </w:rPr>
              <w:t>·</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repayment of loans which may be made by our sponsor or an affiliate of</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our sponsor or certain of our officers and directors to finance transaction</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costs in connection with an intended initial business combination, the</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terms of which have not been determined nor have any written agreements</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been executed with respect thereto. Up to $1,500,000 of such loans may</w:t>
            </w:r>
          </w:p>
        </w:tc>
      </w:tr>
      <w:tr>
        <w:trPr>
          <w:trHeight w:val="216"/>
        </w:trPr>
        <w:tc>
          <w:tcPr>
            <w:tcW w:w="39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be convertible into warrants at a price of $1.00 per warrant at the option of</w:t>
            </w:r>
          </w:p>
        </w:tc>
      </w:tr>
      <w:tr>
        <w:trPr>
          <w:trHeight w:val="230"/>
        </w:trPr>
        <w:tc>
          <w:tcPr>
            <w:tcW w:w="390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lender.</w:t>
            </w:r>
          </w:p>
        </w:tc>
      </w:tr>
      <w:tr>
        <w:trPr>
          <w:trHeight w:val="523"/>
        </w:trPr>
        <w:tc>
          <w:tcPr>
            <w:tcW w:w="3900" w:type="dxa"/>
            <w:vAlign w:val="bottom"/>
            <w:tcBorders>
              <w:left w:val="single" w:sz="8" w:color="auto"/>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328"/>
        </w:trPr>
        <w:tc>
          <w:tcPr>
            <w:tcW w:w="3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26</w:t>
            </w: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56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92"/>
              </w:rPr>
              <w:t>These payments may be funded using the net proceeds of this offering and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sale of the private placement warrants not held in the trust account or, upon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completion of the initial business combination, from any amounts remaining</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from the proceeds of the trust account released to us in connection therewith.</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Audit committee</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Prior to the effectiveness of this registration statement, we will have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established and will maintain an audit committee to, among other things,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monitor compliance with the terms described above and the other terms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relating to this offering. Our audit committee will also review on a quarterly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basis all payments that were made to our sponsor, officers or directors, or our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or any of their affiliates. If any noncompliance is identified, then the audit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committee will be charged with the responsibility to immediately take all</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action necessary to rectify such noncompliance or otherwise to cause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compliance with the terms of this offering. For more information, see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section entitled “Management—Committees of the Board of Directors—Audit</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Committee.”</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Conflicts of interest</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7"/>
              </w:rPr>
              <w:t>Certain of our officers and directors presently have, and any of them in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future may have, additional, fiduciary or contractual obligations to other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entities pursuant to which such officer or director is or will be required to</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present a business combination opportunity to such entity. Accordingly, if any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of our officers or directors becomes aware of a business combination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7"/>
              </w:rPr>
              <w:t>opportunity that is suitable for an entity to which he or she has then-current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fiduciary or contractual obligations, he or she may need to honor these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fiduciary or contractual obligations to present such business combination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opportunity to such entity, subject to their fiduciary duties under Cayman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Islands law. We do not believe, however, that the fiduciary duties or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contractual obligations of our officers or directors will materially affect our</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ability to complete our initial business combination.</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Indemnity</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Our sponsor has agreed that it will be liable to us if and to the extent any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claims by a third party (other than our independent auditors) for services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1"/>
              </w:rPr>
              <w:t>rendered or products sold to us, or a prospective target business with which we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5"/>
              </w:rPr>
              <w:t>have discussed entering into a transaction agreement, reduce the amount of</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funds in the trust account to below (1) $10.00 per public share or (2) such</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5"/>
              </w:rPr>
              <w:t>lesser amount per public share held in the trust account as of the date of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liquidation of the trust account due to reductions in the value of the trust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assets, in each case net of the interest which may be withdrawn to pay taxes,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except as to any claims by a third party who executed a waiver of any and all</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0"/>
              </w:rPr>
              <w:t>rights to seek access to the trust account and except as to any claims under our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indemnity of the underwriters of this offering against certain liabilities,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including liabilities under the Securities Act. Moreover, in the event that an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executed waiver is deemed to be unenforceable against a third party, our</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sponsor will not be responsible to the extent of any liability</w:t>
            </w:r>
          </w:p>
        </w:tc>
      </w:tr>
      <w:tr>
        <w:trPr>
          <w:trHeight w:val="307"/>
        </w:trPr>
        <w:tc>
          <w:tcPr>
            <w:tcW w:w="3560" w:type="dxa"/>
            <w:vAlign w:val="bottom"/>
            <w:tcBorders>
              <w:left w:val="single" w:sz="8" w:color="auto"/>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r>
      <w:tr>
        <w:trPr>
          <w:trHeight w:val="328"/>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25"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815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48152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right="40"/>
        <w:spacing w:after="0" w:line="276" w:lineRule="auto"/>
        <w:rPr>
          <w:sz w:val="20"/>
          <w:szCs w:val="20"/>
          <w:color w:val="auto"/>
        </w:rPr>
      </w:pPr>
      <w:r>
        <w:rPr>
          <w:rFonts w:ascii="Arial" w:cs="Arial" w:eastAsia="Arial" w:hAnsi="Arial"/>
          <w:sz w:val="17"/>
          <w:szCs w:val="17"/>
          <w:color w:val="auto"/>
        </w:rPr>
        <w:t>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100"/>
        <w:spacing w:after="0" w:line="272"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of this prospectus entitled “Risk Factors.”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9560" w:type="dxa"/>
            <w:vAlign w:val="bottom"/>
            <w:tcBorders>
              <w:bottom w:val="single" w:sz="8" w:color="auto"/>
            </w:tcBorders>
          </w:tcPr>
          <w:p>
            <w:pPr>
              <w:ind w:left="4000"/>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bottom w:val="single" w:sz="8" w:color="D5EAEA"/>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June 11, 2019</w:t>
            </w:r>
          </w:p>
        </w:tc>
      </w:tr>
      <w:tr>
        <w:trPr>
          <w:trHeight w:val="210"/>
        </w:trPr>
        <w:tc>
          <w:tcPr>
            <w:tcW w:w="9560" w:type="dxa"/>
            <w:vAlign w:val="bottom"/>
            <w:shd w:val="clear" w:color="auto" w:fill="D5EAEA"/>
          </w:tcPr>
          <w:p>
            <w:pPr>
              <w:spacing w:after="0"/>
              <w:rPr>
                <w:sz w:val="20"/>
                <w:szCs w:val="20"/>
                <w:color w:val="auto"/>
              </w:rPr>
            </w:pPr>
            <w:r>
              <w:rPr>
                <w:rFonts w:ascii="Arial" w:cs="Arial" w:eastAsia="Arial" w:hAnsi="Arial"/>
                <w:sz w:val="18"/>
                <w:szCs w:val="18"/>
                <w:color w:val="auto"/>
              </w:rPr>
              <w:t>Working capital (deficiency)</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jc w:val="right"/>
              <w:ind w:right="31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32,500</w:t>
            </w:r>
          </w:p>
        </w:tc>
      </w:tr>
      <w:tr>
        <w:trPr>
          <w:trHeight w:val="216"/>
        </w:trPr>
        <w:tc>
          <w:tcPr>
            <w:tcW w:w="9560" w:type="dxa"/>
            <w:vAlign w:val="bottom"/>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20,000</w:t>
            </w:r>
          </w:p>
        </w:tc>
      </w:tr>
    </w:tbl>
    <w:p>
      <w:pPr>
        <w:spacing w:after="0" w:line="187" w:lineRule="exact"/>
        <w:rPr>
          <w:sz w:val="20"/>
          <w:szCs w:val="20"/>
          <w:color w:val="auto"/>
        </w:rPr>
      </w:pPr>
    </w:p>
    <w:p>
      <w:pPr>
        <w:ind w:left="100" w:right="200"/>
        <w:spacing w:after="0" w:line="257" w:lineRule="auto"/>
        <w:rPr>
          <w:sz w:val="20"/>
          <w:szCs w:val="20"/>
          <w:color w:val="auto"/>
        </w:rPr>
      </w:pPr>
      <w:r>
        <w:rPr>
          <w:rFonts w:ascii="Arial" w:cs="Arial" w:eastAsia="Arial" w:hAnsi="Arial"/>
          <w:sz w:val="18"/>
          <w:szCs w:val="18"/>
          <w:color w:val="auto"/>
        </w:rPr>
        <w:t>If our initial business combination is not completed within 24 months from the closing of this offering, the proceeds then on deposit in the trust account, including interest (less up to $100,000 of interest to pay dissolution expenses and which interest shall be net of taxes payable), will be used to fund the redemption of our public shares.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such 24-month time period.</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June 11, 2019, we had no cash and a working capital deficiency of $12,500.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w:t>
      </w: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our public shareholders with the opportunity to redeem all or a portion of their public shares upon the completion of our initial business</w:t>
      </w:r>
    </w:p>
    <w:p>
      <w:pPr>
        <w:spacing w:after="0" w:line="20" w:lineRule="exact"/>
        <w:rPr>
          <w:rFonts w:ascii="Arial" w:cs="Arial" w:eastAsia="Arial" w:hAnsi="Arial"/>
          <w:sz w:val="17"/>
          <w:szCs w:val="17"/>
          <w:color w:val="auto"/>
        </w:rPr>
      </w:pPr>
    </w:p>
    <w:p>
      <w:pPr>
        <w:ind w:right="40"/>
        <w:spacing w:after="0" w:line="267" w:lineRule="auto"/>
        <w:rPr>
          <w:rFonts w:ascii="Arial" w:cs="Arial" w:eastAsia="Arial" w:hAnsi="Arial"/>
          <w:sz w:val="17"/>
          <w:szCs w:val="17"/>
          <w:color w:val="auto"/>
        </w:rPr>
      </w:pPr>
      <w:r>
        <w:rPr>
          <w:rFonts w:ascii="Arial" w:cs="Arial" w:eastAsia="Arial" w:hAnsi="Arial"/>
          <w:sz w:val="17"/>
          <w:szCs w:val="17"/>
          <w:color w:val="auto"/>
        </w:rPr>
        <w:t>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24-month period. In addition, we may have limited time to conduct due diligence and may enter into our initial business combination on terms that we would have rejected upon a more comprehensive investigation.</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8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 Effecting Our Initial Business Combination—Tendering share certificates in connection with a tender offer or redemption rights.”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applied to have our units listed on Nasdaq. We expect that our units will be listed on Nasdaq on or promptly after the date of this prospectus. Following the date that our Class A ordinary shares and warrants are eligible to trade separately, we anticipate that our Class A ordinary shares and warrants will be listed separately on Nasdaq. Although, after giving effect to this offering,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6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2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funds not being held in the trust account are insufficient to allow us to operate for at least the 24 months following the closing of this offering, we may be unable to complete our initial business combination.</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for at least the 24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upon the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Of the net proceeds of this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1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58"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believe that our anticipated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within 24 months of the closing of this offering, our public shareholders may be forced to wait beyond such 24 months before redemption from our trust account.</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we are unable to consummate our initial business combination within 24 months from the closing of this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24 months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shareholders may be held liable for claims by third parties against us to the extent of distributions received by them upon redemption of their shares.</w:t>
      </w:r>
    </w:p>
    <w:p>
      <w:pPr>
        <w:spacing w:after="0" w:line="2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hold an annual general meeting of shareholders until after the completion of our initial business combination. Our public shareholders will not have the right to elect directors prior to the consummation of our Business Combination.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 See “—Risks Relating to the Cannabis Industry” for additional risks we may face in connection with our initial business combination.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performance by our management team and their affiliates may not be indicative of future performance of an investment in the Company.</w:t>
      </w:r>
    </w:p>
    <w:p>
      <w:pPr>
        <w:spacing w:after="0" w:line="24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w:t>
      </w:r>
    </w:p>
    <w:p>
      <w:pPr>
        <w:ind w:right="80" w:firstLine="8"/>
        <w:spacing w:after="0" w:line="323"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0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8"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40" w:lineRule="exact"/>
        <w:rPr>
          <w:sz w:val="20"/>
          <w:szCs w:val="20"/>
          <w:color w:val="auto"/>
        </w:rPr>
      </w:pPr>
    </w:p>
    <w:p>
      <w:pPr>
        <w:jc w:val="both"/>
        <w:ind w:right="260"/>
        <w:spacing w:after="0" w:line="297" w:lineRule="auto"/>
        <w:rPr>
          <w:sz w:val="20"/>
          <w:szCs w:val="20"/>
          <w:color w:val="auto"/>
        </w:rPr>
      </w:pPr>
      <w:r>
        <w:rPr>
          <w:rFonts w:ascii="Arial" w:cs="Arial" w:eastAsia="Arial" w:hAnsi="Arial"/>
          <w:sz w:val="16"/>
          <w:szCs w:val="16"/>
          <w:color w:val="auto"/>
        </w:rPr>
        <w:t>Our amended and restated memorandum and articles of association will authorize the issuance of ordinary shares, including 200,000,000 Class A ordinary shares, par value $0.0001 per share, and 20,000,000 Class B ordinary shares, par value $0.0001 per share, as well as 1,000,000 preferred shares, par value $0.0001. Immediately after this offering, there will be 155,500,000 and 13,750,000 (assuming that the underwriters have not exercised their over-allotment option)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 issuance of additional ordinary shares or preferred shares:</w:t>
      </w:r>
    </w:p>
    <w:p>
      <w:pPr>
        <w:spacing w:after="0" w:line="1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United States federal income tax consequences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“Income Tax Considerations — United States Federal Income Taxation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such required information, and such election would be unavailable with respect to our warrants in all cases. We urge U.S. investors to consult their own tax advisors regarding the possible application of the PFIC rules. For a more detailed discussion of the tax consequences of PFIC classification to U.S. Holders, see the section of this prospectus captioned “Income Tax Considerations — United States Federal Income Taxation — U.S. Holders — Passive Foreign Investment Company Rules.”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and Mohammed Grimeh, our Chief Operating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16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“Management—Directors, Director Nominees and Executive Officers.”</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“Management—Directors, Director Nominees and Executive Officers,” “Management—Conflicts of Interest” and “Certain Relationships and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light of the involvement of our sponsor, officers and directors with other entities, we may decide to acquire one or more businesses affiliated with our sponsor, officers and directors. Our officers and directors also serve as officers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Effecting Our Initial Business Combination—Selection of a target business and structuring of our initial business combination” and such transaction was approved by a majority of our independent and disinterested directors.</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11, 2019, our sponsor subscribed for an aggregate of 7,187,500 founder shares for an aggregate purchase price of $25,000, or $0.004 per share (assuming the over-allotment option is not exercised and the forfeiture by our sponsor of 937,500 founder shares). As such, our initial shareholders will collectively own 20% of our issued and outstanding shares after this offering (assuming they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 The founder shares will be worthless if we do not complete an initial business combination. In addition, our sponsor has committed to purchase an aggregate of 7,000,000 (or 7,750,000 if the underwriters’ over-allotment option is exercised in full) private placement warrants, each exercisable to purchase one Class A ordinary share, for a purchase price of $7,000,000 in the aggregate (or $7,750,000 in the aggregate if the underwriters’ over-allotment option is exercised in full),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founder shares are identical to the ordinary shares included in the units being sold in this offering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deadline following the closing of this offering nears, which is the deadline for the completion of our initial business combination.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74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be able to complete only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net proceeds from this offering and the sale of the private placement warrants will provide us with $250,000,000 (or $287,500,000 if the underwriters’ over-allotment option is exercised in full) that we may use to complete our initial business combination (which includes $8,750,000, or up to $10,062,500 if the underwriters’ over-allotment option is exercised in full, of deferred underwriting commissions being held in the trust account).</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the resources to complete several business combinations in different industries or different areas of a single industry. Accordingly, the prospects for our success may be:</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67"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this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3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shareholder approval.</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Each of the agreements related to this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Upon the closing of this offering, our initial shareholders will own 20% of our issued and outstanding ordinary shares (assuming they do not purchase any units in this offering).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sponsor paid an aggregate of $25,000, or $0.004 per founder share (assuming the over-allotment option is not exercised and the forfeiture by our sponsor of 937,500 founder shares), and, accordingly, you will experience immediate and substantial dilution upon the purchase of our Class A ordinary shares.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shares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of $0.66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5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70"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will be issuing warrants to purchase 12,500,000 Class A ordinary shares (or up to 14,375,000 Class A ordinary shares if the underwriters’ over-allotment option is exercised in full), at a price of $11.50 per whole share (subject to adjustment as provided herein), as part of the units offered by this prospectus and, simultaneously with the closing of this offering, we will be issuing in a private placement an aggregate of 7,000,000 (or 7,750,000 if the underwriters’ over-allotment option is exercised in full) private placement warrants, each exercisable to purchase one Class A ordinary share at a price of $11.50 per share, subject to adjustment as provided herein. Our initial shareholders currently hold 7,187,500 founder shares (up to 937,500 of which are subject to forfeiture by our sponsor depending on the extent to which the underwriters’ over-allotment option is exercised).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private placement warrants are identical to the warrants sold as part of the units in this offering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71"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10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will be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delayed in processing mail received at our registered office.</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cannabis that is not in compliance with the U.S. Controlled Substances Act is illegal under U.S. federal law, and therefore, strict enforcement of U.S. federal laws regarding the use, cultivation,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manufacturing, processing, transportation, distribution, storage and/or sale of cannabis would likely result in our inability to execute a business plan in the cannabis industry;</w:t>
      </w:r>
    </w:p>
    <w:p>
      <w:pPr>
        <w:spacing w:after="0" w:line="170" w:lineRule="exact"/>
        <w:rPr>
          <w:sz w:val="20"/>
          <w:szCs w:val="20"/>
          <w:color w:val="auto"/>
        </w:rPr>
      </w:pPr>
    </w:p>
    <w:p>
      <w:pPr>
        <w:ind w:left="660" w:right="1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current policies of the Trump Administration and the U.S. Department of Justice resulting in heightened enforcement of U.S. federal cannabis laws may negatively impact our ability to pursue our prospective business operations and/or generate revenues;</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181"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similar to those discussed above based on regulations of other jurisdictions in which a prospective target may operate or be organized 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an adverse impact on our operations following a business combination.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potential growth in the cannabis industry continues to be subject to new and changing state and local laws and regulations.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laws, regulations and guidelines that impact our business may cause adverse effects on our operations.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our operations.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we acquire a business involved in the production, distribution and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w:t>
      </w:r>
    </w:p>
    <w:p>
      <w:pPr>
        <w:sectPr>
          <w:pgSz w:w="11900" w:h="16838" w:orient="portrait"/>
          <w:cols w:equalWidth="0" w:num="1">
            <w:col w:w="11420"/>
          </w:cols>
          <w:pgMar w:left="240" w:top="225" w:right="239" w:bottom="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investigations and audits will not result in substantial costs or a diversion of management’s attention and resources or have a material adverse impact on our business, financial condition and results of operations.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Research in Canada, the United States and internationally regarding the medical benefits, viability, safety, efficacy and dosing of cannabis or isolated cannabinoids (such as CBD and THC) remains in relatively early stages. There have been few clinical trials on the benefits of cannabis or isolated cannabinoids conducted by us or by others.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have longer operating histories, significantly greater financial, marketing or other resources and larger client bases than we will, and there can be no assurance that we will be able to successfully compete against these or other competitors.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 Our success will depend on our ability to keep pace with any changes in our markets, particularly, legal and regulatory changes.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customers may have difficulty accessing the service of banks, which may make it difficult to sell products and services.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w:t>
      </w:r>
    </w:p>
    <w:p>
      <w:pPr>
        <w:sectPr>
          <w:pgSz w:w="11900" w:h="16838" w:orient="portrait"/>
          <w:cols w:equalWidth="0" w:num="1">
            <w:col w:w="11420"/>
          </w:cols>
          <w:pgMar w:left="240" w:top="2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by our business partners, employees or agents.</w:t>
      </w:r>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and service providers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subject to the risks inherent in an agricultural business, including the risk of crop failure.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natural elements, such as insects and plant diseases, will not entirely interrupt production activities or have an adverse effect on the production of cannabis and, accordingly, the operations of a potential target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cannabis businesses are dependent on key personnel with sufficient experience in the cannabis industry.</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production of cannabis will vary based on a number of factors outside of our control.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Revenues of businesses in the cannabis industry are in a large part derived from the production, sale and distribution of cannabis. The price of production, sale and distribution of cannabis is dependent number of key inputs and their related costs, including raw materials and supplies related to cannabis growing operations, as well as electricity, water and other utilities. Cannabis growing operations consume considerable energy, making such operations vulnerable to rising energy costs. Any significant interruption or negative change in the availability or economics of the supply chain for key inputs could materially impact financial condition and operating results of businesses operating in the cannabis industry. Any inability to secure required supplies and services or to do so on appropriate terms could have a materially adverse impact on the business, financial condition, results of operations and prospects of such businesses.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ectPr>
          <w:pgSz w:w="11900" w:h="16838" w:orient="portrait"/>
          <w:cols w:equalWidth="0" w:num="1">
            <w:col w:w="11400"/>
          </w:cols>
          <w:pgMar w:left="240" w:top="225" w:right="25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 business in the cannabis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Without Over-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Over-Allotment</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D5EAEA"/>
            </w:tcBorders>
          </w:tcPr>
          <w:p>
            <w:pPr>
              <w:spacing w:after="0"/>
              <w:rPr>
                <w:sz w:val="20"/>
                <w:szCs w:val="20"/>
                <w:color w:val="auto"/>
              </w:rPr>
            </w:pPr>
          </w:p>
        </w:tc>
        <w:tc>
          <w:tcPr>
            <w:tcW w:w="100" w:type="dxa"/>
            <w:vAlign w:val="bottom"/>
            <w:tcBorders>
              <w:bottom w:val="single" w:sz="8" w:color="D5EAEA"/>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Allotment Option</w:t>
            </w:r>
          </w:p>
        </w:tc>
        <w:tc>
          <w:tcPr>
            <w:tcW w:w="100" w:type="dxa"/>
            <w:vAlign w:val="bottom"/>
            <w:tcBorders>
              <w:bottom w:val="single" w:sz="8" w:color="D5EAEA"/>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Option Exercised</w:t>
            </w:r>
          </w:p>
        </w:tc>
        <w:tc>
          <w:tcPr>
            <w:tcW w:w="0" w:type="dxa"/>
            <w:vAlign w:val="bottom"/>
          </w:tcPr>
          <w:p>
            <w:pPr>
              <w:spacing w:after="0"/>
              <w:rPr>
                <w:sz w:val="1"/>
                <w:szCs w:val="1"/>
                <w:color w:val="auto"/>
              </w:rPr>
            </w:pPr>
          </w:p>
        </w:tc>
      </w:tr>
      <w:tr>
        <w:trPr>
          <w:trHeight w:val="210"/>
        </w:trPr>
        <w:tc>
          <w:tcPr>
            <w:tcW w:w="794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Gross proceeds</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40" w:type="dxa"/>
            <w:vAlign w:val="bottom"/>
          </w:tcPr>
          <w:p>
            <w:pPr>
              <w:spacing w:after="0" w:line="256"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9"/>
                <w:szCs w:val="29"/>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30"/>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Gross proceeds from private placement warrants offered in the private placement</w:t>
            </w:r>
          </w:p>
        </w:tc>
        <w:tc>
          <w:tcPr>
            <w:tcW w:w="10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152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152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7,750,000</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gross proceeds</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257,000,000</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295,250,000</w:t>
            </w:r>
          </w:p>
        </w:tc>
        <w:tc>
          <w:tcPr>
            <w:tcW w:w="0" w:type="dxa"/>
            <w:vAlign w:val="bottom"/>
          </w:tcPr>
          <w:p>
            <w:pPr>
              <w:spacing w:after="0"/>
              <w:rPr>
                <w:sz w:val="1"/>
                <w:szCs w:val="1"/>
                <w:color w:val="auto"/>
              </w:rPr>
            </w:pPr>
          </w:p>
        </w:tc>
      </w:tr>
      <w:tr>
        <w:trPr>
          <w:trHeight w:val="237"/>
        </w:trPr>
        <w:tc>
          <w:tcPr>
            <w:tcW w:w="7940" w:type="dxa"/>
            <w:vAlign w:val="bottom"/>
            <w:shd w:val="clear" w:color="auto" w:fill="D5EAEA"/>
          </w:tcPr>
          <w:p>
            <w:pPr>
              <w:spacing w:after="0" w:line="236" w:lineRule="exact"/>
              <w:rPr>
                <w:sz w:val="20"/>
                <w:szCs w:val="20"/>
                <w:color w:val="auto"/>
              </w:rPr>
            </w:pPr>
            <w:r>
              <w:rPr>
                <w:rFonts w:ascii="Arial" w:cs="Arial" w:eastAsia="Arial" w:hAnsi="Arial"/>
                <w:sz w:val="17"/>
                <w:szCs w:val="17"/>
                <w:i w:val="1"/>
                <w:iCs w:val="1"/>
                <w:color w:val="auto"/>
              </w:rPr>
              <w:t>Estimated offering expenses</w:t>
            </w:r>
            <w:r>
              <w:rPr>
                <w:rFonts w:ascii="Arial" w:cs="Arial" w:eastAsia="Arial" w:hAnsi="Arial"/>
                <w:sz w:val="27"/>
                <w:szCs w:val="27"/>
                <w:i w:val="1"/>
                <w:iCs w:val="1"/>
                <w:color w:val="auto"/>
                <w:vertAlign w:val="superscript"/>
              </w:rPr>
              <w:t>(2)</w:t>
            </w:r>
          </w:p>
        </w:tc>
        <w:tc>
          <w:tcPr>
            <w:tcW w:w="1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5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52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940" w:type="dxa"/>
            <w:vAlign w:val="bottom"/>
          </w:tcPr>
          <w:p>
            <w:pPr>
              <w:spacing w:after="0" w:line="206" w:lineRule="exact"/>
              <w:rPr>
                <w:sz w:val="20"/>
                <w:szCs w:val="20"/>
                <w:color w:val="auto"/>
              </w:rPr>
            </w:pPr>
            <w:r>
              <w:rPr>
                <w:rFonts w:ascii="Arial" w:cs="Arial" w:eastAsia="Arial" w:hAnsi="Arial"/>
                <w:sz w:val="18"/>
                <w:szCs w:val="18"/>
                <w:color w:val="auto"/>
                <w:w w:val="93"/>
              </w:rPr>
              <w:t>Underwriting commissions (2.0% of gross proceeds from units offered to public, excluding deferred portion)</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5,000,000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5,750,000</w:t>
            </w:r>
          </w:p>
        </w:tc>
        <w:tc>
          <w:tcPr>
            <w:tcW w:w="0" w:type="dxa"/>
            <w:vAlign w:val="bottom"/>
          </w:tcPr>
          <w:p>
            <w:pPr>
              <w:spacing w:after="0"/>
              <w:rPr>
                <w:sz w:val="1"/>
                <w:szCs w:val="1"/>
                <w:color w:val="auto"/>
              </w:rPr>
            </w:pPr>
          </w:p>
        </w:tc>
      </w:tr>
      <w:tr>
        <w:trPr>
          <w:trHeight w:val="227"/>
        </w:trPr>
        <w:tc>
          <w:tcPr>
            <w:tcW w:w="7940" w:type="dxa"/>
            <w:vAlign w:val="bottom"/>
          </w:tcPr>
          <w:p>
            <w:pPr>
              <w:spacing w:after="0"/>
              <w:rPr>
                <w:sz w:val="20"/>
                <w:szCs w:val="20"/>
                <w:color w:val="auto"/>
              </w:rPr>
            </w:pPr>
            <w:r>
              <w:rPr>
                <w:rFonts w:ascii="Arial" w:cs="Arial" w:eastAsia="Arial" w:hAnsi="Arial"/>
                <w:sz w:val="15"/>
                <w:szCs w:val="15"/>
                <w:color w:val="auto"/>
              </w:rPr>
              <w:t>(3)</w:t>
            </w:r>
          </w:p>
        </w:tc>
        <w:tc>
          <w:tcPr>
            <w:tcW w:w="2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spacing w:after="0"/>
              <w:rPr>
                <w:sz w:val="18"/>
                <w:szCs w:val="18"/>
                <w:color w:val="auto"/>
              </w:rPr>
            </w:pPr>
          </w:p>
        </w:tc>
        <w:tc>
          <w:tcPr>
            <w:tcW w:w="15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spacing w:after="0"/>
              <w:rPr>
                <w:sz w:val="18"/>
                <w:szCs w:val="18"/>
                <w:color w:val="auto"/>
              </w:rPr>
            </w:pPr>
          </w:p>
        </w:tc>
        <w:tc>
          <w:tcPr>
            <w:tcW w:w="152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SEC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34,845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34,845</w:t>
            </w: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FINRA expenses</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43,625</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43,625</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Travel and road show</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Directors and officers insurance premiums</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57"/>
        </w:trPr>
        <w:tc>
          <w:tcPr>
            <w:tcW w:w="794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9"/>
                <w:szCs w:val="29"/>
                <w:color w:val="auto"/>
                <w:vertAlign w:val="superscript"/>
              </w:rPr>
              <w:t>(4)</w:t>
            </w:r>
          </w:p>
        </w:tc>
        <w:tc>
          <w:tcPr>
            <w:tcW w:w="100" w:type="dxa"/>
            <w:vAlign w:val="bottom"/>
            <w:shd w:val="clear" w:color="auto" w:fill="D5EAEA"/>
          </w:tcPr>
          <w:p>
            <w:pPr>
              <w:spacing w:after="0"/>
              <w:rPr>
                <w:sz w:val="22"/>
                <w:szCs w:val="22"/>
                <w:color w:val="auto"/>
              </w:rPr>
            </w:pPr>
          </w:p>
        </w:tc>
        <w:tc>
          <w:tcPr>
            <w:tcW w:w="120" w:type="dxa"/>
            <w:vAlign w:val="bottom"/>
            <w:tcBorders>
              <w:bottom w:val="single" w:sz="8" w:color="auto"/>
            </w:tcBorders>
            <w:shd w:val="clear" w:color="auto" w:fill="D5EAEA"/>
          </w:tcPr>
          <w:p>
            <w:pPr>
              <w:spacing w:after="0"/>
              <w:rPr>
                <w:sz w:val="22"/>
                <w:szCs w:val="22"/>
                <w:color w:val="auto"/>
              </w:rPr>
            </w:pPr>
          </w:p>
        </w:tc>
        <w:tc>
          <w:tcPr>
            <w:tcW w:w="1520" w:type="dxa"/>
            <w:vAlign w:val="bottom"/>
            <w:tcBorders>
              <w:bottom w:val="single" w:sz="8" w:color="auto"/>
            </w:tcBorders>
            <w:shd w:val="clear" w:color="auto" w:fill="D5EAEA"/>
          </w:tcPr>
          <w:p>
            <w:pPr>
              <w:spacing w:after="0"/>
              <w:rPr>
                <w:sz w:val="22"/>
                <w:szCs w:val="22"/>
                <w:color w:val="auto"/>
              </w:rPr>
            </w:pPr>
          </w:p>
        </w:tc>
        <w:tc>
          <w:tcPr>
            <w:tcW w:w="100" w:type="dxa"/>
            <w:vAlign w:val="bottom"/>
            <w:shd w:val="clear" w:color="auto" w:fill="D5EAEA"/>
          </w:tcPr>
          <w:p>
            <w:pPr>
              <w:spacing w:after="0"/>
              <w:rPr>
                <w:sz w:val="22"/>
                <w:szCs w:val="22"/>
                <w:color w:val="auto"/>
              </w:rPr>
            </w:pPr>
          </w:p>
        </w:tc>
        <w:tc>
          <w:tcPr>
            <w:tcW w:w="120" w:type="dxa"/>
            <w:vAlign w:val="bottom"/>
            <w:tcBorders>
              <w:bottom w:val="single" w:sz="8" w:color="auto"/>
            </w:tcBorders>
            <w:shd w:val="clear" w:color="auto" w:fill="D5EAEA"/>
          </w:tcPr>
          <w:p>
            <w:pPr>
              <w:spacing w:after="0"/>
              <w:rPr>
                <w:sz w:val="22"/>
                <w:szCs w:val="22"/>
                <w:color w:val="auto"/>
              </w:rPr>
            </w:pPr>
          </w:p>
        </w:tc>
        <w:tc>
          <w:tcPr>
            <w:tcW w:w="1520" w:type="dxa"/>
            <w:vAlign w:val="bottom"/>
            <w:tcBorders>
              <w:bottom w:val="single" w:sz="8" w:color="auto"/>
            </w:tcBorders>
            <w:shd w:val="clear" w:color="auto" w:fill="D5EAEA"/>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Proceeds after estimated offering expenses</w:t>
            </w:r>
          </w:p>
        </w:tc>
        <w:tc>
          <w:tcPr>
            <w:tcW w:w="10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251,000,000</w:t>
            </w:r>
          </w:p>
        </w:tc>
        <w:tc>
          <w:tcPr>
            <w:tcW w:w="10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288,500,000</w:t>
            </w:r>
          </w:p>
        </w:tc>
        <w:tc>
          <w:tcPr>
            <w:tcW w:w="0" w:type="dxa"/>
            <w:vAlign w:val="bottom"/>
          </w:tcPr>
          <w:p>
            <w:pPr>
              <w:spacing w:after="0"/>
              <w:rPr>
                <w:sz w:val="1"/>
                <w:szCs w:val="1"/>
                <w:color w:val="auto"/>
              </w:rPr>
            </w:pPr>
          </w:p>
        </w:tc>
      </w:tr>
      <w:tr>
        <w:trPr>
          <w:trHeight w:val="237"/>
        </w:trPr>
        <w:tc>
          <w:tcPr>
            <w:tcW w:w="7940" w:type="dxa"/>
            <w:vAlign w:val="bottom"/>
          </w:tcPr>
          <w:p>
            <w:pPr>
              <w:spacing w:after="0" w:line="236" w:lineRule="exact"/>
              <w:rPr>
                <w:sz w:val="20"/>
                <w:szCs w:val="20"/>
                <w:color w:val="auto"/>
              </w:rPr>
            </w:pPr>
            <w:r>
              <w:rPr>
                <w:rFonts w:ascii="Arial" w:cs="Arial" w:eastAsia="Arial" w:hAnsi="Arial"/>
                <w:sz w:val="17"/>
                <w:szCs w:val="17"/>
                <w:color w:val="auto"/>
              </w:rPr>
              <w:t>Held in trust account</w:t>
            </w:r>
            <w:r>
              <w:rPr>
                <w:rFonts w:ascii="Arial" w:cs="Arial" w:eastAsia="Arial" w:hAnsi="Arial"/>
                <w:sz w:val="27"/>
                <w:szCs w:val="27"/>
                <w:color w:val="auto"/>
                <w:vertAlign w:val="superscript"/>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spacing w:after="0"/>
              <w:rPr>
                <w:sz w:val="20"/>
                <w:szCs w:val="20"/>
                <w:color w:val="auto"/>
              </w:rPr>
            </w:pPr>
            <w:r>
              <w:rPr>
                <w:rFonts w:ascii="Arial" w:cs="Arial" w:eastAsia="Arial" w:hAnsi="Arial"/>
                <w:sz w:val="18"/>
                <w:szCs w:val="18"/>
                <w:color w:val="auto"/>
              </w:rPr>
              <w:t>% of public offering size</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0"/>
        </w:trPr>
        <w:tc>
          <w:tcPr>
            <w:tcW w:w="7940" w:type="dxa"/>
            <w:vAlign w:val="bottom"/>
          </w:tcPr>
          <w:p>
            <w:pPr>
              <w:spacing w:after="0"/>
              <w:rPr>
                <w:sz w:val="20"/>
                <w:szCs w:val="20"/>
                <w:color w:val="auto"/>
              </w:rPr>
            </w:pPr>
            <w:r>
              <w:rPr>
                <w:rFonts w:ascii="Arial" w:cs="Arial" w:eastAsia="Arial" w:hAnsi="Arial"/>
                <w:sz w:val="18"/>
                <w:szCs w:val="18"/>
                <w:color w:val="auto"/>
              </w:rPr>
              <w:t>Not held in trust account</w:t>
            </w:r>
            <w:r>
              <w:rPr>
                <w:rFonts w:ascii="Arial" w:cs="Arial" w:eastAsia="Arial" w:hAnsi="Arial"/>
                <w:sz w:val="30"/>
                <w:szCs w:val="30"/>
                <w:color w:val="auto"/>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30"/>
          <w:szCs w:val="30"/>
          <w:color w:val="auto"/>
          <w:vertAlign w:val="superscript"/>
        </w:rPr>
        <w:t>(5)</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D5EAEA"/>
            </w:tcBorders>
          </w:tcPr>
          <w:p>
            <w:pPr>
              <w:spacing w:after="0"/>
              <w:rPr>
                <w:sz w:val="20"/>
                <w:szCs w:val="20"/>
                <w:color w:val="auto"/>
              </w:rPr>
            </w:pPr>
          </w:p>
        </w:tc>
        <w:tc>
          <w:tcPr>
            <w:tcW w:w="5620" w:type="dxa"/>
            <w:vAlign w:val="bottom"/>
            <w:tcBorders>
              <w:bottom w:val="single" w:sz="8" w:color="D5EAEA"/>
            </w:tcBorders>
          </w:tcPr>
          <w:p>
            <w:pPr>
              <w:spacing w:after="0"/>
              <w:rPr>
                <w:sz w:val="20"/>
                <w:szCs w:val="20"/>
                <w:color w:val="auto"/>
              </w:rPr>
            </w:pPr>
          </w:p>
        </w:tc>
        <w:tc>
          <w:tcPr>
            <w:tcW w:w="18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D5EAEA"/>
            </w:tcBorders>
          </w:tcPr>
          <w:p>
            <w:pPr>
              <w:spacing w:after="0"/>
              <w:rPr>
                <w:sz w:val="20"/>
                <w:szCs w:val="20"/>
                <w:color w:val="auto"/>
              </w:rPr>
            </w:pP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of Total</w:t>
            </w:r>
          </w:p>
        </w:tc>
      </w:tr>
      <w:tr>
        <w:trPr>
          <w:trHeight w:val="237"/>
        </w:trPr>
        <w:tc>
          <w:tcPr>
            <w:tcW w:w="7920" w:type="dxa"/>
            <w:vAlign w:val="bottom"/>
            <w:gridSpan w:val="2"/>
            <w:shd w:val="clear" w:color="auto" w:fill="D5EAEA"/>
          </w:tcPr>
          <w:p>
            <w:pPr>
              <w:spacing w:after="0" w:line="236" w:lineRule="exact"/>
              <w:rPr>
                <w:sz w:val="20"/>
                <w:szCs w:val="20"/>
                <w:color w:val="auto"/>
              </w:rPr>
            </w:pPr>
            <w:r>
              <w:rPr>
                <w:rFonts w:ascii="Arial" w:cs="Arial" w:eastAsia="Arial" w:hAnsi="Arial"/>
                <w:sz w:val="17"/>
                <w:szCs w:val="17"/>
                <w:color w:val="auto"/>
                <w:w w:val="97"/>
              </w:rPr>
              <w:t>Legal, accounting, due diligence, travel and other expenses in connection with any business combination</w:t>
            </w:r>
            <w:r>
              <w:rPr>
                <w:rFonts w:ascii="Arial" w:cs="Arial" w:eastAsia="Arial" w:hAnsi="Arial"/>
                <w:sz w:val="27"/>
                <w:szCs w:val="27"/>
                <w:color w:val="auto"/>
                <w:w w:val="97"/>
                <w:vertAlign w:val="superscript"/>
              </w:rPr>
              <w:t>(6)</w:t>
            </w:r>
          </w:p>
        </w:tc>
        <w:tc>
          <w:tcPr>
            <w:tcW w:w="460" w:type="dxa"/>
            <w:vAlign w:val="bottom"/>
            <w:gridSpan w:val="2"/>
            <w:shd w:val="clear" w:color="auto" w:fill="D5EAEA"/>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6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Payment for director compensation</w:t>
            </w:r>
          </w:p>
        </w:tc>
        <w:tc>
          <w:tcPr>
            <w:tcW w:w="18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Reserve for liquidation expenses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Nasdaq continued listing fees</w:t>
            </w:r>
          </w:p>
        </w:tc>
        <w:tc>
          <w:tcPr>
            <w:tcW w:w="18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D5EAEA"/>
          </w:tcPr>
          <w:p>
            <w:pPr>
              <w:spacing w:after="0"/>
              <w:rPr>
                <w:sz w:val="18"/>
                <w:szCs w:val="18"/>
                <w:color w:val="auto"/>
              </w:rPr>
            </w:pPr>
          </w:p>
        </w:tc>
        <w:tc>
          <w:tcPr>
            <w:tcW w:w="16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 miscellaneous expenses</w:t>
            </w:r>
          </w:p>
        </w:tc>
        <w:tc>
          <w:tcPr>
            <w:tcW w:w="180" w:type="dxa"/>
            <w:vAlign w:val="bottom"/>
            <w:tcBorders>
              <w:bottom w:val="single" w:sz="8" w:color="D5EAE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D5EAEA"/>
            </w:tcBorders>
            <w:shd w:val="clear" w:color="auto" w:fill="D5EAEA"/>
          </w:tcPr>
          <w:p>
            <w:pPr>
              <w:spacing w:after="0"/>
              <w:rPr>
                <w:sz w:val="19"/>
                <w:szCs w:val="19"/>
                <w:color w:val="auto"/>
              </w:rPr>
            </w:pPr>
          </w:p>
        </w:tc>
        <w:tc>
          <w:tcPr>
            <w:tcW w:w="280" w:type="dxa"/>
            <w:vAlign w:val="bottom"/>
            <w:tcBorders>
              <w:bottom w:val="single" w:sz="8" w:color="auto"/>
            </w:tcBorders>
            <w:shd w:val="clear" w:color="auto" w:fill="D5EAEA"/>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D5EAEA"/>
            </w:tcBorders>
            <w:shd w:val="clear" w:color="auto" w:fill="D5EAEA"/>
          </w:tcPr>
          <w:p>
            <w:pPr>
              <w:spacing w:after="0"/>
              <w:rPr>
                <w:sz w:val="19"/>
                <w:szCs w:val="19"/>
                <w:color w:val="auto"/>
              </w:rPr>
            </w:pPr>
          </w:p>
        </w:tc>
        <w:tc>
          <w:tcPr>
            <w:tcW w:w="16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5"/>
        </w:trPr>
        <w:tc>
          <w:tcPr>
            <w:tcW w:w="2300" w:type="dxa"/>
            <w:vAlign w:val="bottom"/>
            <w:tcBorders>
              <w:bottom w:val="single" w:sz="8" w:color="auto"/>
            </w:tcBorders>
          </w:tcPr>
          <w:p>
            <w:pPr>
              <w:spacing w:after="0"/>
              <w:rPr>
                <w:sz w:val="3"/>
                <w:szCs w:val="3"/>
                <w:color w:val="auto"/>
              </w:rPr>
            </w:pPr>
          </w:p>
        </w:tc>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bl>
    <w:p>
      <w:pPr>
        <w:spacing w:after="0" w:line="296" w:lineRule="exact"/>
        <w:rPr>
          <w:sz w:val="20"/>
          <w:szCs w:val="20"/>
          <w:color w:val="auto"/>
        </w:rPr>
      </w:pPr>
    </w:p>
    <w:p>
      <w:pPr>
        <w:ind w:left="340" w:right="2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ind w:left="340" w:right="160" w:hanging="332"/>
        <w:spacing w:after="0" w:line="273"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portion of the offering expenses have been paid from the proceeds of loans from our sponsor of up to $250,000 as described in this prospectus. As of June 11, 2019, we had borrowed $12,500 under the promissory note with our sponsor to be used for a portion of the expenses of this offering.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hanging="332"/>
        <w:spacing w:after="0" w:line="272"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(or up to $10,062,500 if the underwriters’ over-allotment option is exercised in full), which constitutes the underwriters’ deferred commissions, will be paid to the underwriters from the funds held in the trust account, and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340" w:right="5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170" w:lineRule="exact"/>
        <w:rPr>
          <w:rFonts w:ascii="Arial" w:cs="Arial" w:eastAsia="Arial" w:hAnsi="Arial"/>
          <w:sz w:val="18"/>
          <w:szCs w:val="18"/>
          <w:color w:val="auto"/>
        </w:rPr>
      </w:pPr>
    </w:p>
    <w:p>
      <w:pPr>
        <w:ind w:left="340" w:right="40" w:hanging="332"/>
        <w:spacing w:after="0" w:line="28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$3,500,000 to be available to us from interest earned on the funds held in the trust account over the 12 months following the closing of this offering; however, we can provide no assurances regarding this amount. This estimate assumes an interest rate of 1.40% per annum based upon current yields of securities in which the trust account may be invested. 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5"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Of the net proceeds of this offering and the sale of the private placement warrants, $250,000,000 (or $287,500,000 if the underwriters’ over-allotment option is exercised in full), including $8,750,000 (or up to $10,062,500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180 days or less or in money market funds investing solely in U.S. Treasuries and meeting certain conditions under Rule 2a-7 under the Investment Company Act. Based on current interest rates, we estimate that the interest earned on the trust account will be approximately $3,500,000 per year, assuming an interest rate of 1.40% per year. We will not be permitted to withdraw any of the principal or interest held in the trust account except for the withdrawal of interest to pay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business combination activity; and (3) the redemption of our public shares if we are unable to complete our initial business combination within 24 months from the closing of this offering, subject to applicable law. Based on current interest rates, we expect that interest earned on the trust account will be sufficient to pay taxes.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loan funds to, or invest in, us.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officers, advisors or any of their affiliates may also purchase shares in privately negotiated transactions or in the open market either prior to or following the completion of our initial business combination. Please see “Proposed Business—Permitted purchases of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of our public shares and the related business combination, and we instead may search for an alternate business combination.</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public shareholder will be entitled to receive funds from the trust account only upon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In no other circumstances will a shareholder have any right or interest of any kind to or in the trust account.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In addition, our initial shareholders have agreed to waive their rights to liquidating distributions from the trust account with respect to their founder shares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issued and outstanding Class A ordinary shares.</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June 11, 2019, our net tangible book value was a deficiency of $12,500, or approximately $(0.00) per ordinary share. After giving effect to the sale of 25,000,000 Class A ordinary shares included in the units we are offering by this prospectus, the sale of the private placement warrants and the deduction of underwriting commissions and estimated expenses of this offering, our pro forma net tangible book value at June 11, 2019 would have been $5,000,010 or $0.66 per share, representing an immediate increase in net tangible book value (as decreased by the value of 23,726,999 Class A ordinary shares that may be redeemed for cash and assuming no exercise of the underwriters’ over-allotment option) of 0.66 per share to our initial shareholders as of the date of this prospectus and an immediate dilution of $9.34 per share or 93.40% to our public shareholders not exercising their redemption rights. The dilution to new investors if the underwriters exercise the over-allotment option in full would be an immediate dilution of $9.42 per share or 94.20%.</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Without Over-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Borders>
              <w:bottom w:val="single" w:sz="8" w:color="D5EAEA"/>
            </w:tcBorders>
          </w:tcPr>
          <w:p>
            <w:pPr>
              <w:spacing w:after="0"/>
              <w:rPr>
                <w:sz w:val="20"/>
                <w:szCs w:val="20"/>
                <w:color w:val="auto"/>
              </w:rPr>
            </w:pPr>
          </w:p>
        </w:tc>
        <w:tc>
          <w:tcPr>
            <w:tcW w:w="46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allotment</w:t>
            </w:r>
          </w:p>
        </w:tc>
        <w:tc>
          <w:tcPr>
            <w:tcW w:w="100" w:type="dxa"/>
            <w:vAlign w:val="bottom"/>
            <w:tcBorders>
              <w:bottom w:val="single" w:sz="8" w:color="D5EAEA"/>
            </w:tcBorders>
          </w:tcPr>
          <w:p>
            <w:pPr>
              <w:spacing w:after="0"/>
              <w:rPr>
                <w:sz w:val="20"/>
                <w:szCs w:val="20"/>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With Over-allotment</w:t>
            </w:r>
          </w:p>
        </w:tc>
        <w:tc>
          <w:tcPr>
            <w:tcW w:w="0" w:type="dxa"/>
            <w:vAlign w:val="bottom"/>
          </w:tcPr>
          <w:p>
            <w:pPr>
              <w:spacing w:after="0"/>
              <w:rPr>
                <w:sz w:val="1"/>
                <w:szCs w:val="1"/>
                <w:color w:val="auto"/>
              </w:rPr>
            </w:pPr>
          </w:p>
        </w:tc>
      </w:tr>
      <w:tr>
        <w:trPr>
          <w:trHeight w:val="210"/>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shd w:val="clear" w:color="auto" w:fill="D5EAEA"/>
          </w:tcPr>
          <w:p>
            <w:pPr>
              <w:spacing w:after="0"/>
              <w:rPr>
                <w:sz w:val="18"/>
                <w:szCs w:val="18"/>
                <w:color w:val="auto"/>
              </w:rPr>
            </w:pPr>
          </w:p>
        </w:tc>
        <w:tc>
          <w:tcPr>
            <w:tcW w:w="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58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Increase attributable to public shareholders</w:t>
            </w:r>
          </w:p>
        </w:tc>
        <w:tc>
          <w:tcPr>
            <w:tcW w:w="460" w:type="dxa"/>
            <w:vAlign w:val="bottom"/>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14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w w:val="96"/>
              </w:rPr>
              <w:t>Pro forma net tangible book value after this offering and the sale of the private placement warrants</w:t>
            </w:r>
          </w:p>
        </w:tc>
        <w:tc>
          <w:tcPr>
            <w:tcW w:w="460" w:type="dxa"/>
            <w:vAlign w:val="bottom"/>
            <w:tcBorders>
              <w:bottom w:val="single" w:sz="8" w:color="D5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D5EAEA"/>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Dilution to public shareholders</w:t>
            </w:r>
          </w:p>
        </w:tc>
        <w:tc>
          <w:tcPr>
            <w:tcW w:w="460" w:type="dxa"/>
            <w:vAlign w:val="bottom"/>
            <w:tcBorders>
              <w:bottom w:val="single" w:sz="8" w:color="D5EAEA"/>
            </w:tcBorders>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D5EAEA"/>
            </w:tcBorders>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over-allotment option) by $237,269,990 because holders of up to approximately 94.9% of our public shares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shareholders meeting, including interest (which interest shall be net of taxes payable), divided by the number of Class A ordinary shares sold in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2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gridSpan w:val="4"/>
          </w:tcPr>
          <w:p>
            <w:pPr>
              <w:ind w:left="980"/>
              <w:spacing w:after="0"/>
              <w:rPr>
                <w:sz w:val="20"/>
                <w:szCs w:val="20"/>
                <w:color w:val="auto"/>
              </w:rPr>
            </w:pPr>
            <w:r>
              <w:rPr>
                <w:rFonts w:ascii="Arial" w:cs="Arial" w:eastAsia="Arial" w:hAnsi="Arial"/>
                <w:sz w:val="18"/>
                <w:szCs w:val="18"/>
                <w:b w:val="1"/>
                <w:bCs w:val="1"/>
                <w:color w:val="auto"/>
              </w:rPr>
              <w:t>Shares Purchased</w:t>
            </w:r>
          </w:p>
        </w:tc>
        <w:tc>
          <w:tcPr>
            <w:tcW w:w="300" w:type="dxa"/>
            <w:vAlign w:val="bottom"/>
          </w:tcPr>
          <w:p>
            <w:pPr>
              <w:spacing w:after="0"/>
              <w:rPr>
                <w:sz w:val="20"/>
                <w:szCs w:val="20"/>
                <w:color w:val="auto"/>
              </w:rPr>
            </w:pPr>
          </w:p>
        </w:tc>
        <w:tc>
          <w:tcPr>
            <w:tcW w:w="2260" w:type="dxa"/>
            <w:vAlign w:val="bottom"/>
            <w:gridSpan w:val="3"/>
          </w:tcPr>
          <w:p>
            <w:pPr>
              <w:ind w:left="600"/>
              <w:spacing w:after="0"/>
              <w:rPr>
                <w:sz w:val="20"/>
                <w:szCs w:val="20"/>
                <w:color w:val="auto"/>
              </w:rPr>
            </w:pPr>
            <w:r>
              <w:rPr>
                <w:rFonts w:ascii="Arial" w:cs="Arial" w:eastAsia="Arial" w:hAnsi="Arial"/>
                <w:sz w:val="18"/>
                <w:szCs w:val="18"/>
                <w:b w:val="1"/>
                <w:bCs w:val="1"/>
                <w:color w:val="auto"/>
                <w:w w:val="97"/>
              </w:rPr>
              <w:t>Total Consideration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Share</w:t>
            </w:r>
          </w:p>
        </w:tc>
      </w:tr>
      <w:tr>
        <w:trPr>
          <w:trHeight w:val="223"/>
        </w:trPr>
        <w:tc>
          <w:tcPr>
            <w:tcW w:w="2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Number</w:t>
            </w:r>
          </w:p>
        </w:tc>
        <w:tc>
          <w:tcPr>
            <w:tcW w:w="16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Amount</w:t>
            </w:r>
          </w:p>
        </w:tc>
        <w:tc>
          <w:tcPr>
            <w:tcW w:w="16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37"/>
        </w:trPr>
        <w:tc>
          <w:tcPr>
            <w:tcW w:w="2980" w:type="dxa"/>
            <w:vAlign w:val="bottom"/>
            <w:tcBorders>
              <w:top w:val="single" w:sz="8" w:color="D5EAEA"/>
            </w:tcBorders>
            <w:gridSpan w:val="2"/>
            <w:shd w:val="clear" w:color="auto" w:fill="D5EAEA"/>
          </w:tcPr>
          <w:p>
            <w:pPr>
              <w:spacing w:after="0" w:line="236" w:lineRule="exact"/>
              <w:rPr>
                <w:sz w:val="20"/>
                <w:szCs w:val="20"/>
                <w:color w:val="auto"/>
              </w:rPr>
            </w:pPr>
            <w:r>
              <w:rPr>
                <w:rFonts w:ascii="Arial" w:cs="Arial" w:eastAsia="Arial" w:hAnsi="Arial"/>
                <w:sz w:val="17"/>
                <w:szCs w:val="17"/>
                <w:color w:val="auto"/>
              </w:rPr>
              <w:t>Initial Shareholders</w:t>
            </w:r>
            <w:r>
              <w:rPr>
                <w:rFonts w:ascii="Arial" w:cs="Arial" w:eastAsia="Arial" w:hAnsi="Arial"/>
                <w:sz w:val="27"/>
                <w:szCs w:val="27"/>
                <w:color w:val="auto"/>
                <w:vertAlign w:val="superscript"/>
              </w:rPr>
              <w:t>(1)</w:t>
            </w:r>
          </w:p>
        </w:tc>
        <w:tc>
          <w:tcPr>
            <w:tcW w:w="15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6,250,000</w:t>
            </w:r>
          </w:p>
        </w:tc>
        <w:tc>
          <w:tcPr>
            <w:tcW w:w="100" w:type="dxa"/>
            <w:vAlign w:val="bottom"/>
            <w:tcBorders>
              <w:top w:val="single" w:sz="8" w:color="D5EAEA"/>
            </w:tcBorders>
            <w:shd w:val="clear" w:color="auto" w:fill="D5EAEA"/>
          </w:tcPr>
          <w:p>
            <w:pPr>
              <w:spacing w:after="0"/>
              <w:rPr>
                <w:sz w:val="20"/>
                <w:szCs w:val="20"/>
                <w:color w:val="auto"/>
              </w:rPr>
            </w:pPr>
          </w:p>
        </w:tc>
        <w:tc>
          <w:tcPr>
            <w:tcW w:w="16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D5EAEA"/>
            </w:tcBorders>
            <w:shd w:val="clear" w:color="auto" w:fill="D5EAEA"/>
          </w:tcPr>
          <w:p>
            <w:pPr>
              <w:spacing w:after="0"/>
              <w:rPr>
                <w:sz w:val="20"/>
                <w:szCs w:val="20"/>
                <w:color w:val="auto"/>
              </w:rPr>
            </w:pPr>
          </w:p>
        </w:tc>
        <w:tc>
          <w:tcPr>
            <w:tcW w:w="300" w:type="dxa"/>
            <w:vAlign w:val="bottom"/>
            <w:tcBorders>
              <w:top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D5EAEA"/>
            </w:tcBorders>
            <w:shd w:val="clear" w:color="auto" w:fill="D5EAEA"/>
          </w:tcPr>
          <w:p>
            <w:pPr>
              <w:spacing w:after="0"/>
              <w:rPr>
                <w:sz w:val="20"/>
                <w:szCs w:val="20"/>
                <w:color w:val="auto"/>
              </w:rPr>
            </w:pPr>
          </w:p>
        </w:tc>
        <w:tc>
          <w:tcPr>
            <w:tcW w:w="860" w:type="dxa"/>
            <w:vAlign w:val="bottom"/>
            <w:tcBorders>
              <w:top w:val="single" w:sz="8" w:color="auto"/>
            </w:tcBorders>
            <w:shd w:val="clear" w:color="auto" w:fill="D5EAEA"/>
          </w:tcPr>
          <w:p>
            <w:pPr>
              <w:spacing w:after="0"/>
              <w:rPr>
                <w:sz w:val="20"/>
                <w:szCs w:val="20"/>
                <w:color w:val="auto"/>
              </w:rPr>
            </w:pPr>
          </w:p>
        </w:tc>
        <w:tc>
          <w:tcPr>
            <w:tcW w:w="7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top w:val="single" w:sz="8" w:color="D5EAEA"/>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D5EAEA"/>
            </w:tcBorders>
            <w:shd w:val="clear" w:color="auto" w:fill="D5EAEA"/>
          </w:tcPr>
          <w:p>
            <w:pPr>
              <w:jc w:val="right"/>
              <w:ind w:right="10"/>
              <w:spacing w:after="0"/>
              <w:rPr>
                <w:sz w:val="20"/>
                <w:szCs w:val="20"/>
                <w:color w:val="auto"/>
              </w:rPr>
            </w:pPr>
            <w:r>
              <w:rPr>
                <w:rFonts w:ascii="Arial" w:cs="Arial" w:eastAsia="Arial" w:hAnsi="Arial"/>
                <w:sz w:val="18"/>
                <w:szCs w:val="18"/>
                <w:color w:val="auto"/>
              </w:rPr>
              <w:t>0.004</w:t>
            </w:r>
          </w:p>
        </w:tc>
      </w:tr>
      <w:tr>
        <w:trPr>
          <w:trHeight w:val="230"/>
        </w:trPr>
        <w:tc>
          <w:tcPr>
            <w:tcW w:w="2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Public Shareholders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c>
          <w:tcPr>
            <w:tcW w:w="100" w:type="dxa"/>
            <w:vAlign w:val="bottom"/>
            <w:tcBorders>
              <w:bottom w:val="single" w:sz="8" w:color="D5EAEA"/>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250,000,000</w:t>
            </w:r>
          </w:p>
        </w:tc>
        <w:tc>
          <w:tcPr>
            <w:tcW w:w="120" w:type="dxa"/>
            <w:vAlign w:val="bottom"/>
            <w:tcBorders>
              <w:bottom w:val="single" w:sz="8" w:color="D5EAEA"/>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D5EAE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r>
      <w:tr>
        <w:trPr>
          <w:trHeight w:val="223"/>
        </w:trPr>
        <w:tc>
          <w:tcPr>
            <w:tcW w:w="2300" w:type="dxa"/>
            <w:vAlign w:val="bottom"/>
            <w:tcBorders>
              <w:bottom w:val="single" w:sz="8" w:color="D5EAEA"/>
            </w:tcBorders>
            <w:shd w:val="clear" w:color="auto" w:fill="D5EAEA"/>
          </w:tcPr>
          <w:p>
            <w:pPr>
              <w:spacing w:after="0"/>
              <w:rPr>
                <w:sz w:val="19"/>
                <w:szCs w:val="19"/>
                <w:color w:val="auto"/>
              </w:rPr>
            </w:pPr>
          </w:p>
        </w:tc>
        <w:tc>
          <w:tcPr>
            <w:tcW w:w="680" w:type="dxa"/>
            <w:vAlign w:val="bottom"/>
            <w:tcBorders>
              <w:bottom w:val="single" w:sz="8" w:color="D5EAEA"/>
            </w:tcBorders>
            <w:shd w:val="clear" w:color="auto" w:fill="D5EAEA"/>
          </w:tcPr>
          <w:p>
            <w:pPr>
              <w:spacing w:after="0"/>
              <w:rPr>
                <w:sz w:val="19"/>
                <w:szCs w:val="19"/>
                <w:color w:val="auto"/>
              </w:rPr>
            </w:pP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31,250,000</w:t>
            </w:r>
          </w:p>
        </w:tc>
        <w:tc>
          <w:tcPr>
            <w:tcW w:w="100" w:type="dxa"/>
            <w:vAlign w:val="bottom"/>
            <w:tcBorders>
              <w:bottom w:val="single" w:sz="8" w:color="D5EAEA"/>
            </w:tcBorders>
            <w:shd w:val="clear" w:color="auto" w:fill="D5EAEA"/>
          </w:tcPr>
          <w:p>
            <w:pPr>
              <w:spacing w:after="0"/>
              <w:rPr>
                <w:sz w:val="19"/>
                <w:szCs w:val="19"/>
                <w:color w:val="auto"/>
              </w:rPr>
            </w:pPr>
          </w:p>
        </w:tc>
        <w:tc>
          <w:tcPr>
            <w:tcW w:w="16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250,025,000</w:t>
            </w:r>
          </w:p>
        </w:tc>
        <w:tc>
          <w:tcPr>
            <w:tcW w:w="120" w:type="dxa"/>
            <w:vAlign w:val="bottom"/>
            <w:tcBorders>
              <w:bottom w:val="single" w:sz="8" w:color="D5EAEA"/>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spacing w:after="0"/>
              <w:rPr>
                <w:sz w:val="19"/>
                <w:szCs w:val="19"/>
                <w:color w:val="auto"/>
              </w:rPr>
            </w:pPr>
          </w:p>
        </w:tc>
        <w:tc>
          <w:tcPr>
            <w:tcW w:w="7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auto"/>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5"/>
        </w:trPr>
        <w:tc>
          <w:tcPr>
            <w:tcW w:w="230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bl>
    <w:p>
      <w:pPr>
        <w:spacing w:after="0" w:line="53" w:lineRule="exact"/>
        <w:rPr>
          <w:sz w:val="20"/>
          <w:szCs w:val="20"/>
          <w:color w:val="auto"/>
        </w:rPr>
      </w:pPr>
    </w:p>
    <w:p>
      <w:pPr>
        <w:ind w:left="340" w:right="3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full forfeiture of 937,500 founder shares that are subject to forfeiture by our sponsor depending on the extent to which the underwriters’ over-allotment option is exercised.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net tangible book value per share after this offering is calculated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100" w:type="dxa"/>
            <w:vAlign w:val="bottom"/>
            <w:tcBorders>
              <w:top w:val="single" w:sz="8" w:color="0000EE"/>
            </w:tcBorders>
          </w:tcPr>
          <w:p>
            <w:pPr>
              <w:spacing w:after="0"/>
              <w:rPr>
                <w:sz w:val="24"/>
                <w:szCs w:val="24"/>
                <w:color w:val="auto"/>
              </w:rPr>
            </w:pPr>
          </w:p>
        </w:tc>
        <w:tc>
          <w:tcPr>
            <w:tcW w:w="4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Without Over-</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D5EAEA"/>
            </w:tcBorders>
          </w:tcPr>
          <w:p>
            <w:pPr>
              <w:spacing w:after="0"/>
              <w:rPr>
                <w:sz w:val="20"/>
                <w:szCs w:val="20"/>
                <w:color w:val="auto"/>
              </w:rPr>
            </w:pPr>
          </w:p>
        </w:tc>
        <w:tc>
          <w:tcPr>
            <w:tcW w:w="4400" w:type="dxa"/>
            <w:vAlign w:val="bottom"/>
            <w:tcBorders>
              <w:bottom w:val="single" w:sz="8" w:color="D5EAEA"/>
            </w:tcBorders>
          </w:tcPr>
          <w:p>
            <w:pPr>
              <w:spacing w:after="0"/>
              <w:rPr>
                <w:sz w:val="20"/>
                <w:szCs w:val="20"/>
                <w:color w:val="auto"/>
              </w:rPr>
            </w:pPr>
          </w:p>
        </w:tc>
        <w:tc>
          <w:tcPr>
            <w:tcW w:w="262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allotment</w:t>
            </w:r>
          </w:p>
        </w:tc>
        <w:tc>
          <w:tcPr>
            <w:tcW w:w="10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Numerator:</w:t>
            </w:r>
          </w:p>
        </w:tc>
        <w:tc>
          <w:tcPr>
            <w:tcW w:w="26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Net tangible book deficit before this offering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Net proceeds from this offering and sale of the private placement warrants</w:t>
            </w:r>
          </w:p>
        </w:tc>
        <w:tc>
          <w:tcPr>
            <w:tcW w:w="26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251,000,000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288,500,000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Less: Deferred underwriting commissions</w:t>
            </w:r>
          </w:p>
        </w:tc>
        <w:tc>
          <w:tcPr>
            <w:tcW w:w="26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Proceeds held in trust subject to redemption</w:t>
            </w:r>
          </w:p>
        </w:tc>
        <w:tc>
          <w:tcPr>
            <w:tcW w:w="2620" w:type="dxa"/>
            <w:vAlign w:val="bottom"/>
            <w:tcBorders>
              <w:bottom w:val="single" w:sz="8" w:color="D5EAE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(237,269,990)</w:t>
            </w: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(273,457,490)</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D5EAEA"/>
            </w:tcBorders>
            <w:shd w:val="clear" w:color="auto" w:fill="D5EAEA"/>
          </w:tcPr>
          <w:p>
            <w:pPr>
              <w:spacing w:after="0"/>
              <w:rPr>
                <w:sz w:val="19"/>
                <w:szCs w:val="19"/>
                <w:color w:val="auto"/>
              </w:rPr>
            </w:pPr>
          </w:p>
        </w:tc>
        <w:tc>
          <w:tcPr>
            <w:tcW w:w="4400" w:type="dxa"/>
            <w:vAlign w:val="bottom"/>
            <w:tcBorders>
              <w:bottom w:val="single" w:sz="8" w:color="D5EAEA"/>
            </w:tcBorders>
            <w:shd w:val="clear" w:color="auto" w:fill="D5EAEA"/>
          </w:tcPr>
          <w:p>
            <w:pPr>
              <w:spacing w:after="0"/>
              <w:rPr>
                <w:sz w:val="19"/>
                <w:szCs w:val="19"/>
                <w:color w:val="auto"/>
              </w:rPr>
            </w:pPr>
          </w:p>
        </w:tc>
        <w:tc>
          <w:tcPr>
            <w:tcW w:w="2620" w:type="dxa"/>
            <w:vAlign w:val="bottom"/>
            <w:tcBorders>
              <w:bottom w:val="single" w:sz="8" w:color="D5EAEA"/>
            </w:tcBorders>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auto"/>
            </w:tcBorders>
            <w:shd w:val="clear" w:color="auto" w:fill="D5EAEA"/>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B ordinary shares outstanding prior to this offering</w:t>
            </w:r>
          </w:p>
        </w:tc>
        <w:tc>
          <w:tcPr>
            <w:tcW w:w="26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7,187,500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Class B ordinary shares forfeited if over-allotment is not exercised</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A ordinary shares included in the units offered</w:t>
            </w:r>
          </w:p>
        </w:tc>
        <w:tc>
          <w:tcPr>
            <w:tcW w:w="262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Ordinary shares subject to redemption/tender</w:t>
            </w:r>
          </w:p>
        </w:tc>
        <w:tc>
          <w:tcPr>
            <w:tcW w:w="2620" w:type="dxa"/>
            <w:vAlign w:val="bottom"/>
            <w:tcBorders>
              <w:bottom w:val="single" w:sz="8" w:color="D5EAE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w:t>
            </w: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D5EAEA"/>
            </w:tcBorders>
            <w:shd w:val="clear" w:color="auto" w:fill="D5EAEA"/>
          </w:tcPr>
          <w:p>
            <w:pPr>
              <w:spacing w:after="0"/>
              <w:rPr>
                <w:sz w:val="19"/>
                <w:szCs w:val="19"/>
                <w:color w:val="auto"/>
              </w:rPr>
            </w:pPr>
          </w:p>
        </w:tc>
        <w:tc>
          <w:tcPr>
            <w:tcW w:w="4400" w:type="dxa"/>
            <w:vAlign w:val="bottom"/>
            <w:tcBorders>
              <w:bottom w:val="single" w:sz="8" w:color="D5EAEA"/>
            </w:tcBorders>
            <w:shd w:val="clear" w:color="auto" w:fill="D5EAEA"/>
          </w:tcPr>
          <w:p>
            <w:pPr>
              <w:spacing w:after="0"/>
              <w:rPr>
                <w:sz w:val="19"/>
                <w:szCs w:val="19"/>
                <w:color w:val="auto"/>
              </w:rPr>
            </w:pPr>
          </w:p>
        </w:tc>
        <w:tc>
          <w:tcPr>
            <w:tcW w:w="2620" w:type="dxa"/>
            <w:vAlign w:val="bottom"/>
            <w:tcBorders>
              <w:bottom w:val="single" w:sz="8" w:color="D5EAEA"/>
            </w:tcBorders>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14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7,523,001</w:t>
            </w:r>
          </w:p>
        </w:tc>
        <w:tc>
          <w:tcPr>
            <w:tcW w:w="10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auto"/>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8,591,751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20" w:type="dxa"/>
            <w:vAlign w:val="bottom"/>
            <w:vMerge w:val="restart"/>
          </w:tcPr>
          <w:p>
            <w:pPr>
              <w:jc w:val="right"/>
              <w:ind w:right="2230"/>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1"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capitalization at June 11, 2019, and as adjusted to give effect to the sale of our 25,000,000 units in this offering for</w:t>
      </w:r>
    </w:p>
    <w:p>
      <w:pPr>
        <w:spacing w:after="0" w:line="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$250,000,000 (or $10.00 per unit) and the sale of 7,000,000 private placement warrants for $7,000,000 (or $1.00 per warrant) and the application of the estimated net proceeds derived from the sale of such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June 11, 2019</w:t>
            </w:r>
          </w:p>
        </w:tc>
      </w:tr>
      <w:tr>
        <w:trPr>
          <w:trHeight w:val="223"/>
        </w:trPr>
        <w:tc>
          <w:tcPr>
            <w:tcW w:w="2300" w:type="dxa"/>
            <w:vAlign w:val="bottom"/>
            <w:tcBorders>
              <w:bottom w:val="single" w:sz="8" w:color="D5EAEA"/>
            </w:tcBorders>
          </w:tcPr>
          <w:p>
            <w:pPr>
              <w:spacing w:after="0"/>
              <w:rPr>
                <w:sz w:val="19"/>
                <w:szCs w:val="19"/>
                <w:color w:val="auto"/>
              </w:rPr>
            </w:pPr>
          </w:p>
        </w:tc>
        <w:tc>
          <w:tcPr>
            <w:tcW w:w="1980" w:type="dxa"/>
            <w:vAlign w:val="bottom"/>
            <w:tcBorders>
              <w:bottom w:val="single" w:sz="8" w:color="D5EAEA"/>
            </w:tcBorders>
          </w:tcPr>
          <w:p>
            <w:pPr>
              <w:spacing w:after="0"/>
              <w:rPr>
                <w:sz w:val="19"/>
                <w:szCs w:val="19"/>
                <w:color w:val="auto"/>
              </w:rPr>
            </w:pPr>
          </w:p>
        </w:tc>
        <w:tc>
          <w:tcPr>
            <w:tcW w:w="3760" w:type="dxa"/>
            <w:vAlign w:val="bottom"/>
            <w:tcBorders>
              <w:bottom w:val="single" w:sz="8" w:color="D5EAEA"/>
            </w:tcBorders>
          </w:tcPr>
          <w:p>
            <w:pPr>
              <w:spacing w:after="0"/>
              <w:rPr>
                <w:sz w:val="19"/>
                <w:szCs w:val="19"/>
                <w:color w:val="auto"/>
              </w:rPr>
            </w:pPr>
          </w:p>
        </w:tc>
        <w:tc>
          <w:tcPr>
            <w:tcW w:w="8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As Adjusted(2)</w:t>
            </w:r>
          </w:p>
        </w:tc>
      </w:tr>
      <w:tr>
        <w:trPr>
          <w:trHeight w:val="210"/>
        </w:trPr>
        <w:tc>
          <w:tcPr>
            <w:tcW w:w="80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Note payable to related party(1)</w:t>
            </w:r>
          </w:p>
        </w:tc>
        <w:tc>
          <w:tcPr>
            <w:tcW w:w="80" w:type="dxa"/>
            <w:vAlign w:val="bottom"/>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4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Deferred underwriting commissions</w:t>
            </w:r>
          </w:p>
        </w:tc>
        <w:tc>
          <w:tcPr>
            <w:tcW w:w="80" w:type="dxa"/>
            <w:vAlign w:val="bottom"/>
            <w:tcBorders>
              <w:bottom w:val="single" w:sz="8" w:color="D5EAEA"/>
            </w:tcBorders>
          </w:tcPr>
          <w:p>
            <w:pPr>
              <w:spacing w:after="0"/>
              <w:rPr>
                <w:sz w:val="18"/>
                <w:szCs w:val="18"/>
                <w:color w:val="auto"/>
              </w:rPr>
            </w:pPr>
          </w:p>
        </w:tc>
        <w:tc>
          <w:tcPr>
            <w:tcW w:w="320" w:type="dxa"/>
            <w:vAlign w:val="bottom"/>
            <w:tcBorders>
              <w:bottom w:val="single" w:sz="8" w:color="D5EAEA"/>
            </w:tcBorders>
          </w:tcPr>
          <w:p>
            <w:pPr>
              <w:spacing w:after="0"/>
              <w:rPr>
                <w:sz w:val="18"/>
                <w:szCs w:val="18"/>
                <w:color w:val="auto"/>
              </w:rPr>
            </w:pPr>
          </w:p>
        </w:tc>
        <w:tc>
          <w:tcPr>
            <w:tcW w:w="1300" w:type="dxa"/>
            <w:vAlign w:val="bottom"/>
            <w:tcBorders>
              <w:bottom w:val="single" w:sz="8" w:color="D5EAEA"/>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8,750,000</w:t>
            </w:r>
          </w:p>
        </w:tc>
      </w:tr>
      <w:tr>
        <w:trPr>
          <w:trHeight w:val="210"/>
        </w:trPr>
        <w:tc>
          <w:tcPr>
            <w:tcW w:w="8040" w:type="dxa"/>
            <w:vAlign w:val="bottom"/>
            <w:gridSpan w:val="3"/>
            <w:shd w:val="clear" w:color="auto" w:fill="D5EAEA"/>
          </w:tcPr>
          <w:p>
            <w:pPr>
              <w:spacing w:after="0"/>
              <w:rPr>
                <w:sz w:val="20"/>
                <w:szCs w:val="20"/>
                <w:color w:val="auto"/>
              </w:rPr>
            </w:pPr>
            <w:r>
              <w:rPr>
                <w:rFonts w:ascii="Arial" w:cs="Arial" w:eastAsia="Arial" w:hAnsi="Arial"/>
                <w:sz w:val="18"/>
                <w:szCs w:val="18"/>
                <w:color w:val="auto"/>
                <w:w w:val="97"/>
              </w:rPr>
              <w:t>Class A ordinary shares, subject to redemption; -0- shares actual and 23,726,999 shares as adjusted(3)</w:t>
            </w:r>
          </w:p>
        </w:tc>
        <w:tc>
          <w:tcPr>
            <w:tcW w:w="8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0" w:type="dxa"/>
            <w:vAlign w:val="bottom"/>
            <w:tcBorders>
              <w:bottom w:val="single" w:sz="8" w:color="auto"/>
            </w:tcBorders>
            <w:shd w:val="clear" w:color="auto" w:fill="D5EAEA"/>
          </w:tcPr>
          <w:p>
            <w:pPr>
              <w:spacing w:after="0"/>
              <w:rPr>
                <w:sz w:val="18"/>
                <w:szCs w:val="18"/>
                <w:color w:val="auto"/>
              </w:rPr>
            </w:pPr>
          </w:p>
        </w:tc>
        <w:tc>
          <w:tcPr>
            <w:tcW w:w="14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237,269,990</w:t>
            </w:r>
          </w:p>
        </w:tc>
      </w:tr>
      <w:tr>
        <w:trPr>
          <w:trHeight w:val="210"/>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804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0"/>
              </w:rPr>
              <w:t>Preferred shares, $0.0001 par value, 1,000,000 shares authorized; none issued and outstanding, actual and as</w:t>
            </w:r>
          </w:p>
        </w:tc>
        <w:tc>
          <w:tcPr>
            <w:tcW w:w="8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0" w:type="dxa"/>
            <w:vAlign w:val="bottom"/>
            <w:shd w:val="clear" w:color="auto" w:fill="D5EAEA"/>
          </w:tcPr>
          <w:p>
            <w:pPr>
              <w:spacing w:after="0"/>
              <w:rPr>
                <w:sz w:val="17"/>
                <w:szCs w:val="17"/>
                <w:color w:val="auto"/>
              </w:rPr>
            </w:pPr>
          </w:p>
        </w:tc>
        <w:tc>
          <w:tcPr>
            <w:tcW w:w="1420" w:type="dxa"/>
            <w:vAlign w:val="bottom"/>
            <w:shd w:val="clear" w:color="auto" w:fill="D5EAEA"/>
          </w:tcPr>
          <w:p>
            <w:pPr>
              <w:spacing w:after="0"/>
              <w:rPr>
                <w:sz w:val="17"/>
                <w:szCs w:val="17"/>
                <w:color w:val="auto"/>
              </w:rPr>
            </w:pPr>
          </w:p>
        </w:tc>
      </w:tr>
      <w:tr>
        <w:trPr>
          <w:trHeight w:val="230"/>
        </w:trPr>
        <w:tc>
          <w:tcPr>
            <w:tcW w:w="80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adjusted</w:t>
            </w:r>
          </w:p>
        </w:tc>
        <w:tc>
          <w:tcPr>
            <w:tcW w:w="80" w:type="dxa"/>
            <w:vAlign w:val="bottom"/>
            <w:shd w:val="clear" w:color="auto" w:fill="D5EAEA"/>
          </w:tcPr>
          <w:p>
            <w:pPr>
              <w:spacing w:after="0"/>
              <w:rPr>
                <w:sz w:val="20"/>
                <w:szCs w:val="20"/>
                <w:color w:val="auto"/>
              </w:rPr>
            </w:pPr>
          </w:p>
        </w:tc>
        <w:tc>
          <w:tcPr>
            <w:tcW w:w="320" w:type="dxa"/>
            <w:vAlign w:val="bottom"/>
            <w:shd w:val="clear" w:color="auto" w:fill="D5EAEA"/>
          </w:tcPr>
          <w:p>
            <w:pPr>
              <w:spacing w:after="0"/>
              <w:rPr>
                <w:sz w:val="20"/>
                <w:szCs w:val="20"/>
                <w:color w:val="auto"/>
              </w:rPr>
            </w:pPr>
          </w:p>
        </w:tc>
        <w:tc>
          <w:tcPr>
            <w:tcW w:w="13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0"/>
                <w:szCs w:val="20"/>
                <w:color w:val="auto"/>
              </w:rPr>
            </w:pPr>
          </w:p>
        </w:tc>
        <w:tc>
          <w:tcPr>
            <w:tcW w:w="160" w:type="dxa"/>
            <w:vAlign w:val="bottom"/>
            <w:shd w:val="clear" w:color="auto" w:fill="D5EAEA"/>
          </w:tcPr>
          <w:p>
            <w:pPr>
              <w:spacing w:after="0"/>
              <w:rPr>
                <w:sz w:val="20"/>
                <w:szCs w:val="20"/>
                <w:color w:val="auto"/>
              </w:rPr>
            </w:pP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40" w:type="dxa"/>
            <w:vAlign w:val="bottom"/>
            <w:gridSpan w:val="3"/>
          </w:tcPr>
          <w:p>
            <w:pPr>
              <w:spacing w:after="0" w:line="201" w:lineRule="exact"/>
              <w:rPr>
                <w:sz w:val="20"/>
                <w:szCs w:val="20"/>
                <w:color w:val="auto"/>
              </w:rPr>
            </w:pPr>
            <w:r>
              <w:rPr>
                <w:rFonts w:ascii="Arial" w:cs="Arial" w:eastAsia="Arial" w:hAnsi="Arial"/>
                <w:sz w:val="18"/>
                <w:szCs w:val="18"/>
                <w:color w:val="auto"/>
                <w:w w:val="90"/>
              </w:rPr>
              <w:t>Class A ordinary shares, $0.0001 par value, 200,000,000 shares authorized; no shares issued and outstanding,</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w w:val="90"/>
              </w:rPr>
              <w:t>actual; 1,273,001 shares issued and outstanding (excluding 23,726,999 shares subject to possible redemption),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as adjusted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02"/>
        </w:trPr>
        <w:tc>
          <w:tcPr>
            <w:tcW w:w="804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2"/>
              </w:rPr>
              <w:t>Class B ordinary shares, $0.0001 par value; 20,000,000 shares authorized; 7,187,500 and 6,250,000 shares</w:t>
            </w:r>
          </w:p>
        </w:tc>
        <w:tc>
          <w:tcPr>
            <w:tcW w:w="8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0" w:type="dxa"/>
            <w:vAlign w:val="bottom"/>
            <w:shd w:val="clear" w:color="auto" w:fill="D5EAEA"/>
          </w:tcPr>
          <w:p>
            <w:pPr>
              <w:spacing w:after="0"/>
              <w:rPr>
                <w:sz w:val="17"/>
                <w:szCs w:val="17"/>
                <w:color w:val="auto"/>
              </w:rPr>
            </w:pPr>
          </w:p>
        </w:tc>
        <w:tc>
          <w:tcPr>
            <w:tcW w:w="1420" w:type="dxa"/>
            <w:vAlign w:val="bottom"/>
            <w:shd w:val="clear" w:color="auto" w:fill="D5EAEA"/>
          </w:tcPr>
          <w:p>
            <w:pPr>
              <w:spacing w:after="0"/>
              <w:rPr>
                <w:sz w:val="17"/>
                <w:szCs w:val="17"/>
                <w:color w:val="auto"/>
              </w:rPr>
            </w:pPr>
          </w:p>
        </w:tc>
      </w:tr>
      <w:tr>
        <w:trPr>
          <w:trHeight w:val="230"/>
        </w:trPr>
        <w:tc>
          <w:tcPr>
            <w:tcW w:w="80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issued and outstanding, actual and as adjusted, respectively(4)</w:t>
            </w:r>
          </w:p>
        </w:tc>
        <w:tc>
          <w:tcPr>
            <w:tcW w:w="80" w:type="dxa"/>
            <w:vAlign w:val="bottom"/>
            <w:shd w:val="clear" w:color="auto" w:fill="D5EAEA"/>
          </w:tcPr>
          <w:p>
            <w:pPr>
              <w:spacing w:after="0"/>
              <w:rPr>
                <w:sz w:val="20"/>
                <w:szCs w:val="20"/>
                <w:color w:val="auto"/>
              </w:rPr>
            </w:pPr>
          </w:p>
        </w:tc>
        <w:tc>
          <w:tcPr>
            <w:tcW w:w="320" w:type="dxa"/>
            <w:vAlign w:val="bottom"/>
            <w:shd w:val="clear" w:color="auto" w:fill="D5EAEA"/>
          </w:tcPr>
          <w:p>
            <w:pPr>
              <w:spacing w:after="0"/>
              <w:rPr>
                <w:sz w:val="20"/>
                <w:szCs w:val="20"/>
                <w:color w:val="auto"/>
              </w:rPr>
            </w:pPr>
          </w:p>
        </w:tc>
        <w:tc>
          <w:tcPr>
            <w:tcW w:w="13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D5EAEA"/>
          </w:tcPr>
          <w:p>
            <w:pPr>
              <w:spacing w:after="0"/>
              <w:rPr>
                <w:sz w:val="20"/>
                <w:szCs w:val="20"/>
                <w:color w:val="auto"/>
              </w:rPr>
            </w:pPr>
          </w:p>
        </w:tc>
        <w:tc>
          <w:tcPr>
            <w:tcW w:w="160" w:type="dxa"/>
            <w:vAlign w:val="bottom"/>
            <w:shd w:val="clear" w:color="auto" w:fill="D5EAEA"/>
          </w:tcPr>
          <w:p>
            <w:pPr>
              <w:spacing w:after="0"/>
              <w:rPr>
                <w:sz w:val="20"/>
                <w:szCs w:val="20"/>
                <w:color w:val="auto"/>
              </w:rPr>
            </w:pP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625</w:t>
            </w: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Additional paid-in capital(5)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5,004,258</w:t>
            </w:r>
          </w:p>
        </w:tc>
      </w:tr>
      <w:tr>
        <w:trPr>
          <w:trHeight w:val="230"/>
        </w:trPr>
        <w:tc>
          <w:tcPr>
            <w:tcW w:w="80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13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4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804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5,000,010</w:t>
            </w:r>
          </w:p>
        </w:tc>
      </w:tr>
      <w:tr>
        <w:trPr>
          <w:trHeight w:val="223"/>
        </w:trPr>
        <w:tc>
          <w:tcPr>
            <w:tcW w:w="804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Borders>
              <w:bottom w:val="single" w:sz="8" w:color="D5EAEA"/>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D5EAEA"/>
            </w:tcBorders>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251,020,000</w:t>
            </w:r>
          </w:p>
        </w:tc>
      </w:tr>
      <w:tr>
        <w:trPr>
          <w:trHeight w:val="20"/>
        </w:trPr>
        <w:tc>
          <w:tcPr>
            <w:tcW w:w="2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
        </w:trPr>
        <w:tc>
          <w:tcPr>
            <w:tcW w:w="23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53" w:lineRule="exact"/>
        <w:rPr>
          <w:sz w:val="20"/>
          <w:szCs w:val="20"/>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w:t>
      </w:r>
    </w:p>
    <w:p>
      <w:pPr>
        <w:spacing w:after="0" w:line="146" w:lineRule="exact"/>
        <w:rPr>
          <w:rFonts w:ascii="Arial" w:cs="Arial" w:eastAsia="Arial" w:hAnsi="Arial"/>
          <w:sz w:val="17"/>
          <w:szCs w:val="17"/>
          <w:color w:val="auto"/>
        </w:rPr>
      </w:pPr>
    </w:p>
    <w:p>
      <w:pPr>
        <w:jc w:val="both"/>
        <w:ind w:left="340" w:right="540" w:hanging="332"/>
        <w:spacing w:after="0" w:line="286"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Assumes the full forfeiture of 937,500 shares that are subject to forfeiture by our sponsor depending on the extent to which the underwriters’ over-allotment option is exercised. The proceeds of the sale of such shares will not be deposited into the trust account, the shares will not be eligible for redemption from the trust account nor will they be eligible to vote upon the initial business combination.</w:t>
      </w:r>
    </w:p>
    <w:p>
      <w:pPr>
        <w:spacing w:after="0" w:line="165" w:lineRule="exact"/>
        <w:rPr>
          <w:rFonts w:ascii="Arial" w:cs="Arial" w:eastAsia="Arial" w:hAnsi="Arial"/>
          <w:sz w:val="17"/>
          <w:szCs w:val="17"/>
          <w:color w:val="auto"/>
        </w:rPr>
      </w:pPr>
    </w:p>
    <w:p>
      <w:pPr>
        <w:ind w:left="340" w:right="60" w:hanging="332"/>
        <w:spacing w:after="0" w:line="289"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completion of our initial business combination, we will provide our public shareholders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taxes payable), subject to the limitations described herein whereby our net tangible assets, after payment of the deferred underwriting commission, will be maintained at a minimum of $5,000,001 upon our initial business combination and any limitations (including, but not limited to, cash requirements) created by the terms of the proposed business combination. The “as adjusted” amount of Class A ordinary shares, subject to redemption equals the “as adjusted” total assets of $251,020,000, less the “as adjusted” total liabilities of $8,750,000, less the “as adjusted” total shareholder’s equity. The value of Class A ordinary shares that may be redeemed is equal to $10.00 per share (which is the assumed redemption price) multiplied by 23,726,999 Class A ordinary shares, which is the maximum number of Class A ordinary shares that may be redeemed for a $10.00 purchase price per share and still maintain at least $5,000,001 of net tangible assets.</w:t>
      </w:r>
    </w:p>
    <w:p>
      <w:pPr>
        <w:spacing w:after="0" w:line="166"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as adjusted share amount assumes no exercise of the underwriters’ over-allotment option.</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shareholder’s equity of $5,000,010, minus Class A and Class B ordinary shares (par value) of $752, minus the accumulated deficit of $(5,000).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warrants, our shares, debt or a combination of cash, shares and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225" w:lineRule="exact"/>
        <w:rPr>
          <w:sz w:val="20"/>
          <w:szCs w:val="20"/>
          <w:color w:val="auto"/>
        </w:rPr>
      </w:pPr>
    </w:p>
    <w:p>
      <w:pPr>
        <w:ind w:left="66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74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indicated in the accompanying financial statements, at June 11, 2019, we had deferred offering costs of approximately $32,500. Further, we expect to continue to incur significant costs in the pursuit of our acquisition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our plans to raise capital or to complete our initial business combination will be successful.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liquidity needs have been satisfied prior to the completion of this offering from the availability of up to $250,000 in loans from our sponsor under an unsecured promissory note. As of June 11, 2019, we have borrowed $12,500 under the promissory note.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(1) the sale of the units in this offering, after deducting offering expenses of approximately $1,000,000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underwriting commissions of $5,000,000 ($5,750,000 if the underwriters’ over-allotment option is exercised in full) (excluding deferred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of $8,750,000 (or up to $10,062,500 if the underwriters’ over-allotment option is exercised in full)), and (2) the sale of the private placement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for a purchase price of $7,000,000 (or $7,750,000 if the underwriters’ over-allotment option is exercised in full), will be $251,000,000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$288,500,000 if the underwriters’ over-allotment option is exercised in full). Of this amount, $250,000,000 or $287,500,000 if the underwriters’ over-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allotment option is exercised in full, including $8,750,000 (or up to $10,062,500 if the underwriters’ over-allotment option is exercised in full) in deferred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will be deposited into the trust account. The funds in the trust account will be invested only in U.S. government treasury bills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maturity of 180 days or less or in money market funds investing solely in U.S. Treasuries. The remaining $1,000,000 will not be held in the trust account.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that our offering expenses exceed our estimate of $1,000,000 we may fund such excess with funds not to be held in the trust account. In such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funds we intend to be held outside the trust account would decrease by a corresponding amount. Conversely, in the event that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are less than our estimate of $1,000,000, the amount of funds we intend to be held outside the trust account would increase by a corresponding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our primary liquidity requirements during that period to include approximately $ for legal, accounting, due diligence, travel and other expenses in connection with any business combinations; $ for legal and accounting fees related to regulatory reporting requirements; $75,000 for Nasdaq continued listing fees; $ for independent director compensation; $ as a reserve for liquidation expenses and approximately $ for general working capital that will be used for miscellaneous expenses and reserves net of estimated interest income.</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2020. Only in the event that we are deemed to be a large accelerated filer or an accelerated filer, and no longer qualify as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Prior to the closing of this offering, we have not completed an assessment, nor have our auditors tested our systems, of internal controls. We expect to assess the internal controls of our target business or businesses prior to the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net proceeds of this offering and the sale of the private placement warrants held in the trust account will be invested in U.S. government treasury bills with a maturity of 180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Our initial shareholders will collectively own 20% of our issued and outstanding shares after this offering (assuming our initial shareholders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sponsor has committed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our sponsor or its permitted transferees for cash or on a cashless basis and our sponsor and its permitted transferees will also have certain registration rights related to the private placement warrants, as described below. Otherwise, the private placement warrants have terms and provisions that are identical to those of the warrants being sold as part of the units in this offering.</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a registration rights agreement that we will enter into with our initial shareholders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We will bear the costs and expenses of filing any such registration statements. See “Principal Shareholders—Registration Rights.”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June 11, 2019, we did not have any off-balance sheet arrangements as defined in Item 303(a)(4)(ii) of Regulation S-K and did not have any commitments or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8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24 months, we believe that legislative activity in certain jurisdictions will further broaden our opportunity set for eligible acquisitions.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order to succeed under the new legislative and regulatory frameworks, we believe that businesses will need strong management teams with deep operational expertise and financial acumen.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in cannabis to build a strong business with competitive advantages to emerge as a leading public company in the space.</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that will provide operating, technical, regulatory and legal expertise in cannabis to assist a target business access the public markets.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73"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660" w:right="800" w:hanging="328"/>
        <w:spacing w:after="0" w:line="28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61" w:lineRule="exact"/>
        <w:rPr>
          <w:rFonts w:ascii="Arial" w:cs="Arial" w:eastAsia="Arial" w:hAnsi="Arial"/>
          <w:sz w:val="18"/>
          <w:szCs w:val="18"/>
          <w:color w:val="auto"/>
        </w:rPr>
      </w:pPr>
    </w:p>
    <w:p>
      <w:pPr>
        <w:ind w:left="660" w:right="480" w:hanging="328"/>
        <w:spacing w:after="0" w:line="28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660" w:right="520" w:hanging="328"/>
        <w:spacing w:after="0" w:line="26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6" w:lineRule="exact"/>
        <w:rPr>
          <w:rFonts w:ascii="Arial" w:cs="Arial" w:eastAsia="Arial" w:hAnsi="Arial"/>
          <w:sz w:val="18"/>
          <w:szCs w:val="18"/>
          <w:color w:val="auto"/>
        </w:rPr>
      </w:pPr>
    </w:p>
    <w:p>
      <w:pPr>
        <w:ind w:left="660" w:right="620" w:hanging="328"/>
        <w:spacing w:after="0" w:line="31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8"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180" w:lineRule="exact"/>
        <w:rPr>
          <w:rFonts w:ascii="Arial" w:cs="Arial" w:eastAsia="Arial" w:hAnsi="Arial"/>
          <w:sz w:val="18"/>
          <w:szCs w:val="18"/>
          <w:color w:val="auto"/>
        </w:rPr>
      </w:pPr>
    </w:p>
    <w:p>
      <w:pPr>
        <w:ind w:left="660" w:right="40" w:hanging="328"/>
        <w:spacing w:after="0" w:line="31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may benefit from capital markets access. </w:t>
      </w:r>
      <w:r>
        <w:rPr>
          <w:rFonts w:ascii="Arial" w:cs="Arial" w:eastAsia="Arial" w:hAnsi="Arial"/>
          <w:sz w:val="17"/>
          <w:szCs w:val="17"/>
          <w:color w:val="auto"/>
        </w:rPr>
        <w:t>We intend to seek a target that may benefit from being, or has the potential to become, a public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an increased public profile, enhanced corporate governance and increased access to a more diversified pool of capital; and</w:t>
      </w:r>
    </w:p>
    <w:p>
      <w:pPr>
        <w:spacing w:after="0" w:line="138" w:lineRule="exact"/>
        <w:rPr>
          <w:rFonts w:ascii="Arial" w:cs="Arial" w:eastAsia="Arial" w:hAnsi="Arial"/>
          <w:sz w:val="17"/>
          <w:szCs w:val="17"/>
          <w:color w:val="auto"/>
        </w:rPr>
      </w:pPr>
    </w:p>
    <w:p>
      <w:pPr>
        <w:ind w:left="660" w:right="160" w:hanging="328"/>
        <w:spacing w:after="0" w:line="28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 marketplace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analysis and due diligence review.</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Cayman Islands exempted company incorporated on June 7, 2019. Our executive offices are located at 1114 6th Ave, 41st Floor New York, New York, 10036 and our telephone number is (212) 905-4923.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incurred in marketing, road show and public reporting efforts that may not be present to the same extent in connection with a business combination with us.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With funds available for a business combination initially in the amount of $241,250,000 assuming no redemptions and after payment of $8,750,000 of deferred underwriting fees (or $277,437,500 assuming no redemptions and after payment of up to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71" w:lineRule="exact"/>
        <w:rPr>
          <w:sz w:val="20"/>
          <w:szCs w:val="20"/>
          <w:color w:val="auto"/>
        </w:rPr>
      </w:pPr>
    </w:p>
    <w:p>
      <w:pPr>
        <w:ind w:left="660" w:right="6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 Nasdaq’s listing rules, shareholder approval would be required for our initial business combination if, for example:</w:t>
      </w:r>
    </w:p>
    <w:p>
      <w:pPr>
        <w:spacing w:after="0" w:line="225" w:lineRule="exact"/>
        <w:rPr>
          <w:sz w:val="20"/>
          <w:szCs w:val="20"/>
          <w:color w:val="auto"/>
        </w:rPr>
      </w:pPr>
    </w:p>
    <w:p>
      <w:pPr>
        <w:ind w:left="660" w:right="3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shares or voting power of our ordinary shares then issued and outstanding (other than in a public offering);</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Companies Law and Cayman Islands law do not currently require, and we are not aware of any other applicable law that will require, shareholder approval of our initial business combination.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147"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combination or redeem any shares in connection therewith, and all public shares submitted for redemption will be returned to the holders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3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If we file a winding-up or bankruptcy petition or an involuntary winding-up or bankruptcy petition is filed against us that is not dismissed, the proceeds held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trust account could be subject to applicable insolvency law, and may be included in our insolvency estate and subject to the claims of third parties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priority over the claims of our shareholders. To the extent any insolvency claims deplete the trust account, we cannot assure you we will be able to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to our public shareholders. Additionally, if we file a winding-up or bankruptcy petition or an involuntary winding-up or bankruptcy 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filed against us that is not dismissed, any distributions received by shareholders could be viewed under applicable debtor/creditor and/or insolvency laws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voidable performance. As a result, a bankruptcy court could seek to recover some or all amounts received by our shareholders. Furthermore, our board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viewed as having breached its fiduciary duty to our creditors and/or may have acted in bad faith, and thereby exposing itself and our company to claims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punitive damages, by paying public shareholders from the trust account prior to addressing the claims of creditors. We cannot assure you that claims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brought against us for these reasons.</w:t>
      </w:r>
    </w:p>
    <w:p>
      <w:pPr>
        <w:spacing w:after="0" w:line="21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memorandum and articles of association will contain certain requirements and restrictions relating to this offering that will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we will provide public shareholders with the opportunity to redeem their public shares in connection with any such amendment. Specifically, our amended and restated memorandum and articles of association will provide, among other things, that:</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line="272"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77"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from the closing of this offering, then our existence will terminate and we will distribute all amounts in the trust account; and</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provisions cannot be amended without the approval of holders of at least two-thirds of our ordinary shares. In the event we seek shareholder approval in connection with our initial business combination, our amended and restated memorandum and articles of association will provide that we may consummate our initial business combination only if approved by a majority of the ordinary shares voted by our shareholders at a duly held shareholders meeting.</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Additionally, our amended and restated memorandum and articles of association provides that, prior to our initial business combination, only holders of our founder shares will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7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400"/>
          </w:cols>
          <w:pgMar w:left="240" w:top="225" w:right="259" w:bottom="1440" w:gutter="0" w:footer="0" w:header="0"/>
        </w:sectPr>
      </w:pP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Redemptions in Connection with</w:t>
            </w:r>
          </w:p>
        </w:tc>
        <w:tc>
          <w:tcPr>
            <w:tcW w:w="4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r>
      <w:tr>
        <w:trPr>
          <w:trHeight w:val="234"/>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our Initial Business Combination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r>
      <w:tr>
        <w:trPr>
          <w:trHeight w:val="276"/>
        </w:trPr>
        <w:tc>
          <w:tcPr>
            <w:tcW w:w="2660" w:type="dxa"/>
            <w:vAlign w:val="bottom"/>
          </w:tcPr>
          <w:p>
            <w:pPr>
              <w:spacing w:after="0"/>
              <w:rPr>
                <w:sz w:val="20"/>
                <w:szCs w:val="20"/>
                <w:color w:val="auto"/>
              </w:rPr>
            </w:pPr>
            <w:r>
              <w:rPr>
                <w:rFonts w:ascii="Arial" w:cs="Arial" w:eastAsia="Arial" w:hAnsi="Arial"/>
                <w:sz w:val="18"/>
                <w:szCs w:val="18"/>
                <w:b w:val="1"/>
                <w:bCs w:val="1"/>
                <w:color w:val="auto"/>
                <w:w w:val="97"/>
              </w:rPr>
              <w:t>Calculation of redemption price</w:t>
            </w: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5"/>
              </w:rPr>
              <w:t>Redemptions at the time of our initial</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9"/>
              </w:rPr>
              <w:t>If we seek shareholder approval of</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6"/>
              </w:rPr>
              <w:t>business combination may be made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5"/>
              </w:rPr>
              <w:t>our initial business combination, our</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rPr>
              <w:t>pursuant to a tender offer or in</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5"/>
              </w:rPr>
              <w:t>sponsor, directors, officers, advisors</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8"/>
              </w:rPr>
              <w:t>connection with a shareholder vote.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1"/>
              </w:rPr>
              <w:t>or any of their affiliates may purchase</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1"/>
              </w:rPr>
              <w:t>The redemption price will be the same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shares in privately negotiated</w:t>
            </w:r>
          </w:p>
        </w:tc>
      </w:tr>
      <w:tr>
        <w:trPr>
          <w:trHeight w:val="230"/>
        </w:trPr>
        <w:tc>
          <w:tcPr>
            <w:tcW w:w="2660" w:type="dxa"/>
            <w:vAlign w:val="bottom"/>
          </w:tcPr>
          <w:p>
            <w:pPr>
              <w:spacing w:after="0"/>
              <w:rPr>
                <w:sz w:val="20"/>
                <w:szCs w:val="20"/>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rPr>
              <w:t>whether we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transactions or</w:t>
            </w:r>
          </w:p>
        </w:tc>
      </w:tr>
      <w:tr>
        <w:trPr>
          <w:trHeight w:val="365"/>
        </w:trPr>
        <w:tc>
          <w:tcPr>
            <w:tcW w:w="2660" w:type="dxa"/>
            <w:vAlign w:val="bottom"/>
          </w:tcPr>
          <w:p>
            <w:pPr>
              <w:spacing w:after="0"/>
              <w:rPr>
                <w:sz w:val="24"/>
                <w:szCs w:val="24"/>
                <w:color w:val="auto"/>
              </w:rPr>
            </w:pPr>
          </w:p>
        </w:tc>
        <w:tc>
          <w:tcPr>
            <w:tcW w:w="5820" w:type="dxa"/>
            <w:vAlign w:val="bottom"/>
            <w:gridSpan w:val="5"/>
          </w:tcPr>
          <w:p>
            <w:pPr>
              <w:ind w:left="292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20" w:right="40"/>
        <w:spacing w:after="0" w:line="346" w:lineRule="auto"/>
        <w:rPr>
          <w:sz w:val="20"/>
          <w:szCs w:val="20"/>
          <w:color w:val="auto"/>
        </w:rPr>
      </w:pPr>
      <w:r>
        <w:rPr>
          <w:rFonts w:ascii="Arial" w:cs="Arial" w:eastAsia="Arial" w:hAnsi="Arial"/>
          <w:sz w:val="16"/>
          <w:szCs w:val="16"/>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7583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w:t>
      </w:r>
    </w:p>
    <w:p>
      <w:pPr>
        <w:sectPr>
          <w:pgSz w:w="11900" w:h="16838" w:orient="portrait"/>
          <w:cols w:equalWidth="0" w:num="2">
            <w:col w:w="8520" w:space="100"/>
            <w:col w:w="2780"/>
          </w:cols>
          <w:pgMar w:left="240" w:top="225" w:right="259" w:bottom="1440" w:gutter="0" w:footer="0" w:header="0"/>
          <w:type w:val="continuous"/>
        </w:sectPr>
      </w:pPr>
    </w:p>
    <w:bookmarkStart w:id="100" w:name="page101"/>
    <w:bookmarkEnd w:id="10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tbl>
      <w:tblPr>
        <w:tblLayout w:type="fixed"/>
        <w:tblInd w:w="2680" w:type="dxa"/>
        <w:tblCellMar>
          <w:top w:w="0" w:type="dxa"/>
          <w:left w:w="0" w:type="dxa"/>
          <w:bottom w:w="0" w:type="dxa"/>
          <w:right w:w="0" w:type="dxa"/>
        </w:tblCellMar>
      </w:tblPr>
      <w:tr>
        <w:trPr>
          <w:trHeight w:val="216"/>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Redemptions in Connection with our</w:t>
            </w:r>
          </w:p>
        </w:tc>
        <w:tc>
          <w:tcPr>
            <w:tcW w:w="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Redemptions if we fail to Complete</w:t>
            </w:r>
          </w:p>
        </w:tc>
      </w:tr>
      <w:tr>
        <w:trPr>
          <w:trHeight w:val="234"/>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Initial Business Combination</w:t>
            </w:r>
          </w:p>
        </w:tc>
        <w:tc>
          <w:tcPr>
            <w:tcW w:w="8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 Initial Business Combination</w:t>
            </w:r>
          </w:p>
        </w:tc>
      </w:tr>
    </w:tbl>
    <w:p>
      <w:pPr>
        <w:spacing w:after="0" w:line="67" w:lineRule="exact"/>
        <w:rPr>
          <w:sz w:val="20"/>
          <w:szCs w:val="20"/>
          <w:color w:val="auto"/>
        </w:rPr>
      </w:pPr>
    </w:p>
    <w:p>
      <w:pPr>
        <w:sectPr>
          <w:pgSz w:w="11900" w:h="16838" w:orient="portrait"/>
          <w:cols w:equalWidth="0" w:num="1">
            <w:col w:w="11380"/>
          </w:cols>
          <w:pgMar w:left="240" w:top="225" w:right="279" w:bottom="1440" w:gutter="0" w:footer="0" w:header="0"/>
        </w:sectPr>
      </w:pPr>
    </w:p>
    <w:tbl>
      <w:tblPr>
        <w:tblLayout w:type="fixed"/>
        <w:tblInd w:w="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0"/>
              </w:rPr>
              <w:t>conduct redemptions pursuant to a tender</w:t>
            </w:r>
          </w:p>
        </w:tc>
        <w:tc>
          <w:tcPr>
            <w:tcW w:w="2820" w:type="dxa"/>
            <w:vAlign w:val="bottom"/>
          </w:tcPr>
          <w:p>
            <w:pPr>
              <w:ind w:left="60"/>
              <w:spacing w:after="0"/>
              <w:rPr>
                <w:sz w:val="20"/>
                <w:szCs w:val="20"/>
                <w:color w:val="auto"/>
              </w:rPr>
            </w:pPr>
            <w:r>
              <w:rPr>
                <w:rFonts w:ascii="Arial" w:cs="Arial" w:eastAsia="Arial" w:hAnsi="Arial"/>
                <w:sz w:val="18"/>
                <w:szCs w:val="18"/>
                <w:color w:val="auto"/>
                <w:w w:val="97"/>
              </w:rPr>
              <w:t>in the open market either prior to or</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offer or in connection with a shareholder</w:t>
            </w:r>
          </w:p>
        </w:tc>
        <w:tc>
          <w:tcPr>
            <w:tcW w:w="2820" w:type="dxa"/>
            <w:vAlign w:val="bottom"/>
          </w:tcPr>
          <w:p>
            <w:pPr>
              <w:ind w:left="60"/>
              <w:spacing w:after="0"/>
              <w:rPr>
                <w:sz w:val="20"/>
                <w:szCs w:val="20"/>
                <w:color w:val="auto"/>
              </w:rPr>
            </w:pPr>
            <w:r>
              <w:rPr>
                <w:rFonts w:ascii="Arial" w:cs="Arial" w:eastAsia="Arial" w:hAnsi="Arial"/>
                <w:sz w:val="18"/>
                <w:szCs w:val="18"/>
                <w:color w:val="auto"/>
                <w:w w:val="94"/>
              </w:rPr>
              <w:t>following the completion of our initial</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vote. In either case, our public</w:t>
            </w:r>
          </w:p>
        </w:tc>
        <w:tc>
          <w:tcPr>
            <w:tcW w:w="2820" w:type="dxa"/>
            <w:vAlign w:val="bottom"/>
          </w:tcPr>
          <w:p>
            <w:pPr>
              <w:ind w:left="60"/>
              <w:spacing w:after="0"/>
              <w:rPr>
                <w:sz w:val="20"/>
                <w:szCs w:val="20"/>
                <w:color w:val="auto"/>
              </w:rPr>
            </w:pPr>
            <w:r>
              <w:rPr>
                <w:rFonts w:ascii="Arial" w:cs="Arial" w:eastAsia="Arial" w:hAnsi="Arial"/>
                <w:sz w:val="18"/>
                <w:szCs w:val="18"/>
                <w:color w:val="auto"/>
                <w:w w:val="87"/>
              </w:rPr>
              <w:t>business combination. Such purchases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9"/>
              </w:rPr>
              <w:t>shareholders may redeem their public</w:t>
            </w:r>
          </w:p>
        </w:tc>
        <w:tc>
          <w:tcPr>
            <w:tcW w:w="2820" w:type="dxa"/>
            <w:vAlign w:val="bottom"/>
          </w:tcPr>
          <w:p>
            <w:pPr>
              <w:ind w:left="60"/>
              <w:spacing w:after="0"/>
              <w:rPr>
                <w:sz w:val="20"/>
                <w:szCs w:val="20"/>
                <w:color w:val="auto"/>
              </w:rPr>
            </w:pPr>
            <w:r>
              <w:rPr>
                <w:rFonts w:ascii="Arial" w:cs="Arial" w:eastAsia="Arial" w:hAnsi="Arial"/>
                <w:sz w:val="18"/>
                <w:szCs w:val="18"/>
                <w:color w:val="auto"/>
                <w:w w:val="92"/>
              </w:rPr>
              <w:t>will be prohibited except to the extent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shares for cash equal to the aggregate</w:t>
            </w:r>
          </w:p>
        </w:tc>
        <w:tc>
          <w:tcPr>
            <w:tcW w:w="2820" w:type="dxa"/>
            <w:vAlign w:val="bottom"/>
          </w:tcPr>
          <w:p>
            <w:pPr>
              <w:ind w:left="60"/>
              <w:spacing w:after="0"/>
              <w:rPr>
                <w:sz w:val="20"/>
                <w:szCs w:val="20"/>
                <w:color w:val="auto"/>
              </w:rPr>
            </w:pPr>
            <w:r>
              <w:rPr>
                <w:rFonts w:ascii="Arial" w:cs="Arial" w:eastAsia="Arial" w:hAnsi="Arial"/>
                <w:sz w:val="18"/>
                <w:szCs w:val="18"/>
                <w:color w:val="auto"/>
              </w:rPr>
              <w:t>they are able to be made in</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amount then on deposit in the trust</w:t>
            </w:r>
          </w:p>
        </w:tc>
        <w:tc>
          <w:tcPr>
            <w:tcW w:w="2820" w:type="dxa"/>
            <w:vAlign w:val="bottom"/>
          </w:tcPr>
          <w:p>
            <w:pPr>
              <w:ind w:left="60"/>
              <w:spacing w:after="0"/>
              <w:rPr>
                <w:sz w:val="20"/>
                <w:szCs w:val="20"/>
                <w:color w:val="auto"/>
              </w:rPr>
            </w:pPr>
            <w:r>
              <w:rPr>
                <w:rFonts w:ascii="Arial" w:cs="Arial" w:eastAsia="Arial" w:hAnsi="Arial"/>
                <w:sz w:val="18"/>
                <w:szCs w:val="18"/>
                <w:color w:val="auto"/>
                <w:w w:val="95"/>
              </w:rPr>
              <w:t>compliance with Rule 10b-18, which</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account as of two business days prior to</w:t>
            </w:r>
          </w:p>
        </w:tc>
        <w:tc>
          <w:tcPr>
            <w:tcW w:w="2820" w:type="dxa"/>
            <w:vAlign w:val="bottom"/>
          </w:tcPr>
          <w:p>
            <w:pPr>
              <w:ind w:left="60"/>
              <w:spacing w:after="0"/>
              <w:rPr>
                <w:sz w:val="20"/>
                <w:szCs w:val="20"/>
                <w:color w:val="auto"/>
              </w:rPr>
            </w:pPr>
            <w:r>
              <w:rPr>
                <w:rFonts w:ascii="Arial" w:cs="Arial" w:eastAsia="Arial" w:hAnsi="Arial"/>
                <w:sz w:val="18"/>
                <w:szCs w:val="18"/>
                <w:color w:val="auto"/>
              </w:rPr>
              <w:t>is a safe harbor from liability for</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the consummation of the initial business</w:t>
            </w:r>
          </w:p>
        </w:tc>
        <w:tc>
          <w:tcPr>
            <w:tcW w:w="2820" w:type="dxa"/>
            <w:vAlign w:val="bottom"/>
          </w:tcPr>
          <w:p>
            <w:pPr>
              <w:ind w:left="60"/>
              <w:spacing w:after="0"/>
              <w:rPr>
                <w:sz w:val="20"/>
                <w:szCs w:val="20"/>
                <w:color w:val="auto"/>
              </w:rPr>
            </w:pPr>
            <w:r>
              <w:rPr>
                <w:rFonts w:ascii="Arial" w:cs="Arial" w:eastAsia="Arial" w:hAnsi="Arial"/>
                <w:sz w:val="18"/>
                <w:szCs w:val="18"/>
                <w:color w:val="auto"/>
                <w:w w:val="98"/>
              </w:rPr>
              <w:t>manipulation under Section 9(a)(2)</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combination (which is initially</w:t>
            </w:r>
          </w:p>
        </w:tc>
        <w:tc>
          <w:tcPr>
            <w:tcW w:w="2820" w:type="dxa"/>
            <w:vAlign w:val="bottom"/>
          </w:tcPr>
          <w:p>
            <w:pPr>
              <w:ind w:left="60"/>
              <w:spacing w:after="0"/>
              <w:rPr>
                <w:sz w:val="20"/>
                <w:szCs w:val="20"/>
                <w:color w:val="auto"/>
              </w:rPr>
            </w:pPr>
            <w:r>
              <w:rPr>
                <w:rFonts w:ascii="Arial" w:cs="Arial" w:eastAsia="Arial" w:hAnsi="Arial"/>
                <w:sz w:val="18"/>
                <w:szCs w:val="18"/>
                <w:color w:val="auto"/>
                <w:w w:val="93"/>
              </w:rPr>
              <w:t>and Rule 10b-5 of the Exchange Act.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anticipated to be $10.00 per share),</w:t>
            </w:r>
          </w:p>
        </w:tc>
        <w:tc>
          <w:tcPr>
            <w:tcW w:w="2820" w:type="dxa"/>
            <w:vAlign w:val="bottom"/>
          </w:tcPr>
          <w:p>
            <w:pPr>
              <w:ind w:left="60"/>
              <w:spacing w:after="0"/>
              <w:rPr>
                <w:sz w:val="20"/>
                <w:szCs w:val="20"/>
                <w:color w:val="auto"/>
              </w:rPr>
            </w:pPr>
            <w:r>
              <w:rPr>
                <w:rFonts w:ascii="Arial" w:cs="Arial" w:eastAsia="Arial" w:hAnsi="Arial"/>
                <w:sz w:val="18"/>
                <w:szCs w:val="18"/>
                <w:color w:val="auto"/>
                <w:w w:val="91"/>
              </w:rPr>
              <w:t>None of the funds in the trust account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2"/>
              </w:rPr>
              <w:t>including interest (which interest shall be</w:t>
            </w:r>
          </w:p>
        </w:tc>
        <w:tc>
          <w:tcPr>
            <w:tcW w:w="2820" w:type="dxa"/>
            <w:vAlign w:val="bottom"/>
          </w:tcPr>
          <w:p>
            <w:pPr>
              <w:ind w:left="60"/>
              <w:spacing w:after="0"/>
              <w:rPr>
                <w:sz w:val="20"/>
                <w:szCs w:val="20"/>
                <w:color w:val="auto"/>
              </w:rPr>
            </w:pPr>
            <w:r>
              <w:rPr>
                <w:rFonts w:ascii="Arial" w:cs="Arial" w:eastAsia="Arial" w:hAnsi="Arial"/>
                <w:sz w:val="18"/>
                <w:szCs w:val="18"/>
                <w:color w:val="auto"/>
              </w:rPr>
              <w:t>will be used to purchase shares in</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net of taxes payable), divided by the</w:t>
            </w:r>
          </w:p>
        </w:tc>
        <w:tc>
          <w:tcPr>
            <w:tcW w:w="2820" w:type="dxa"/>
            <w:vAlign w:val="bottom"/>
          </w:tcPr>
          <w:p>
            <w:pPr>
              <w:ind w:left="60"/>
              <w:spacing w:after="0"/>
              <w:rPr>
                <w:sz w:val="20"/>
                <w:szCs w:val="20"/>
                <w:color w:val="auto"/>
              </w:rPr>
            </w:pPr>
            <w:r>
              <w:rPr>
                <w:rFonts w:ascii="Arial" w:cs="Arial" w:eastAsia="Arial" w:hAnsi="Arial"/>
                <w:sz w:val="18"/>
                <w:szCs w:val="18"/>
                <w:color w:val="auto"/>
              </w:rPr>
              <w:t>such transactions.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6"/>
              </w:rPr>
              <w:t>number of then issued and outstanding</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public shares, subject to the limitation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that no redemptions will take place if all</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of the redemptions would cause our net</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tangible assets, after payment of the</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8"/>
              </w:rPr>
              <w:t>deferred underwriting commissions, to</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1"/>
              </w:rPr>
              <w:t>be less than $5,000,001 upon completion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8"/>
              </w:rPr>
              <w:t>of our initial business combination and</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any limitations (including, but not</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4"/>
              </w:rPr>
              <w:t>limited to, cash requirements) agreed to</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in connection with the negotiation of</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terms of a proposed business</w:t>
            </w:r>
          </w:p>
        </w:tc>
        <w:tc>
          <w:tcPr>
            <w:tcW w:w="282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combination.</w:t>
            </w:r>
          </w:p>
        </w:tc>
        <w:tc>
          <w:tcPr>
            <w:tcW w:w="2820" w:type="dxa"/>
            <w:vAlign w:val="bottom"/>
          </w:tcPr>
          <w:p>
            <w:pPr>
              <w:spacing w:after="0"/>
              <w:rPr>
                <w:sz w:val="20"/>
                <w:szCs w:val="20"/>
                <w:color w:val="auto"/>
              </w:rPr>
            </w:pPr>
          </w:p>
        </w:tc>
      </w:tr>
      <w:tr>
        <w:trPr>
          <w:trHeight w:val="279"/>
        </w:trPr>
        <w:tc>
          <w:tcPr>
            <w:tcW w:w="2120" w:type="dxa"/>
            <w:vAlign w:val="bottom"/>
          </w:tcPr>
          <w:p>
            <w:pPr>
              <w:spacing w:after="0"/>
              <w:rPr>
                <w:sz w:val="20"/>
                <w:szCs w:val="20"/>
                <w:color w:val="auto"/>
              </w:rPr>
            </w:pPr>
            <w:r>
              <w:rPr>
                <w:rFonts w:ascii="Arial" w:cs="Arial" w:eastAsia="Arial" w:hAnsi="Arial"/>
                <w:sz w:val="18"/>
                <w:szCs w:val="18"/>
                <w:b w:val="1"/>
                <w:bCs w:val="1"/>
                <w:color w:val="auto"/>
              </w:rPr>
              <w:t>Impact to remaining</w:t>
            </w: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The redemptions in connection with our</w:t>
            </w:r>
          </w:p>
        </w:tc>
        <w:tc>
          <w:tcPr>
            <w:tcW w:w="2820" w:type="dxa"/>
            <w:vAlign w:val="bottom"/>
          </w:tcPr>
          <w:p>
            <w:pPr>
              <w:ind w:left="60"/>
              <w:spacing w:after="0"/>
              <w:rPr>
                <w:sz w:val="20"/>
                <w:szCs w:val="20"/>
                <w:color w:val="auto"/>
              </w:rPr>
            </w:pPr>
            <w:r>
              <w:rPr>
                <w:rFonts w:ascii="Arial" w:cs="Arial" w:eastAsia="Arial" w:hAnsi="Arial"/>
                <w:sz w:val="18"/>
                <w:szCs w:val="18"/>
                <w:color w:val="auto"/>
                <w:w w:val="94"/>
              </w:rPr>
              <w:t>If the permitted purchases described</w:t>
            </w:r>
          </w:p>
        </w:tc>
      </w:tr>
      <w:tr>
        <w:trPr>
          <w:trHeight w:val="220"/>
        </w:trPr>
        <w:tc>
          <w:tcPr>
            <w:tcW w:w="212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initial business combination will reduce</w:t>
            </w:r>
          </w:p>
        </w:tc>
        <w:tc>
          <w:tcPr>
            <w:tcW w:w="2820" w:type="dxa"/>
            <w:vAlign w:val="bottom"/>
          </w:tcPr>
          <w:p>
            <w:pPr>
              <w:ind w:left="60"/>
              <w:spacing w:after="0"/>
              <w:rPr>
                <w:sz w:val="20"/>
                <w:szCs w:val="20"/>
                <w:color w:val="auto"/>
              </w:rPr>
            </w:pPr>
            <w:r>
              <w:rPr>
                <w:rFonts w:ascii="Arial" w:cs="Arial" w:eastAsia="Arial" w:hAnsi="Arial"/>
                <w:sz w:val="18"/>
                <w:szCs w:val="18"/>
                <w:color w:val="auto"/>
              </w:rPr>
              <w:t>above are made, there will be no</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the book value per share for our</w:t>
            </w:r>
          </w:p>
        </w:tc>
        <w:tc>
          <w:tcPr>
            <w:tcW w:w="2820" w:type="dxa"/>
            <w:vAlign w:val="bottom"/>
          </w:tcPr>
          <w:p>
            <w:pPr>
              <w:ind w:left="60"/>
              <w:spacing w:after="0"/>
              <w:rPr>
                <w:sz w:val="20"/>
                <w:szCs w:val="20"/>
                <w:color w:val="auto"/>
              </w:rPr>
            </w:pPr>
            <w:r>
              <w:rPr>
                <w:rFonts w:ascii="Arial" w:cs="Arial" w:eastAsia="Arial" w:hAnsi="Arial"/>
                <w:sz w:val="18"/>
                <w:szCs w:val="18"/>
                <w:color w:val="auto"/>
                <w:w w:val="92"/>
              </w:rPr>
              <w:t>impact to our remaining shareholders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9"/>
              </w:rPr>
              <w:t>remaining shareholders, who will bear</w:t>
            </w:r>
          </w:p>
        </w:tc>
        <w:tc>
          <w:tcPr>
            <w:tcW w:w="2820" w:type="dxa"/>
            <w:vAlign w:val="bottom"/>
          </w:tcPr>
          <w:p>
            <w:pPr>
              <w:ind w:left="60"/>
              <w:spacing w:after="0"/>
              <w:rPr>
                <w:sz w:val="20"/>
                <w:szCs w:val="20"/>
                <w:color w:val="auto"/>
              </w:rPr>
            </w:pPr>
            <w:r>
              <w:rPr>
                <w:rFonts w:ascii="Arial" w:cs="Arial" w:eastAsia="Arial" w:hAnsi="Arial"/>
                <w:sz w:val="18"/>
                <w:szCs w:val="18"/>
                <w:color w:val="auto"/>
                <w:w w:val="90"/>
              </w:rPr>
              <w:t>because the purchase price would not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6"/>
              </w:rPr>
              <w:t>the burden of the deferred underwriting</w:t>
            </w:r>
          </w:p>
        </w:tc>
        <w:tc>
          <w:tcPr>
            <w:tcW w:w="2820" w:type="dxa"/>
            <w:vAlign w:val="bottom"/>
          </w:tcPr>
          <w:p>
            <w:pPr>
              <w:ind w:left="60"/>
              <w:spacing w:after="0"/>
              <w:rPr>
                <w:sz w:val="20"/>
                <w:szCs w:val="20"/>
                <w:color w:val="auto"/>
              </w:rPr>
            </w:pPr>
            <w:r>
              <w:rPr>
                <w:rFonts w:ascii="Arial" w:cs="Arial" w:eastAsia="Arial" w:hAnsi="Arial"/>
                <w:sz w:val="18"/>
                <w:szCs w:val="18"/>
                <w:color w:val="auto"/>
              </w:rPr>
              <w:t>be paid by us.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commissions and interest withdrawn in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2"/>
              </w:rPr>
              <w:t>order to pay taxes (to the extent not paid</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from amounts accrued as interest on the</w:t>
            </w:r>
          </w:p>
        </w:tc>
        <w:tc>
          <w:tcPr>
            <w:tcW w:w="282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funds held in the trust account).</w:t>
            </w:r>
          </w:p>
        </w:tc>
        <w:tc>
          <w:tcPr>
            <w:tcW w:w="2820" w:type="dxa"/>
            <w:vAlign w:val="bottom"/>
          </w:tcPr>
          <w:p>
            <w:pPr>
              <w:spacing w:after="0"/>
              <w:rPr>
                <w:sz w:val="20"/>
                <w:szCs w:val="20"/>
                <w:color w:val="auto"/>
              </w:rPr>
            </w:pPr>
          </w:p>
        </w:tc>
      </w:tr>
      <w:tr>
        <w:trPr>
          <w:trHeight w:val="365"/>
        </w:trPr>
        <w:tc>
          <w:tcPr>
            <w:tcW w:w="2120" w:type="dxa"/>
            <w:vAlign w:val="bottom"/>
          </w:tcPr>
          <w:p>
            <w:pPr>
              <w:spacing w:after="0"/>
              <w:rPr>
                <w:sz w:val="24"/>
                <w:szCs w:val="24"/>
                <w:color w:val="auto"/>
              </w:rPr>
            </w:pPr>
          </w:p>
        </w:tc>
        <w:tc>
          <w:tcPr>
            <w:tcW w:w="6360" w:type="dxa"/>
            <w:vAlign w:val="bottom"/>
            <w:gridSpan w:val="2"/>
          </w:tcPr>
          <w:p>
            <w:pPr>
              <w:ind w:left="346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the 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2">
            <w:col w:w="8520" w:space="100"/>
            <w:col w:w="2760"/>
          </w:cols>
          <w:pgMar w:left="240" w:top="225" w:right="279" w:bottom="1440" w:gutter="0" w:footer="0" w:header="0"/>
          <w:type w:val="continuous"/>
        </w:sectPr>
      </w:pPr>
    </w:p>
    <w:bookmarkStart w:id="101" w:name="page102"/>
    <w:bookmarkEnd w:id="10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380"/>
          </w:cols>
          <w:pgMar w:left="240" w:top="225" w:right="279" w:bottom="1440" w:gutter="0" w:footer="0" w:header="0"/>
        </w:sect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Terms of Our Offering</w:t>
            </w:r>
          </w:p>
        </w:tc>
      </w:tr>
      <w:tr>
        <w:trPr>
          <w:trHeight w:val="276"/>
        </w:trPr>
        <w:tc>
          <w:tcPr>
            <w:tcW w:w="3020" w:type="dxa"/>
            <w:vAlign w:val="bottom"/>
          </w:tcPr>
          <w:p>
            <w:pPr>
              <w:spacing w:after="0"/>
              <w:rPr>
                <w:sz w:val="20"/>
                <w:szCs w:val="20"/>
                <w:color w:val="auto"/>
              </w:rPr>
            </w:pPr>
            <w:r>
              <w:rPr>
                <w:rFonts w:ascii="Arial" w:cs="Arial" w:eastAsia="Arial" w:hAnsi="Arial"/>
                <w:sz w:val="18"/>
                <w:szCs w:val="18"/>
                <w:b w:val="1"/>
                <w:bCs w:val="1"/>
                <w:color w:val="auto"/>
              </w:rPr>
              <w:t>Escrow of offering proceeds</w:t>
            </w: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4"/>
              </w:rPr>
              <w:t>$250,000,000 of the net proceeds of this offering</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1"/>
              </w:rPr>
              <w:t>and the sale of the private placement warrants will</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7"/>
              </w:rPr>
              <w:t>be deposited into a U.S.-based trust account at</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2"/>
              </w:rPr>
              <w:t>with Continental Stock Transfer &amp; Trust Company</w:t>
            </w:r>
          </w:p>
        </w:tc>
      </w:tr>
      <w:tr>
        <w:trPr>
          <w:trHeight w:val="230"/>
        </w:trPr>
        <w:tc>
          <w:tcPr>
            <w:tcW w:w="3020" w:type="dxa"/>
            <w:vAlign w:val="bottom"/>
          </w:tcPr>
          <w:p>
            <w:pPr>
              <w:spacing w:after="0"/>
              <w:rPr>
                <w:sz w:val="20"/>
                <w:szCs w:val="20"/>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rPr>
              <w:t>acting as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offering proceeds and the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sale of the private placement warrants held in trust</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will be invested only in U.S. government treasury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bills with a maturity of 180 days or less or in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money market funds investing solely in U.S.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Treasuries and meeting certain conditions under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Rule 2a-7 under the Investment Company Act.</w:t>
      </w:r>
    </w:p>
    <w:p>
      <w:pPr>
        <w:spacing w:after="0" w:line="8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on proceeds from the trust account to be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paid to shareholders is reduced by (1) any taxes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paid or payable and (2) in the event of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liquidation for failure to complete our initial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business combination within the allotted time, up</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to $100,000 of net interest that may be released to</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us should we have no or insufficient working</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capital to fund the costs and expenses of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dissolution and liquidation.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3323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Approximately $212,625,000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913" w:lineRule="exact"/>
        <w:rPr>
          <w:sz w:val="20"/>
          <w:szCs w:val="20"/>
          <w:color w:val="auto"/>
        </w:rPr>
      </w:pPr>
    </w:p>
    <w:p>
      <w:pPr>
        <w:sectPr>
          <w:pgSz w:w="11900" w:h="16838" w:orient="portrait"/>
          <w:cols w:equalWidth="0" w:num="2">
            <w:col w:w="7620" w:space="80"/>
            <w:col w:w="3680"/>
          </w:cols>
          <w:pgMar w:left="240" w:top="225" w:right="27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Notwithstanding the foregoing, if we are not then listed on Nasdaq for</w:t>
      </w:r>
    </w:p>
    <w:p>
      <w:pPr>
        <w:spacing w:after="0" w:line="20" w:lineRule="exact"/>
        <w:rPr>
          <w:sz w:val="20"/>
          <w:szCs w:val="20"/>
          <w:color w:val="auto"/>
        </w:rPr>
      </w:pPr>
      <w:r>
        <w:rPr>
          <w:sz w:val="20"/>
          <w:szCs w:val="20"/>
          <w:color w:val="auto"/>
        </w:rPr>
        <w:br w:type="column"/>
      </w:r>
    </w:p>
    <w:p>
      <w:pPr>
        <w:ind w:right="320"/>
        <w:spacing w:after="0" w:line="264"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1409" w:lineRule="exact"/>
        <w:rPr>
          <w:sz w:val="20"/>
          <w:szCs w:val="20"/>
          <w:color w:val="auto"/>
        </w:rPr>
      </w:pPr>
    </w:p>
    <w:p>
      <w:pPr>
        <w:sectPr>
          <w:pgSz w:w="11900" w:h="16838" w:orient="portrait"/>
          <w:cols w:equalWidth="0" w:num="3">
            <w:col w:w="3560" w:space="380"/>
            <w:col w:w="3680" w:space="80"/>
            <w:col w:w="3680"/>
          </w:cols>
          <w:pgMar w:left="240" w:top="225"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102" w:name="page103"/>
    <w:bookmarkEnd w:id="10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p>
      <w:pPr>
        <w:jc w:val="right"/>
        <w:ind w:right="54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p>
      <w:pPr>
        <w:spacing w:after="0" w:line="108"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whatever reason, we would no longer be required</w:t>
      </w:r>
    </w:p>
    <w:p>
      <w:pPr>
        <w:spacing w:after="0" w:line="46"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to meet the foregoing 80% fair market value test.</w:t>
      </w:r>
    </w:p>
    <w:p>
      <w:pPr>
        <w:spacing w:after="0" w:line="8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will begin trading on or promptly after</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the date of this prospectus. The Class A ordinary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shares and warrants constituting the units will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begin separate trading on the 52nd day following</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the date of this prospectus unless Credit Suisse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Securities (USA) LLC informs us of its decision to</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allow earlier separate trading, subject to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having filed the Current Report on Form 8-K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described below and having issued a press release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announcing when such separate trading will begin.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We will file the Current Report on Form 8-K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promptly after the closing of this offering. If the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underwriters’ over-allotment option is exercised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following the initial filing of such Current Report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on Form 8-K, a second or amended Current Report</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on Form 8-K will be filed to provide updated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financial information to reflect the exercise of the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underwriters’ 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No trading of the units or the underlying Class A ordinary shares and warrants would be permitted until the completion of a business combination.</w:t>
      </w:r>
    </w:p>
    <w:p>
      <w:pPr>
        <w:ind w:right="60"/>
        <w:spacing w:after="0" w:line="261"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2853" w:lineRule="exact"/>
        <w:rPr>
          <w:sz w:val="20"/>
          <w:szCs w:val="20"/>
          <w:color w:val="auto"/>
        </w:rPr>
      </w:pPr>
    </w:p>
    <w:p>
      <w:pPr>
        <w:sectPr>
          <w:pgSz w:w="11900" w:h="16838" w:orient="portrait"/>
          <w:cols w:equalWidth="0" w:num="2">
            <w:col w:w="7620" w:space="80"/>
            <w:col w:w="3680"/>
          </w:cols>
          <w:pgMar w:left="240" w:top="225" w:right="279" w:bottom="1440" w:gutter="0" w:footer="0" w:header="0"/>
          <w:type w:val="continuous"/>
        </w:sect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later of</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30 days after the completion of our initial business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combination or 12 months from the closing of this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offering.</w:t>
      </w:r>
    </w:p>
    <w:p>
      <w:pPr>
        <w:spacing w:after="0" w:line="288"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two business days prior to the completion of our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initial business combination, including interest,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which interest shall be net of taxes payable, upon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exchange rules to hold a shareholder vote. If we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are not required by applicable law or stock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exchange rules and do not otherwise decide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hold a shareholder vote, we will, pursuant to our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amended and restated memorandum and articles of</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association, conduct the redemptions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w:t>
      </w:r>
    </w:p>
    <w:p>
      <w:pPr>
        <w:sectPr>
          <w:pgSz w:w="11900" w:h="16838" w:orient="portrait"/>
          <w:cols w:equalWidth="0" w:num="2">
            <w:col w:w="7620" w:space="80"/>
            <w:col w:w="3680"/>
          </w:cols>
          <w:pgMar w:left="240" w:top="225" w:right="279" w:bottom="1440" w:gutter="0" w:footer="0" w:header="0"/>
          <w:type w:val="continuous"/>
        </w:sectPr>
      </w:pPr>
    </w:p>
    <w:bookmarkStart w:id="103" w:name="page104"/>
    <w:bookmarkEnd w:id="10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p>
      <w:pPr>
        <w:spacing w:after="0" w:line="108"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pursuant to the tender offer rules of the SEC and</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file tender offer documents with the SEC which</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will contain substantially the same financial and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other information about the initial business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required under the SEC’s proxy rules. If, however,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we hold a shareholder vote, we will, like many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blank check companies, offer to redeem shares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conjunction with a proxy solicitation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the proxy rules and not pursuant to the tender offer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rules. Pursuant to the tender offer rules, the tender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offer period will be not less than 20 business days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and, in the case of a shareholder vote, a final proxy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statement would be mailed to public shareholders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at least 10 days prior to the shareholder vote.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However, we expect that a draft proxy statement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would be made available to such shareholders well</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advance of such time, providing additional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notice of redemption if we conduct redemptions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conjunction with a proxy solicitation. If we seek</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shareholder approval, we will complete our initial</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business combination only if we receive an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ordinary resolution under Cayman Islands law,</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which requires the affirmative vote of a majority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 the shareholders who attend and vote at a</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general meeting of the company. Additionally,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each public shareholder may elect to redeem its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public shares without voting and, if they do vote,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irrespective of whether they vote for or against the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proposed business combination.</w:t>
      </w:r>
    </w:p>
    <w:p>
      <w:pPr>
        <w:spacing w:after="0" w:line="72"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are unable to complete an initial business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combination within 24 months from the closing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this offering, we will (1) cease all operations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except for the purpose of winding up, (2) as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promptly as reasonably possible but not more than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10 business days thereafter, redeem 100% of the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public shares, at a per-share price, payable in cash,</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equal to the aggregate amount then on deposit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trust account, including interest (less up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$100,000 of interest to pay dissolution expenses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and which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620" w:space="80"/>
            <w:col w:w="3640"/>
          </w:cols>
          <w:pgMar w:left="240" w:top="225" w:right="319" w:bottom="1440" w:gutter="0" w:footer="0" w:header="0"/>
          <w:type w:val="continuous"/>
        </w:sectPr>
      </w:pPr>
    </w:p>
    <w:bookmarkStart w:id="104" w:name="page105"/>
    <w:bookmarkEnd w:id="10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p>
      <w:pPr>
        <w:jc w:val="right"/>
        <w:ind w:right="48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spacing w:after="0" w:line="314" w:lineRule="auto"/>
        <w:rPr>
          <w:sz w:val="20"/>
          <w:szCs w:val="20"/>
          <w:color w:val="auto"/>
        </w:rPr>
      </w:pPr>
      <w:r>
        <w:rPr>
          <w:rFonts w:ascii="Arial" w:cs="Arial" w:eastAsia="Arial" w:hAnsi="Arial"/>
          <w:sz w:val="16"/>
          <w:szCs w:val="16"/>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5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w:t>
      </w:r>
    </w:p>
    <w:p>
      <w:pPr>
        <w:spacing w:after="0" w:line="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Most blank check companies provide no restrictions on the ability of shareholders to redeem shares based on the number of shares held by such shareholders in connection with an initial business combination.</w:t>
      </w:r>
    </w:p>
    <w:p>
      <w:pPr>
        <w:spacing w:after="0" w:line="537" w:lineRule="exact"/>
        <w:rPr>
          <w:sz w:val="20"/>
          <w:szCs w:val="20"/>
          <w:color w:val="auto"/>
        </w:rPr>
      </w:pPr>
    </w:p>
    <w:p>
      <w:pPr>
        <w:sectPr>
          <w:pgSz w:w="11900" w:h="16838" w:orient="portrait"/>
          <w:cols w:equalWidth="0" w:num="3">
            <w:col w:w="3760" w:space="180"/>
            <w:col w:w="3680" w:space="80"/>
            <w:col w:w="3620"/>
          </w:cols>
          <w:pgMar w:left="240" w:top="225"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105" w:name="page106"/>
    <w:bookmarkEnd w:id="10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1"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affiliate of such shareholder or any other person with whom such shareholder is acting in concert or as a “group” (as defined under Section 13 of the Exchange Act), will be restricted 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5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p>
      <w:pPr>
        <w:spacing w:after="0" w:line="3556" w:lineRule="exact"/>
        <w:rPr>
          <w:sz w:val="20"/>
          <w:szCs w:val="20"/>
          <w:color w:val="auto"/>
        </w:rPr>
      </w:pPr>
    </w:p>
    <w:p>
      <w:pPr>
        <w:sectPr>
          <w:pgSz w:w="11900" w:h="16838" w:orient="portrait"/>
          <w:cols w:equalWidth="0" w:num="3">
            <w:col w:w="3760" w:space="180"/>
            <w:col w:w="3680" w:space="80"/>
            <w:col w:w="3640"/>
          </w:cols>
          <w:pgMar w:left="240" w:top="225"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type w:val="continuous"/>
        </w:sectPr>
      </w:pPr>
    </w:p>
    <w:bookmarkStart w:id="106" w:name="page107"/>
    <w:bookmarkEnd w:id="10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maintain our executive offices at 1114 6th Ave, 41st Floor New York, New York, 10036. We consider our current office space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have four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auditors.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U.S.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4"/>
          </w:tcPr>
          <w:p>
            <w:pPr>
              <w:ind w:left="30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Directors, Director Nominees and Executive Officers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4620" w:type="dxa"/>
            <w:vAlign w:val="bottom"/>
          </w:tcPr>
          <w:p>
            <w:pPr>
              <w:ind w:left="208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80" w:type="dxa"/>
            <w:vAlign w:val="bottom"/>
          </w:tcPr>
          <w:p>
            <w:pPr>
              <w:spacing w:after="0"/>
              <w:rPr>
                <w:sz w:val="24"/>
                <w:szCs w:val="24"/>
                <w:color w:val="auto"/>
              </w:rPr>
            </w:pPr>
          </w:p>
        </w:tc>
        <w:tc>
          <w:tcPr>
            <w:tcW w:w="5560" w:type="dxa"/>
            <w:vAlign w:val="bottom"/>
            <w:gridSpan w:val="2"/>
          </w:tcPr>
          <w:p>
            <w:pPr>
              <w:ind w:left="2580"/>
              <w:spacing w:after="0"/>
              <w:rPr>
                <w:sz w:val="20"/>
                <w:szCs w:val="20"/>
                <w:color w:val="auto"/>
              </w:rPr>
            </w:pPr>
            <w:r>
              <w:rPr>
                <w:rFonts w:ascii="Arial" w:cs="Arial" w:eastAsia="Arial" w:hAnsi="Arial"/>
                <w:sz w:val="18"/>
                <w:szCs w:val="18"/>
                <w:b w:val="1"/>
                <w:bCs w:val="1"/>
                <w:color w:val="auto"/>
              </w:rPr>
              <w:t>Title</w:t>
            </w:r>
          </w:p>
        </w:tc>
      </w:tr>
      <w:tr>
        <w:trPr>
          <w:trHeight w:val="34"/>
        </w:trPr>
        <w:tc>
          <w:tcPr>
            <w:tcW w:w="40" w:type="dxa"/>
            <w:vAlign w:val="bottom"/>
          </w:tcPr>
          <w:p>
            <w:pPr>
              <w:spacing w:after="0"/>
              <w:rPr>
                <w:sz w:val="2"/>
                <w:szCs w:val="2"/>
                <w:color w:val="auto"/>
              </w:rPr>
            </w:pPr>
          </w:p>
        </w:tc>
        <w:tc>
          <w:tcPr>
            <w:tcW w:w="4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Scott Gordon</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Executive Officer and Chairman</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William Healy</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Greg Gentile</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Mohammed Grimeh</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10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0" w:type="dxa"/>
            <w:vAlign w:val="bottom"/>
            <w:shd w:val="clear" w:color="auto" w:fill="D5EAEA"/>
          </w:tcPr>
          <w:p>
            <w:pPr>
              <w:spacing w:after="0"/>
              <w:rPr>
                <w:sz w:val="22"/>
                <w:szCs w:val="22"/>
                <w:color w:val="auto"/>
              </w:rPr>
            </w:pPr>
          </w:p>
        </w:tc>
        <w:tc>
          <w:tcPr>
            <w:tcW w:w="462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10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55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40" w:type="dxa"/>
            <w:vAlign w:val="bottom"/>
            <w:shd w:val="clear" w:color="auto" w:fill="D5EAEA"/>
          </w:tcPr>
          <w:p>
            <w:pPr>
              <w:spacing w:after="0"/>
              <w:rPr>
                <w:sz w:val="3"/>
                <w:szCs w:val="3"/>
                <w:color w:val="auto"/>
              </w:rPr>
            </w:pPr>
          </w:p>
        </w:tc>
        <w:tc>
          <w:tcPr>
            <w:tcW w:w="462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104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5520" w:type="dxa"/>
            <w:vAlign w:val="bottom"/>
            <w:shd w:val="clear" w:color="auto" w:fill="D5EAEA"/>
          </w:tcPr>
          <w:p>
            <w:pPr>
              <w:spacing w:after="0"/>
              <w:rPr>
                <w:sz w:val="3"/>
                <w:szCs w:val="3"/>
                <w:color w:val="auto"/>
              </w:rPr>
            </w:pPr>
          </w:p>
        </w:tc>
        <w:tc>
          <w:tcPr>
            <w:tcW w:w="40" w:type="dxa"/>
            <w:vAlign w:val="bottom"/>
            <w:shd w:val="clear" w:color="auto" w:fill="D5EAEA"/>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director nominees and executive officers are as follows: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Scott Gordon </w:t>
      </w:r>
      <w:r>
        <w:rPr>
          <w:rFonts w:ascii="Arial" w:cs="Arial" w:eastAsia="Arial" w:hAnsi="Arial"/>
          <w:sz w:val="17"/>
          <w:szCs w:val="17"/>
          <w:color w:val="auto"/>
        </w:rPr>
        <w:t>has been the Chairman of our board of directors and has served as our Chief Executive Officer since our inception. Since 2016, Mr. Gordon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William Healy </w:t>
      </w:r>
      <w:r>
        <w:rPr>
          <w:rFonts w:ascii="Arial" w:cs="Arial" w:eastAsia="Arial" w:hAnsi="Arial"/>
          <w:sz w:val="17"/>
          <w:szCs w:val="17"/>
          <w:color w:val="auto"/>
        </w:rPr>
        <w:t>has been a member of our board of directors and has served as our President since our inception. Since 1986, Mr. Healy has advised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Gregory M. Gentile </w:t>
      </w:r>
      <w:r>
        <w:rPr>
          <w:rFonts w:ascii="Arial" w:cs="Arial" w:eastAsia="Arial" w:hAnsi="Arial"/>
          <w:sz w:val="17"/>
          <w:szCs w:val="17"/>
          <w:color w:val="auto"/>
        </w:rPr>
        <w:t>has served as our Chief Financial Officer since our inception. From 2010 to 2018, Mr. Gentile was Chief Executive Officer of GMG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Mohammed Grimeh </w:t>
      </w:r>
      <w:r>
        <w:rPr>
          <w:rFonts w:ascii="Arial" w:cs="Arial" w:eastAsia="Arial" w:hAnsi="Arial"/>
          <w:sz w:val="17"/>
          <w:szCs w:val="17"/>
          <w:color w:val="auto"/>
        </w:rPr>
        <w:t>has served as our Chief Operating Officer since our inception. From 2016 to 2018, Mr. Grimeh was deputy Global Head Fixed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Millennium Management, a global Alternative Asset Manager based in New York. From 2009 to 2016, Mr. Grimeh was Managing Director and head of Global Markets for Standard Chartered Bank, Americas. From 1998 to 2008, Mr. Grimeh was at Lehman Brothers where he held various roles including managing director and global head Emerging Markets. Prior to that, he was aa Managing Director at ING</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Barings from 1993 to 1998. He started his career at Societe Generale, a French Bank in 1990 and moved in 1992 to London to join Westpac banking Corporation. Mr. Grimeh graduated from Ecole Centrale in Paris in 1990.</w:t>
      </w:r>
    </w:p>
    <w:p>
      <w:pPr>
        <w:spacing w:after="0" w:line="1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addition to our directors, director nominees and executive officers, the following individuals will be advising us in making our initial business combination: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Rob Josephson </w:t>
      </w:r>
      <w:r>
        <w:rPr>
          <w:rFonts w:ascii="Arial" w:cs="Arial" w:eastAsia="Arial" w:hAnsi="Arial"/>
          <w:sz w:val="18"/>
          <w:szCs w:val="18"/>
          <w:color w:val="auto"/>
        </w:rPr>
        <w:t>has served as an investment consultant since our inception. From October 2017 to present Mr. Josephson has acted as CEO of Seed Capital,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the effectiveness of the registration statement of which this prospectus forms a part, we expect that our board of directors will consist of five members. Our board of directors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w:t>
      </w:r>
    </w:p>
    <w:p>
      <w:pPr>
        <w:spacing w:after="0" w:line="290" w:lineRule="auto"/>
        <w:rPr>
          <w:sz w:val="20"/>
          <w:szCs w:val="20"/>
          <w:color w:val="auto"/>
        </w:rPr>
      </w:pPr>
      <w:r>
        <w:rPr>
          <w:rFonts w:ascii="Arial" w:cs="Arial" w:eastAsia="Arial" w:hAnsi="Arial"/>
          <w:sz w:val="17"/>
          <w:szCs w:val="17"/>
          <w:color w:val="auto"/>
        </w:rPr>
        <w:t>responsibilities of a director. Our board of directors has determined that , and are “independent directors” as defined in the Nasdaq listing standards and applicable SEC rules. Our independent directors will have regularly scheduled meetings at which only independent directors are present.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None of our officers or directors have received any cash compensation for services rendered to us.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officers after the completion of our initial business combination will be determined by a compensation committee constituted solely by independent directors.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be . will serve as chairman of the audit committee.</w:t>
      </w:r>
    </w:p>
    <w:p>
      <w:pPr>
        <w:sectPr>
          <w:pgSz w:w="11900" w:h="16838" w:orient="portrait"/>
          <w:cols w:equalWidth="0" w:num="1">
            <w:col w:w="11400"/>
          </w:cols>
          <w:pgMar w:left="240" w:top="225" w:right="259" w:bottom="1440" w:gutter="0" w:footer="0" w:header="0"/>
        </w:sectPr>
      </w:pP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member of the audit committee is financially literate and our board of directors has determined that expert” as defined in applicable SEC rules and has accounting or related financial management expertise.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qualifies as an “audit committee financial</w:t>
      </w:r>
    </w:p>
    <w:p>
      <w:pPr>
        <w:spacing w:after="0" w:line="464" w:lineRule="exact"/>
        <w:rPr>
          <w:sz w:val="20"/>
          <w:szCs w:val="20"/>
          <w:color w:val="auto"/>
        </w:rPr>
      </w:pPr>
    </w:p>
    <w:p>
      <w:pPr>
        <w:sectPr>
          <w:pgSz w:w="11900" w:h="16838" w:orient="portrait"/>
          <w:cols w:equalWidth="0" w:num="2">
            <w:col w:w="7600" w:space="280"/>
            <w:col w:w="3520"/>
          </w:cols>
          <w:pgMar w:left="240" w:top="2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225" w:lineRule="exact"/>
        <w:rPr>
          <w:sz w:val="20"/>
          <w:szCs w:val="20"/>
          <w:color w:val="auto"/>
        </w:rPr>
      </w:pPr>
    </w:p>
    <w:p>
      <w:pPr>
        <w:ind w:left="660" w:right="74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and discussing with the independent auditors all relationships the auditors have with us in order to evaluate their continued independence;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112" w:name="page113"/>
    <w:bookmarkEnd w:id="1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2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 will serve as chairman of the compensation committee. We will adopt a compensation committee charter, which will detail the purpose and responsibility of the compensation committee, including:</w:t>
      </w:r>
    </w:p>
    <w:p>
      <w:pPr>
        <w:spacing w:after="0" w:line="181" w:lineRule="exact"/>
        <w:rPr>
          <w:sz w:val="20"/>
          <w:szCs w:val="20"/>
          <w:color w:val="auto"/>
        </w:rPr>
      </w:pPr>
    </w:p>
    <w:p>
      <w:pPr>
        <w:ind w:left="660" w:right="1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the board of directors. The members of our nominating committee will be . will serve as chair of the nominating committee. We will adopt a nominating committee charter, which will detail the purpose and responsibilities of the nominating committee, including:</w:t>
      </w:r>
    </w:p>
    <w:p>
      <w:pPr>
        <w:spacing w:after="0" w:line="181" w:lineRule="exact"/>
        <w:rPr>
          <w:sz w:val="20"/>
          <w:szCs w:val="20"/>
          <w:color w:val="auto"/>
        </w:rPr>
      </w:pPr>
    </w:p>
    <w:p>
      <w:pPr>
        <w:ind w:left="6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charter will also provide that the nominating committee may, in their sole discretion, retain or obtain the advice of, and terminate, any search firm to be used to identify director candidates, and will be directly responsible for approving the search firm’s fees and other retention terms.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is a part, we will have adopted a code of ethics applicable to our directors, officers and employees (our “Code of Ethics”). Our Code of Ethics will be available on our website upon the completion of this offering. Our Code of Ethics is a “code of ethics,” as defined in Item 406(b) of Regulation S-K. We will make any legally required disclosures regarding amendments to, or waivers of, provisions of our Code of Ethics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225" w:lineRule="exact"/>
        <w:rPr>
          <w:sz w:val="20"/>
          <w:szCs w:val="20"/>
          <w:color w:val="auto"/>
        </w:rPr>
      </w:pPr>
    </w:p>
    <w:p>
      <w:pPr>
        <w:ind w:left="660" w:right="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 For a complete description of our management’s other affiliations, see “—Directors, Director Nominees and Executive Officers.”</w:t>
      </w:r>
    </w:p>
    <w:p>
      <w:pPr>
        <w:spacing w:after="0" w:line="186"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24 months after the closing of this offering. However, if our initial shareholders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this offering, our officers and directors may have a conflict of interest in determining whether a particular target business is an appropriate business with which to effectuate our initial business combination.</w:t>
      </w:r>
    </w:p>
    <w:p>
      <w:pPr>
        <w:spacing w:after="0" w:line="170"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81"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Accordingly, as a result of multiple business affiliations, our officers and directors have similar legal obligations relating to presenting business opportunities meeting the above-listed criteria to multiple entities. Below is a table summarizing the entities to which our officers, directors and director nominees currently have fiduciary duties or contractual obligations: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40" w:type="dxa"/>
            <w:vAlign w:val="bottom"/>
          </w:tcPr>
          <w:p>
            <w:pPr>
              <w:ind w:left="820"/>
              <w:spacing w:after="0"/>
              <w:rPr>
                <w:sz w:val="20"/>
                <w:szCs w:val="20"/>
                <w:color w:val="auto"/>
              </w:rPr>
            </w:pPr>
            <w:r>
              <w:rPr>
                <w:rFonts w:ascii="Arial" w:cs="Arial" w:eastAsia="Arial" w:hAnsi="Arial"/>
                <w:sz w:val="18"/>
                <w:szCs w:val="18"/>
                <w:b w:val="1"/>
                <w:bCs w:val="1"/>
                <w:color w:val="auto"/>
              </w:rPr>
              <w:t>Individual</w:t>
            </w:r>
          </w:p>
        </w:tc>
        <w:tc>
          <w:tcPr>
            <w:tcW w:w="80" w:type="dxa"/>
            <w:vAlign w:val="bottom"/>
          </w:tcPr>
          <w:p>
            <w:pPr>
              <w:spacing w:after="0"/>
              <w:rPr>
                <w:sz w:val="20"/>
                <w:szCs w:val="20"/>
                <w:color w:val="auto"/>
              </w:rPr>
            </w:pPr>
          </w:p>
        </w:tc>
        <w:tc>
          <w:tcPr>
            <w:tcW w:w="3120" w:type="dxa"/>
            <w:vAlign w:val="bottom"/>
          </w:tcPr>
          <w:p>
            <w:pPr>
              <w:ind w:left="1320"/>
              <w:spacing w:after="0"/>
              <w:rPr>
                <w:sz w:val="20"/>
                <w:szCs w:val="20"/>
                <w:color w:val="auto"/>
              </w:rPr>
            </w:pPr>
            <w:r>
              <w:rPr>
                <w:rFonts w:ascii="Arial" w:cs="Arial" w:eastAsia="Arial" w:hAnsi="Arial"/>
                <w:sz w:val="18"/>
                <w:szCs w:val="18"/>
                <w:b w:val="1"/>
                <w:bCs w:val="1"/>
                <w:color w:val="auto"/>
              </w:rPr>
              <w:t>Entity</w:t>
            </w:r>
          </w:p>
        </w:tc>
        <w:tc>
          <w:tcPr>
            <w:tcW w:w="80" w:type="dxa"/>
            <w:vAlign w:val="bottom"/>
          </w:tcPr>
          <w:p>
            <w:pPr>
              <w:spacing w:after="0"/>
              <w:rPr>
                <w:sz w:val="20"/>
                <w:szCs w:val="20"/>
                <w:color w:val="auto"/>
              </w:rPr>
            </w:pPr>
          </w:p>
        </w:tc>
        <w:tc>
          <w:tcPr>
            <w:tcW w:w="2760" w:type="dxa"/>
            <w:vAlign w:val="bottom"/>
          </w:tcPr>
          <w:p>
            <w:pPr>
              <w:ind w:left="740"/>
              <w:spacing w:after="0"/>
              <w:rPr>
                <w:sz w:val="20"/>
                <w:szCs w:val="20"/>
                <w:color w:val="auto"/>
              </w:rPr>
            </w:pPr>
            <w:r>
              <w:rPr>
                <w:rFonts w:ascii="Arial" w:cs="Arial" w:eastAsia="Arial" w:hAnsi="Arial"/>
                <w:sz w:val="18"/>
                <w:szCs w:val="18"/>
                <w:b w:val="1"/>
                <w:bCs w:val="1"/>
                <w:color w:val="auto"/>
              </w:rPr>
              <w:t>Entity’s Business</w:t>
            </w:r>
          </w:p>
        </w:tc>
        <w:tc>
          <w:tcPr>
            <w:tcW w:w="220" w:type="dxa"/>
            <w:vAlign w:val="bottom"/>
          </w:tcPr>
          <w:p>
            <w:pPr>
              <w:spacing w:after="0"/>
              <w:rPr>
                <w:sz w:val="20"/>
                <w:szCs w:val="20"/>
                <w:color w:val="auto"/>
              </w:rPr>
            </w:pPr>
          </w:p>
        </w:tc>
        <w:tc>
          <w:tcPr>
            <w:tcW w:w="2680" w:type="dxa"/>
            <w:vAlign w:val="bottom"/>
            <w:gridSpan w:val="2"/>
          </w:tcPr>
          <w:p>
            <w:pPr>
              <w:ind w:left="920"/>
              <w:spacing w:after="0"/>
              <w:rPr>
                <w:sz w:val="20"/>
                <w:szCs w:val="20"/>
                <w:color w:val="auto"/>
              </w:rPr>
            </w:pPr>
            <w:r>
              <w:rPr>
                <w:rFonts w:ascii="Arial" w:cs="Arial" w:eastAsia="Arial" w:hAnsi="Arial"/>
                <w:sz w:val="18"/>
                <w:szCs w:val="18"/>
                <w:b w:val="1"/>
                <w:bCs w:val="1"/>
                <w:color w:val="auto"/>
              </w:rPr>
              <w:t>Affiliation</w:t>
            </w:r>
          </w:p>
        </w:tc>
      </w:tr>
      <w:tr>
        <w:trPr>
          <w:trHeight w:val="34"/>
        </w:trPr>
        <w:tc>
          <w:tcPr>
            <w:tcW w:w="40" w:type="dxa"/>
            <w:vAlign w:val="bottom"/>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Scott Gordon</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w w:val="92"/>
              </w:rPr>
              <w:t>Egg Rock Holdings (including subsidiaries</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8"/>
              </w:rPr>
              <w:t>Cannabis products, manufacturing,</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Co-founder and Chairman</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w w:val="99"/>
              </w:rPr>
              <w:t>operating the Papa &amp; Barkley business</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processing, and logistics; hemp-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line)</w:t>
            </w: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derived CBD</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Manager, CEO</w:t>
            </w: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William Healy</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Manager</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1"/>
                <w:szCs w:val="21"/>
                <w:color w:val="auto"/>
              </w:rPr>
            </w:pP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Greg Gentile</w:t>
            </w:r>
          </w:p>
        </w:tc>
        <w:tc>
          <w:tcPr>
            <w:tcW w:w="8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Manager, CFO</w:t>
            </w: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Mohammed Grimeh</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Manager, COO</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1"/>
                <w:szCs w:val="21"/>
                <w:color w:val="auto"/>
              </w:rPr>
            </w:pP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40" w:type="dxa"/>
            <w:vAlign w:val="bottom"/>
            <w:shd w:val="clear" w:color="auto" w:fill="D5EAEA"/>
          </w:tcPr>
          <w:p>
            <w:pPr>
              <w:spacing w:after="0"/>
              <w:rPr>
                <w:sz w:val="24"/>
                <w:szCs w:val="24"/>
                <w:color w:val="auto"/>
              </w:rPr>
            </w:pPr>
          </w:p>
        </w:tc>
        <w:tc>
          <w:tcPr>
            <w:tcW w:w="2440" w:type="dxa"/>
            <w:vAlign w:val="bottom"/>
            <w:shd w:val="clear" w:color="auto" w:fill="D5EAEA"/>
          </w:tcPr>
          <w:p>
            <w:pPr>
              <w:spacing w:after="0"/>
              <w:rPr>
                <w:sz w:val="24"/>
                <w:szCs w:val="24"/>
                <w:color w:val="auto"/>
              </w:rPr>
            </w:pPr>
          </w:p>
        </w:tc>
        <w:tc>
          <w:tcPr>
            <w:tcW w:w="80" w:type="dxa"/>
            <w:vAlign w:val="bottom"/>
            <w:shd w:val="clear" w:color="auto" w:fill="D5EAEA"/>
          </w:tcPr>
          <w:p>
            <w:pPr>
              <w:spacing w:after="0"/>
              <w:rPr>
                <w:sz w:val="24"/>
                <w:szCs w:val="24"/>
                <w:color w:val="auto"/>
              </w:rPr>
            </w:pPr>
          </w:p>
        </w:tc>
        <w:tc>
          <w:tcPr>
            <w:tcW w:w="3120" w:type="dxa"/>
            <w:vAlign w:val="bottom"/>
            <w:shd w:val="clear" w:color="auto" w:fill="D5EAEA"/>
          </w:tcPr>
          <w:p>
            <w:pPr>
              <w:spacing w:after="0"/>
              <w:rPr>
                <w:sz w:val="24"/>
                <w:szCs w:val="24"/>
                <w:color w:val="auto"/>
              </w:rPr>
            </w:pPr>
          </w:p>
        </w:tc>
        <w:tc>
          <w:tcPr>
            <w:tcW w:w="80" w:type="dxa"/>
            <w:vAlign w:val="bottom"/>
            <w:shd w:val="clear" w:color="auto" w:fill="D5EAEA"/>
          </w:tcPr>
          <w:p>
            <w:pPr>
              <w:spacing w:after="0"/>
              <w:rPr>
                <w:sz w:val="24"/>
                <w:szCs w:val="24"/>
                <w:color w:val="auto"/>
              </w:rPr>
            </w:pPr>
          </w:p>
        </w:tc>
        <w:tc>
          <w:tcPr>
            <w:tcW w:w="2760" w:type="dxa"/>
            <w:vAlign w:val="bottom"/>
            <w:shd w:val="clear" w:color="auto" w:fill="D5EAEA"/>
          </w:tcPr>
          <w:p>
            <w:pPr>
              <w:spacing w:after="0"/>
              <w:rPr>
                <w:sz w:val="24"/>
                <w:szCs w:val="24"/>
                <w:color w:val="auto"/>
              </w:rPr>
            </w:pPr>
          </w:p>
        </w:tc>
        <w:tc>
          <w:tcPr>
            <w:tcW w:w="220" w:type="dxa"/>
            <w:vAlign w:val="bottom"/>
            <w:shd w:val="clear" w:color="auto" w:fill="D5EAEA"/>
          </w:tcPr>
          <w:p>
            <w:pPr>
              <w:spacing w:after="0"/>
              <w:rPr>
                <w:sz w:val="24"/>
                <w:szCs w:val="24"/>
                <w:color w:val="auto"/>
              </w:rPr>
            </w:pPr>
          </w:p>
        </w:tc>
        <w:tc>
          <w:tcPr>
            <w:tcW w:w="2640" w:type="dxa"/>
            <w:vAlign w:val="bottom"/>
            <w:shd w:val="clear" w:color="auto" w:fill="D5EAEA"/>
          </w:tcPr>
          <w:p>
            <w:pPr>
              <w:spacing w:after="0"/>
              <w:rPr>
                <w:sz w:val="24"/>
                <w:szCs w:val="24"/>
                <w:color w:val="auto"/>
              </w:rPr>
            </w:pPr>
          </w:p>
        </w:tc>
        <w:tc>
          <w:tcPr>
            <w:tcW w:w="40" w:type="dxa"/>
            <w:vAlign w:val="bottom"/>
            <w:shd w:val="clear" w:color="auto" w:fill="D5EAEA"/>
          </w:tcPr>
          <w:p>
            <w:pPr>
              <w:spacing w:after="0"/>
              <w:rPr>
                <w:sz w:val="24"/>
                <w:szCs w:val="24"/>
                <w:color w:val="auto"/>
              </w:rPr>
            </w:pPr>
          </w:p>
        </w:tc>
      </w:tr>
    </w:tbl>
    <w:p>
      <w:pPr>
        <w:spacing w:after="0" w:line="28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16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4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our officers, directors and director nominees as a group.</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prospectus.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post-offering ownership percentage column below assumes that the underwriters do not exercise their over-allotment option, that our sponsor forfeits 937,500 founder shares and that there are 31,250,000 ordinary shares issued and outstanding after this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Approximate Percentage of Issued and</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3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Outstanding Ordinary Shares</w:t>
            </w:r>
          </w:p>
        </w:tc>
        <w:tc>
          <w:tcPr>
            <w:tcW w:w="0" w:type="dxa"/>
            <w:vAlign w:val="bottom"/>
          </w:tcPr>
          <w:p>
            <w:pPr>
              <w:spacing w:after="0"/>
              <w:rPr>
                <w:sz w:val="1"/>
                <w:szCs w:val="1"/>
                <w:color w:val="auto"/>
              </w:rPr>
            </w:pPr>
          </w:p>
        </w:tc>
      </w:tr>
      <w:tr>
        <w:trPr>
          <w:trHeight w:val="178"/>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 A Shares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460"/>
              <w:spacing w:after="0"/>
              <w:rPr>
                <w:sz w:val="20"/>
                <w:szCs w:val="20"/>
                <w:color w:val="auto"/>
              </w:rPr>
            </w:pPr>
            <w:r>
              <w:rPr>
                <w:rFonts w:ascii="Arial" w:cs="Arial" w:eastAsia="Arial" w:hAnsi="Arial"/>
                <w:sz w:val="18"/>
                <w:szCs w:val="18"/>
                <w:b w:val="1"/>
                <w:bCs w:val="1"/>
                <w:color w:val="auto"/>
              </w:rPr>
              <w:t>Name and Address of Beneficial Owner(1)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Owned(2)</w:t>
            </w: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Before Offering</w:t>
            </w: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Silver Spike Sponsor, LLC</w:t>
            </w:r>
          </w:p>
        </w:tc>
        <w:tc>
          <w:tcPr>
            <w:tcW w:w="120" w:type="dxa"/>
            <w:vAlign w:val="bottom"/>
            <w:tcBorders>
              <w:top w:val="single" w:sz="8" w:color="D5EAEA"/>
            </w:tcBorders>
            <w:shd w:val="clear" w:color="auto" w:fill="D5EAEA"/>
          </w:tcPr>
          <w:p>
            <w:pPr>
              <w:spacing w:after="0"/>
              <w:rPr>
                <w:sz w:val="18"/>
                <w:szCs w:val="18"/>
                <w:color w:val="auto"/>
              </w:rPr>
            </w:pPr>
          </w:p>
        </w:tc>
        <w:tc>
          <w:tcPr>
            <w:tcW w:w="16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7,187,500(3)</w:t>
            </w:r>
          </w:p>
        </w:tc>
        <w:tc>
          <w:tcPr>
            <w:tcW w:w="120" w:type="dxa"/>
            <w:vAlign w:val="bottom"/>
            <w:tcBorders>
              <w:top w:val="single" w:sz="8" w:color="D5EAEA"/>
            </w:tcBorders>
            <w:shd w:val="clear" w:color="auto" w:fill="D5EAEA"/>
          </w:tcPr>
          <w:p>
            <w:pPr>
              <w:spacing w:after="0"/>
              <w:rPr>
                <w:sz w:val="18"/>
                <w:szCs w:val="18"/>
                <w:color w:val="auto"/>
              </w:rPr>
            </w:pPr>
          </w:p>
        </w:tc>
        <w:tc>
          <w:tcPr>
            <w:tcW w:w="16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5EAEA"/>
            </w:tcBorders>
            <w:shd w:val="clear" w:color="auto" w:fill="D5EAEA"/>
          </w:tcPr>
          <w:p>
            <w:pPr>
              <w:spacing w:after="0"/>
              <w:rPr>
                <w:sz w:val="18"/>
                <w:szCs w:val="18"/>
                <w:color w:val="auto"/>
              </w:rPr>
            </w:pPr>
          </w:p>
        </w:tc>
        <w:tc>
          <w:tcPr>
            <w:tcW w:w="16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1680" w:type="dxa"/>
            <w:vAlign w:val="bottom"/>
          </w:tcPr>
          <w:p>
            <w:pPr>
              <w:jc w:val="right"/>
              <w:spacing w:after="0"/>
              <w:rPr>
                <w:sz w:val="20"/>
                <w:szCs w:val="20"/>
                <w:color w:val="auto"/>
              </w:rPr>
            </w:pPr>
            <w:r>
              <w:rPr>
                <w:rFonts w:ascii="Arial" w:cs="Arial" w:eastAsia="Arial" w:hAnsi="Arial"/>
                <w:sz w:val="18"/>
                <w:szCs w:val="18"/>
                <w:color w:val="auto"/>
              </w:rPr>
              <w:t>7,187,500(3)</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William Healy</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Greg Gentile</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Mohammed Grimeh</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All directors, director nominees and officers as a group (  individuals)</w:t>
            </w:r>
          </w:p>
        </w:tc>
        <w:tc>
          <w:tcPr>
            <w:tcW w:w="2360" w:type="dxa"/>
            <w:vAlign w:val="bottom"/>
          </w:tcPr>
          <w:p>
            <w:pPr>
              <w:jc w:val="right"/>
              <w:ind w:right="610"/>
              <w:spacing w:after="0"/>
              <w:rPr>
                <w:sz w:val="20"/>
                <w:szCs w:val="20"/>
                <w:color w:val="auto"/>
              </w:rPr>
            </w:pPr>
            <w:r>
              <w:rPr>
                <w:rFonts w:ascii="Arial" w:cs="Arial" w:eastAsia="Arial" w:hAnsi="Arial"/>
                <w:sz w:val="18"/>
                <w:szCs w:val="18"/>
                <w:color w:val="auto"/>
              </w:rPr>
              <w:t>7,187,500</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4490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right="26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1114 6th Ave, 41st Floor, New York, New York, 10036, United States of America.</w:t>
      </w:r>
    </w:p>
    <w:p>
      <w:pPr>
        <w:spacing w:after="0" w:line="170" w:lineRule="exact"/>
        <w:rPr>
          <w:rFonts w:ascii="Arial" w:cs="Arial" w:eastAsia="Arial" w:hAnsi="Arial"/>
          <w:sz w:val="18"/>
          <w:szCs w:val="18"/>
          <w:color w:val="auto"/>
        </w:rPr>
      </w:pPr>
    </w:p>
    <w:p>
      <w:pPr>
        <w:ind w:left="340" w:right="2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 subject to adjustment as described below adjacent to the caption “Description of Securities—Founder Shares.”</w:t>
      </w:r>
    </w:p>
    <w:p>
      <w:pPr>
        <w:spacing w:after="0" w:line="181" w:lineRule="exact"/>
        <w:rPr>
          <w:sz w:val="20"/>
          <w:szCs w:val="20"/>
          <w:color w:val="auto"/>
        </w:rPr>
      </w:pPr>
    </w:p>
    <w:p>
      <w:pPr>
        <w:ind w:left="340" w:right="20" w:hanging="339"/>
        <w:spacing w:after="0" w:line="259" w:lineRule="auto"/>
        <w:tabs>
          <w:tab w:leader="none" w:pos="320" w:val="left"/>
        </w:tabs>
        <w:rPr>
          <w:sz w:val="20"/>
          <w:szCs w:val="20"/>
          <w:color w:val="auto"/>
        </w:rPr>
      </w:pPr>
      <w:r>
        <w:rPr>
          <w:rFonts w:ascii="Arial" w:cs="Arial" w:eastAsia="Arial" w:hAnsi="Arial"/>
          <w:sz w:val="18"/>
          <w:szCs w:val="18"/>
          <w:color w:val="auto"/>
        </w:rPr>
        <w:t>(3)</w:t>
        <w:tab/>
        <w:t>Represents founder shares held by our sponsor. Scott Gordon, Mohammed Grimeh, William Healy and Gregory Gentile hold %, %, % and % of the equity interests in Silver Spike Sponsor, LLC. Scott Gordon is a manager of our sponsor. Accordingly, all of the shares held by our sponsor may be deemed to be beneficially held by Scott Gordon. Scott Gordon disclaims beneficial ownership of the ordinary shares held by our sponsor except to the extent of his pecuniary interest therein.</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Immediately after this offering, our initial shareholders will beneficially own 20.0% of the then issued and outstanding ordinary shares (assuming our initial shareholders do not purchase any other units in this offering). Prior to our initial business combination, only holders of our founder shares will have the right to vote on the election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sponsor has committed, pursuant to a written agreement,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The purchase price of the private placement warrants will be added to the proceeds from this offering to be held in the trust account. If we do not complete our initial business combination within 24 months from the closing of this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73"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Our sponsor and our officers and directors are deemed to be our “promoters” as such term is defined under the federal securities laws. See “Certain Relationships and Related Party Transactions” for additional information regarding our relationships with our promoters.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shares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Our initial shareholders will collectively own 20% of our issued and outstanding shares after this offering (assuming our initial shareholders do not purchase any other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sponsor has committed, pursuant to a written agreement, to purchase an aggregate of 7,000,000 (or 7,750,000 if the underwriters’ over-allotment option is exercised in full) private placement warrants for a purchase price of $1.00 per warrant in a private placement that will occur simultaneously with the closing of this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more fully discussed in “Management—Conflicts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Shareholders—Registration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the consummation of this offering, we will adopt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16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187" w:lineRule="exact"/>
        <w:rPr>
          <w:sz w:val="20"/>
          <w:szCs w:val="20"/>
          <w:color w:val="auto"/>
        </w:rPr>
      </w:pPr>
    </w:p>
    <w:p>
      <w:pPr>
        <w:ind w:left="660" w:right="1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 of an aggregate of up to $250,000 in loans that may be made to us by our sponsor to cover offering-related and organizational expenses (as of June 11, 2019, we had borrowed $12,500 from our sponsor);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2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above payments may be funded using the net proceeds of this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are a Cayman Islands exempted company (company number 352066) and our affairs will be governed by our amended and restated memorandum and articles of association, the Companies Law and common law of the Cayman Islands. Pursuant to our amended and restated memorandum and articles of association which will be adopted upon the consummation of this offering, we will be authorized to issue ordinary shares, including 200,000,000 Class A ordinary shares, $0.0001 par value each, and 20,000,000 Class B ordinary shares, par value $0.0001 per share, as well as 1,000,000 undesignated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unit has an offering price of $10.00 and consists of one Class A ordinary share and one-half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which will include this audited balance sheet.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date of this prospectus, there were 7,187,500 Class B ordinary shares issued and outstanding, all of which were held of record by our sponsor, so that our sponsor will own 20% of our issued and outstanding shares after this offering (assuming our initial shareholder does not purchase any units in this offering). Our sponsor will forfeit up to 937,500 Class B ordinary shares depending on the extent to which the underwriter’s over-allotment is not exercised. Upon the closing of this offering, 31,250,000 ordinary shares will be issued and outstanding (assuming no exercise of the underwriter’s over-allotment option and forfeiture of 937,500 Class B ordinary shares by our sponsor) including:</w:t>
      </w:r>
    </w:p>
    <w:p>
      <w:pPr>
        <w:spacing w:after="0" w:line="18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being offered in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6,250,000 Class B ordinary shares held by our initial shareholders.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Because our amended and restated memorandum and articles of association will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this prospectus),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initial shareholders acquire public shares after this offering, they will be entitled to liquidating distributions from the trust account with respect to such public shares if we fail to complete our initial business combination within the prescribed time period.</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founder shares are designated as Class B ordinary shares and are identical to the Class A ordinary shares included in the units being sold in this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Up to 937,500 founder shares will be forfeited for no consideration by our sponsor depending on the exercise of the over-allotment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we must keep a register of members and there shall be entered therein: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2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amended and restated memorandum and articles of association will authorize 1,000,000 preferred shares and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 No preferred shares are being issued or registered in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Shareholders’ Redeemable Warrants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warrants, unless the issuance of the shares upon such exercise is registered or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warrants for redemption:</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660" w:right="480" w:hanging="328"/>
        <w:spacing w:after="0" w:line="286"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24 months from the closing of this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purchasable upon the exercise of the warrants immediately prior to such adjustment, and (y) the denominator of which will be the number of Class A ordinary shares so purchasable immediately thereafter.</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3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public warrants to make any change that adversely affects the interests of the registered holders of public warrants.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 fractional warrants will be issued upon separation of the units and only whole warrants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In certain circumstances, the Companies Law allows for mergers or consolidations between two Cayman Islands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between a Cayman Islands exempted company and a company incorporated in another jurisdiction (provided that is facilitated by the laws of that other jurisdiction).</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Companies Law provides for a right of dissenting shareholders to be paid a payment of the fair value of his or her shares upon their dissenting to the merger or consolidation in certain circumstances if they follow a prescribed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67" w:lineRule="exact"/>
        <w:rPr>
          <w:sz w:val="20"/>
          <w:szCs w:val="20"/>
          <w:color w:val="auto"/>
        </w:rPr>
      </w:pPr>
    </w:p>
    <w:p>
      <w:pPr>
        <w:ind w:left="660" w:right="6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 months, the offeror</w:t>
      </w:r>
      <w:r>
        <w:rPr>
          <w:rFonts w:ascii="Arial" w:cs="Arial" w:eastAsia="Arial" w:hAnsi="Arial"/>
          <w:sz w:val="18"/>
          <w:szCs w:val="18"/>
          <w:i w:val="1"/>
          <w:iCs w:val="1"/>
          <w:color w:val="auto"/>
        </w:rPr>
        <w:t xml:space="preserve"> </w:t>
      </w:r>
      <w:r>
        <w:rPr>
          <w:rFonts w:ascii="Arial" w:cs="Arial" w:eastAsia="Arial" w:hAnsi="Arial"/>
          <w:sz w:val="18"/>
          <w:szCs w:val="18"/>
          <w:color w:val="auto"/>
        </w:rPr>
        <w:t>may, within a two-month period, require the holders of the remaining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Our Cayman Islands counsel is not aware of any reported class action having been brought in a Cayman Islands court. Derivative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7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have a direct right of action against us where the individual rights of that shareholder have been infringed or are about to be infringed.</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Enforcement of Civil Liabilitie</w:t>
      </w:r>
      <w:r>
        <w:rPr>
          <w:rFonts w:ascii="Arial" w:cs="Arial" w:eastAsia="Arial" w:hAnsi="Arial"/>
          <w:sz w:val="17"/>
          <w:szCs w:val="17"/>
          <w:color w:val="auto"/>
        </w:rPr>
        <w:t>s. The Cayman Islands has a different body of securities laws as compared to the United States and provides less protection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Additionally, Cayman Islands companies may not have standing to sue before the federal courts of the United States.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 liability, as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3" w:lineRule="exact"/>
        <w:rPr>
          <w:sz w:val="20"/>
          <w:szCs w:val="20"/>
          <w:color w:val="auto"/>
        </w:rPr>
      </w:pPr>
    </w:p>
    <w:p>
      <w:pPr>
        <w:ind w:left="660" w:right="30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memorandum and articles of association will contain certain requirements and restrictions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initial shareholders, who collectively will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187" w:lineRule="exact"/>
        <w:rPr>
          <w:sz w:val="20"/>
          <w:szCs w:val="20"/>
          <w:color w:val="auto"/>
        </w:rPr>
      </w:pPr>
    </w:p>
    <w:p>
      <w:pPr>
        <w:ind w:left="660" w:right="180" w:hanging="328"/>
        <w:spacing w:after="0" w:line="27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78"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we enter into a business combination with a target business that is affiliated with our sponsor, our directors or our officers (which we currently do not intend to do), we, or a committee of independent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disinterested directors, will obtain an opinion from an independent investment banking firm, or from an independent accounting firm, that such a business combination is fair to our company from a financial point of view;</w:t>
      </w:r>
    </w:p>
    <w:p>
      <w:pPr>
        <w:spacing w:after="0" w:line="170" w:lineRule="exact"/>
        <w:rPr>
          <w:sz w:val="20"/>
          <w:szCs w:val="20"/>
          <w:color w:val="auto"/>
        </w:rPr>
      </w:pPr>
    </w:p>
    <w:p>
      <w:pPr>
        <w:ind w:left="660" w:right="80" w:hanging="328"/>
        <w:spacing w:after="0" w:line="279"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1" w:lineRule="exact"/>
        <w:rPr>
          <w:rFonts w:ascii="Arial" w:cs="Arial" w:eastAsia="Arial" w:hAnsi="Arial"/>
          <w:sz w:val="17"/>
          <w:szCs w:val="17"/>
          <w:color w:val="auto"/>
        </w:rPr>
      </w:pPr>
    </w:p>
    <w:p>
      <w:pPr>
        <w:ind w:left="660" w:right="60" w:hanging="328"/>
        <w:spacing w:after="0" w:line="28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165"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p>
      <w:pPr>
        <w:spacing w:after="0" w:line="186"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Money Laundering Regulations (2018 Revision) of the Cayman Islands, as amended and revised from time to time (the “Regulations”). Depending on the circumstances of each application, a detailed verification of identity might not be required where:</w:t>
      </w:r>
    </w:p>
    <w:p>
      <w:pPr>
        <w:spacing w:after="0" w:line="170"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subscriber makes the payment for their investment from an account held in the subscriber’s name at a recognized financial institution;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subscriber is regulated by a recognized regulatory authority and is based or incorporated in, or formed under the law of, a recognized jurisdiction; or</w:t>
      </w:r>
    </w:p>
    <w:p>
      <w:pPr>
        <w:spacing w:after="0" w:line="248" w:lineRule="exact"/>
        <w:rPr>
          <w:rFonts w:ascii="Arial" w:cs="Arial" w:eastAsia="Arial" w:hAnsi="Arial"/>
          <w:sz w:val="16"/>
          <w:szCs w:val="16"/>
          <w:color w:val="auto"/>
        </w:rPr>
      </w:pPr>
    </w:p>
    <w:p>
      <w:pPr>
        <w:ind w:left="340" w:right="36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2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47" w:lineRule="exact"/>
        <w:rPr>
          <w:sz w:val="20"/>
          <w:szCs w:val="20"/>
          <w:color w:val="auto"/>
        </w:rPr>
      </w:pPr>
    </w:p>
    <w:p>
      <w:pPr>
        <w:jc w:val="both"/>
        <w:ind w:right="820"/>
        <w:spacing w:after="0" w:line="286"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Immediately after this offering we will have 31,250,000 (or 35,937,500 if the underwriters’ over-allotment option is exercised in full) ordinary shares issued and outstanding. Of these shares, the 25,000,000 Class A ordinary shares (or 28,750,000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6,250,000 (or 7,187,500 if the underwriters’ over-allotment option is exercised in full) founder shares and all 7,000,000 (or 7,750,000 if the underwriters’ over-allotment option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1" w:lineRule="exact"/>
        <w:rPr>
          <w:sz w:val="20"/>
          <w:szCs w:val="20"/>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312,500 shares immediately after this offering (or 359,375 if the underwriters exercise their over-allotment option in full); 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intend to apply to list our units, Class A ordinary shares and warrants on Nasdaq under the symbols “SSPKU,” “SSPK” and “SSPKW,” respectively. We expect that our units will be listed on Nasdaq promptly on or after the effective date of the registration statement. Following the date the Class A ordinary shares and warrants are eligible to trade separately, we anticipate that the Class A ordinary shares and warrants will be listed separately and as a unit on Nasdaq. We cannot guarantee that our securities will be approved for listing on Nasdaq.</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INCOME TAX CONSIDERATIONS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summary of certain Cayman Islands and U.S. federal income tax considerations relevant to an investment in our units, Class A ordinary shares and warrants is based upon laws and relevant interpretations thereof in effect as of the date of this prospectus, all of which are subject to change. This summary does not deal with all possible tax consequences relating to an investment in our ordinary shares and warrants, such as the tax consequences under state, local and other tax laws.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securities under the laws of their country of citizenship, residence or domicile.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stamp duty is payable in respect of the issue of our securities or on an instrument of transfer in respect of our securities.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Revision)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(2018 Revision), the Financial Secretary undertakes with Silver Spike Acquisition Corp. (“the Company”).</w:t>
      </w:r>
    </w:p>
    <w:p>
      <w:pPr>
        <w:spacing w:after="0" w:line="170" w:lineRule="exact"/>
        <w:rPr>
          <w:sz w:val="20"/>
          <w:szCs w:val="20"/>
          <w:color w:val="auto"/>
        </w:rPr>
      </w:pPr>
    </w:p>
    <w:p>
      <w:pPr>
        <w:ind w:left="340" w:right="1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340" w:right="140" w:hanging="332"/>
        <w:spacing w:after="0" w:line="501"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 2.1 on or in respect of the shares, debentures or other obligations of the Company;</w:t>
      </w: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2.2 by way of the withholding in whole or part, of any relevant payment as defined in Section 6(3) of the Tax Concessions Law (2018 Revision).</w:t>
      </w:r>
    </w:p>
    <w:p>
      <w:pPr>
        <w:spacing w:after="0" w:line="236"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These concessions shall be for a period of 30 years from the date hereof.</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16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sponsor;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persons that actually or constructively own five percent or more of our voting shares or ten percent or more of the total value of our shares;</w:t>
      </w:r>
    </w:p>
    <w:p>
      <w:pPr>
        <w:spacing w:after="0" w:line="236"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The price allocated to each Class A ordinary share and one-half of one warrant should be the shareholder’s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warrant based on their respective relative fair market values. The separation of the Class A ordinary share and the one-half of one warrant constituting a unit should not be a taxable event for United States federal income tax purposes.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passive foreign investment company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are met, including that we are not classified as a PFIC during the taxable year in which the dividend is paid or the preceding taxable year. U.S. Holders should consult their tax advisors regarding the availability of such lower rate for any dividends paid with respect to our Class A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225"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or Lapse of a Warrant” below for a discussion regarding a U.S. Holder’s basis in a Class A ordinary share acquired pursuant to the exercise of a warrant. The deduction of capital losses is subject to certain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the treatment of the transaction for United States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71"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w:t>
      </w:r>
    </w:p>
    <w:p>
      <w:pPr>
        <w:ind w:right="80"/>
        <w:spacing w:after="0" w:line="285" w:lineRule="auto"/>
        <w:rPr>
          <w:sz w:val="20"/>
          <w:szCs w:val="20"/>
          <w:color w:val="auto"/>
        </w:rPr>
      </w:pPr>
      <w:r>
        <w:rPr>
          <w:rFonts w:ascii="Arial" w:cs="Arial" w:eastAsia="Arial" w:hAnsi="Arial"/>
          <w:sz w:val="16"/>
          <w:szCs w:val="16"/>
          <w:color w:val="auto"/>
        </w:rPr>
        <w:t>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Warrant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U.S. Holders’ proportionate interest in our assets or earnings and profits (e.g., through an increase in the number of Class A ordinary shares that would be obtained upon exercise) as a result of a distribution of cash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ending December 31, 2019.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Although subject to uncertainty, we may qualify for the startup exception for 2019, and, accordingly, we would not be treated as a PFIC for 2019. The applicability of the startup exception to us will not be known until after the close of our current taxable year ending December 31, 2019 and, perhaps, until after the close of the first two taxable years following our startup year (within the meaning of the startup exception). Although subject to uncertainty, it is possible that we could be treated as a PFIC for a taxable year prior to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 PFIC for our current taxable year ending December 31, 2019. Our actual PFIC status for our current taxable year or any subsequent taxable year will not be determinable until after the end of such taxable year. Accordingly, there can be no assurance with respect to our status as a PFIC for our current taxable year ending December 31, 2019 or any future taxable year.</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Although our PFIC status is determined annually, an initial determination that our company is a PFIC will generally apply for subsequent years to a U.S. Holder who held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right="5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170" w:lineRule="exact"/>
        <w:rPr>
          <w:rFonts w:ascii="Arial" w:cs="Arial" w:eastAsia="Arial" w:hAnsi="Arial"/>
          <w:sz w:val="18"/>
          <w:szCs w:val="18"/>
          <w:color w:val="auto"/>
        </w:rPr>
      </w:pPr>
    </w:p>
    <w:p>
      <w:pPr>
        <w:jc w:val="both"/>
        <w:ind w:left="660" w:right="32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lower-tier PFIC to provide such required information. U.S. Holders are urged to consult their tax advisors regarding the tax issues raised by lower-tier PFICs.</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Reporting</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Persons who are required to report specified foreign financial assets and fail to do so may be subject to substantial penalties. Potential investors are urged to consult their tax advisers regarding the foreign financial asset and other reporting obligations and their application to an investment in our Class A ordinary shares and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United States federal income tax treatment of a Non-U.S. Holder’s exercise of a warrant, or the lapse of a warrant held by a Non-U.S. Holder, generally will correspond to the United States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5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 2019, we have agreed to sell to the underwriters named below the following respective numbers of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20" w:type="dxa"/>
            <w:vAlign w:val="bottom"/>
            <w:gridSpan w:val="2"/>
          </w:tcPr>
          <w:p>
            <w:pPr>
              <w:ind w:left="4360"/>
              <w:spacing w:after="0"/>
              <w:rPr>
                <w:sz w:val="20"/>
                <w:szCs w:val="20"/>
                <w:color w:val="auto"/>
              </w:rPr>
            </w:pPr>
            <w:r>
              <w:rPr>
                <w:rFonts w:ascii="Arial" w:cs="Arial" w:eastAsia="Arial" w:hAnsi="Arial"/>
                <w:sz w:val="18"/>
                <w:szCs w:val="18"/>
                <w:b w:val="1"/>
                <w:bCs w:val="1"/>
                <w:color w:val="auto"/>
              </w:rPr>
              <w:t>Underwriter</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Credit Suisse Securities (USA) LLC</w:t>
            </w:r>
          </w:p>
        </w:tc>
        <w:tc>
          <w:tcPr>
            <w:tcW w:w="12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70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58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units in this offering if any are purchased, other than those units covered by the over-allotment option described below.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granted to the underwriters a 45-day option to purchase on a pro rata basis up to 3,750,000 additional units at the initial public offering price, less the underwriting discounts and commissions. The option may be exercised only to cover any over-allotments of units.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underwriters propose to offer the units initially at the public offering price on the cover page of this prospectus and to selling group members at that price less a selling concession of $ per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Per Unit(1)</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Total(2)</w:t>
            </w:r>
          </w:p>
        </w:tc>
        <w:tc>
          <w:tcPr>
            <w:tcW w:w="1280" w:type="dxa"/>
            <w:vAlign w:val="bottom"/>
            <w:tcBorders>
              <w:bottom w:val="single" w:sz="8" w:color="auto"/>
            </w:tcBorders>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270"/>
              <w:spacing w:after="0" w:line="191" w:lineRule="exact"/>
              <w:rPr>
                <w:sz w:val="20"/>
                <w:szCs w:val="20"/>
                <w:color w:val="auto"/>
              </w:rPr>
            </w:pPr>
            <w:r>
              <w:rPr>
                <w:rFonts w:ascii="Arial" w:cs="Arial" w:eastAsia="Arial" w:hAnsi="Arial"/>
                <w:sz w:val="18"/>
                <w:szCs w:val="18"/>
                <w:b w:val="1"/>
                <w:bCs w:val="1"/>
                <w:color w:val="auto"/>
                <w:w w:val="96"/>
              </w:rPr>
              <w:t>With Over-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4"/>
              </w:rPr>
              <w:t>With Over-</w:t>
            </w:r>
          </w:p>
        </w:tc>
      </w:tr>
      <w:tr>
        <w:trPr>
          <w:trHeight w:val="234"/>
        </w:trPr>
        <w:tc>
          <w:tcPr>
            <w:tcW w:w="470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allotment</w:t>
            </w:r>
          </w:p>
        </w:tc>
        <w:tc>
          <w:tcPr>
            <w:tcW w:w="140" w:type="dxa"/>
            <w:vAlign w:val="bottom"/>
            <w:tcBorders>
              <w:bottom w:val="single" w:sz="8" w:color="D5EAEA"/>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Allotment</w:t>
            </w:r>
          </w:p>
        </w:tc>
        <w:tc>
          <w:tcPr>
            <w:tcW w:w="12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allotment</w:t>
            </w:r>
          </w:p>
        </w:tc>
        <w:tc>
          <w:tcPr>
            <w:tcW w:w="100" w:type="dxa"/>
            <w:vAlign w:val="bottom"/>
            <w:tcBorders>
              <w:bottom w:val="single" w:sz="8" w:color="D5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Allotment</w:t>
            </w:r>
          </w:p>
        </w:tc>
      </w:tr>
      <w:tr>
        <w:trPr>
          <w:trHeight w:val="210"/>
        </w:trPr>
        <w:tc>
          <w:tcPr>
            <w:tcW w:w="4700" w:type="dxa"/>
            <w:vAlign w:val="bottom"/>
            <w:shd w:val="clear" w:color="auto" w:fill="D5EAEA"/>
          </w:tcPr>
          <w:p>
            <w:pPr>
              <w:spacing w:after="0"/>
              <w:rPr>
                <w:sz w:val="20"/>
                <w:szCs w:val="20"/>
                <w:color w:val="auto"/>
              </w:rPr>
            </w:pPr>
            <w:r>
              <w:rPr>
                <w:rFonts w:ascii="Arial" w:cs="Arial" w:eastAsia="Arial" w:hAnsi="Arial"/>
                <w:sz w:val="18"/>
                <w:szCs w:val="18"/>
                <w:color w:val="auto"/>
              </w:rPr>
              <w:t>Underwriting Discounts and Commissions paid by us</w:t>
            </w:r>
          </w:p>
        </w:tc>
        <w:tc>
          <w:tcPr>
            <w:tcW w:w="1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5EAEA"/>
          </w:tcPr>
          <w:p>
            <w:pPr>
              <w:spacing w:after="0"/>
              <w:rPr>
                <w:sz w:val="18"/>
                <w:szCs w:val="18"/>
                <w:color w:val="auto"/>
              </w:rPr>
            </w:pPr>
          </w:p>
        </w:tc>
        <w:tc>
          <w:tcPr>
            <w:tcW w:w="340" w:type="dxa"/>
            <w:vAlign w:val="bottom"/>
            <w:shd w:val="clear" w:color="auto" w:fill="D5EAEA"/>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D5EAEA"/>
          </w:tcPr>
          <w:p>
            <w:pPr>
              <w:spacing w:after="0"/>
              <w:rPr>
                <w:sz w:val="18"/>
                <w:szCs w:val="18"/>
                <w:color w:val="auto"/>
              </w:rPr>
            </w:pPr>
          </w:p>
        </w:tc>
        <w:tc>
          <w:tcPr>
            <w:tcW w:w="160" w:type="dxa"/>
            <w:vAlign w:val="bottom"/>
            <w:shd w:val="clear" w:color="auto" w:fill="D5EAEA"/>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13,750,000</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15,812,500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left="340" w:right="180" w:hanging="332"/>
        <w:spacing w:after="0" w:line="259"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$1,000,000. We have agreed to pay for the FINRA-related fees and expenses of the underwriters’ legal counsel, not to exceed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 has informed us that the underwriters do not intend to make sales to discretionary accounts.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our sponsor and our officers and directors have agreed that we will not offer, sell, contract to sell, pledge or otherwise dispose of, directly or indirectly, without the prior written consent of Credit Suisse Securities (USA) LLC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Credit Suisse Securities (USA) LLC in its sole discretion may release any of the securities subject to these lock-up agreements at any time without notice.</w:t>
      </w:r>
    </w:p>
    <w:p>
      <w:pPr>
        <w:spacing w:after="0" w:line="18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Our initial shareholders have agreed not to transfer, assign or sell any of their founder shares and any Class A ordinary shares issued upon conversion thereof until the earlier to occur of (A) one year after the completion of our initial business combination or (B) subsequent to our initial business combination, (x) if the last reported sale price of Class A ordinary shares equals or exceeds $12.00 per share (as adjusted for share splits, share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our units to be listed on Nasdaq, under the symbol “SSPKU” and, once the Class A ordinary shares and warrants begin separate trading, to have our Class A ordinary shares and warrants listed on Nasdaq under the symbols “SSPK” and “SSPKW,” respectively.</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do not complete our initial business combination within the period provided in our amended and restated memorandum and articles of association, the underwriters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ind w:left="660" w:right="60" w:hanging="328"/>
        <w:spacing w:after="0" w:line="29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line="293"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open market. A naked short position is more likely to be created if the underwriters are concerned that there could be downward pressure on the price of the units in the open market after pricing that could adversely affect investors who purchase in this offering.</w:t>
      </w:r>
    </w:p>
    <w:p>
      <w:pPr>
        <w:spacing w:after="0" w:line="164"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units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Each of the underwriters has represented and agreed that it has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6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225" w:lineRule="exact"/>
        <w:rPr>
          <w:sz w:val="20"/>
          <w:szCs w:val="20"/>
          <w:color w:val="auto"/>
        </w:rPr>
      </w:pPr>
    </w:p>
    <w:p>
      <w:pPr>
        <w:ind w:left="660" w:right="280" w:hanging="328"/>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units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w:t>
      </w:r>
    </w:p>
    <w:p>
      <w:pPr>
        <w:ind w:firstLine="8"/>
        <w:spacing w:after="0" w:line="252" w:lineRule="auto"/>
        <w:tabs>
          <w:tab w:leader="none" w:pos="2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units be circulated or distributed, whether directly or indirectly, to the public or any member of the public in Singapore other than (a) to an institutional investor or other person specified in Section 274 of the Securities and Futures Act,</w:t>
      </w:r>
    </w:p>
    <w:p>
      <w:pPr>
        <w:spacing w:after="0" w:line="2" w:lineRule="exact"/>
        <w:rPr>
          <w:sz w:val="20"/>
          <w:szCs w:val="20"/>
          <w:color w:val="auto"/>
        </w:rPr>
      </w:pPr>
    </w:p>
    <w:p>
      <w:pPr>
        <w:ind w:right="200" w:firstLine="8"/>
        <w:spacing w:after="0" w:line="261"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each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France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660" w:right="2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Canadian purchasers are hereby notified that Credit Suisse Securities (USA) LLC is relying on the exemption set out in section 3A.3 or 3A.4, if applicable, of National Instrument 33-105—Underwriting Conflicts from having to provide certain conflict of interest disclosure in this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Skadden, Arps, Slate, Meagher &amp; Flom LLP, Los Angeles, California, is acting as counsel to the underwriters.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of Silver Spike Acquisition Corp. as of June 11, 2019 and for the period from June 7, 2019 (inception) through June 11, 2019 appearing in this prospectus have been audited by Marcum LLP, independent registered public accounting firm, as set forth in their report thereon (which contains an explanatory paragraph relating to substantial doubt about the ability of Silver Spike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5"/>
          </w:tcPr>
          <w:p>
            <w:pPr>
              <w:jc w:val="center"/>
              <w:ind w:right="2600"/>
              <w:spacing w:after="0"/>
              <w:rPr>
                <w:sz w:val="20"/>
                <w:szCs w:val="20"/>
                <w:color w:val="auto"/>
              </w:rPr>
            </w:pPr>
            <w:r>
              <w:rPr>
                <w:rFonts w:ascii="Arial" w:cs="Arial" w:eastAsia="Arial" w:hAnsi="Arial"/>
                <w:sz w:val="18"/>
                <w:szCs w:val="18"/>
                <w:b w:val="1"/>
                <w:bCs w:val="1"/>
                <w:color w:val="auto"/>
              </w:rPr>
              <w:t>SILVER SPIKE ACQUISITION CORP.</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3"/>
              </w:rPr>
              <w:t>Page</w:t>
            </w:r>
          </w:p>
        </w:tc>
      </w:tr>
      <w:tr>
        <w:trPr>
          <w:trHeight w:val="453"/>
        </w:trPr>
        <w:tc>
          <w:tcPr>
            <w:tcW w:w="40" w:type="dxa"/>
            <w:vAlign w:val="bottom"/>
          </w:tcPr>
          <w:p>
            <w:pPr>
              <w:spacing w:after="0"/>
              <w:rPr>
                <w:sz w:val="24"/>
                <w:szCs w:val="24"/>
                <w:color w:val="auto"/>
              </w:rPr>
            </w:pPr>
          </w:p>
        </w:tc>
        <w:tc>
          <w:tcPr>
            <w:tcW w:w="10780" w:type="dxa"/>
            <w:vAlign w:val="bottom"/>
            <w:gridSpan w:val="8"/>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2"/>
          </w:tcPr>
          <w:p>
            <w:pPr>
              <w:jc w:val="center"/>
              <w:ind w:right="40"/>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F-2</w:t>
              </w:r>
            </w:hyperlink>
          </w:p>
        </w:tc>
      </w:tr>
      <w:tr>
        <w:trPr>
          <w:trHeight w:val="318"/>
        </w:trPr>
        <w:tc>
          <w:tcPr>
            <w:tcW w:w="40" w:type="dxa"/>
            <w:vAlign w:val="bottom"/>
          </w:tcPr>
          <w:p>
            <w:pPr>
              <w:spacing w:after="0"/>
              <w:rPr>
                <w:sz w:val="24"/>
                <w:szCs w:val="24"/>
                <w:color w:val="auto"/>
              </w:rPr>
            </w:pPr>
          </w:p>
        </w:tc>
        <w:tc>
          <w:tcPr>
            <w:tcW w:w="58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498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10780" w:type="dxa"/>
            <w:vAlign w:val="bottom"/>
            <w:gridSpan w:val="8"/>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BALANCE SHEET AS OF JUNE 11, 2019</w:t>
              </w:r>
            </w:hyperlink>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center"/>
              <w:ind w:right="40"/>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61">
              <w:r>
                <w:rPr>
                  <w:rFonts w:ascii="Arial" w:cs="Arial" w:eastAsia="Arial" w:hAnsi="Arial"/>
                  <w:sz w:val="18"/>
                  <w:szCs w:val="18"/>
                  <w:color w:val="0000EE"/>
                  <w:w w:val="93"/>
                </w:rPr>
                <w:t>STATEMENT OF OPERATIONS FOR THE PERIOD FOR THE PERIOD FROM JUNE 7, 2019 (INCEPTION) THROUGH JUNE 11, 2019</w:t>
              </w:r>
            </w:hyperlink>
          </w:p>
        </w:tc>
        <w:tc>
          <w:tcPr>
            <w:tcW w:w="5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F-4</w:t>
              </w:r>
            </w:hyperlink>
          </w:p>
        </w:tc>
        <w:tc>
          <w:tcPr>
            <w:tcW w:w="4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105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62">
              <w:r>
                <w:rPr>
                  <w:rFonts w:ascii="Arial" w:cs="Arial" w:eastAsia="Arial" w:hAnsi="Arial"/>
                  <w:sz w:val="18"/>
                  <w:szCs w:val="18"/>
                  <w:color w:val="0000EE"/>
                  <w:w w:val="94"/>
                </w:rPr>
                <w:t>STATEMENT OF CHANGES IN SHAREHOLDER'S EQUITY FOR THE PERIOD FROM JUNE 7, 2019 (INCEPTION) THROUGH JUNE 11,</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F-5</w:t>
              </w:r>
            </w:hyperlink>
          </w:p>
        </w:tc>
        <w:tc>
          <w:tcPr>
            <w:tcW w:w="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62">
              <w:r>
                <w:rPr>
                  <w:rFonts w:ascii="Arial" w:cs="Arial" w:eastAsia="Arial" w:hAnsi="Arial"/>
                  <w:sz w:val="18"/>
                  <w:szCs w:val="18"/>
                  <w:color w:val="0000EE"/>
                  <w:w w:val="84"/>
                </w:rPr>
                <w:t>2019</w:t>
              </w:r>
            </w:hyperlink>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40" w:type="dxa"/>
            <w:vAlign w:val="bottom"/>
          </w:tcPr>
          <w:p>
            <w:pPr>
              <w:spacing w:after="0"/>
              <w:rPr>
                <w:sz w:val="24"/>
                <w:szCs w:val="24"/>
                <w:color w:val="auto"/>
              </w:rPr>
            </w:pPr>
          </w:p>
        </w:tc>
        <w:tc>
          <w:tcPr>
            <w:tcW w:w="10780" w:type="dxa"/>
            <w:vAlign w:val="bottom"/>
            <w:gridSpan w:val="8"/>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STATEMENT OF CASH FLOWS FOR THE PERIOD FROM JUNE 11, 2019 (INCEPTION) THROUGH JUNE 11, 2019</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jc w:val="center"/>
              <w:ind w:right="40"/>
              <w:spacing w:after="0"/>
              <w:rPr>
                <w:rFonts w:ascii="Arial" w:cs="Arial" w:eastAsia="Arial" w:hAnsi="Arial"/>
                <w:sz w:val="18"/>
                <w:szCs w:val="18"/>
                <w:color w:val="0000EE"/>
                <w:w w:val="96"/>
              </w:rPr>
            </w:pPr>
            <w:hyperlink w:anchor="page163">
              <w:r>
                <w:rPr>
                  <w:rFonts w:ascii="Arial" w:cs="Arial" w:eastAsia="Arial" w:hAnsi="Arial"/>
                  <w:sz w:val="18"/>
                  <w:szCs w:val="18"/>
                  <w:color w:val="0000EE"/>
                  <w:w w:val="96"/>
                </w:rPr>
                <w:t>F-6</w:t>
              </w:r>
            </w:hyperlink>
          </w:p>
        </w:tc>
      </w:tr>
      <w:tr>
        <w:trPr>
          <w:trHeight w:val="277"/>
        </w:trPr>
        <w:tc>
          <w:tcPr>
            <w:tcW w:w="40" w:type="dxa"/>
            <w:vAlign w:val="bottom"/>
          </w:tcPr>
          <w:p>
            <w:pPr>
              <w:spacing w:after="0"/>
              <w:rPr>
                <w:sz w:val="24"/>
                <w:szCs w:val="24"/>
                <w:color w:val="auto"/>
              </w:rPr>
            </w:pPr>
          </w:p>
        </w:tc>
        <w:tc>
          <w:tcPr>
            <w:tcW w:w="8880" w:type="dxa"/>
            <w:vAlign w:val="bottom"/>
            <w:tcBorders>
              <w:top w:val="single" w:sz="8" w:color="0000EE"/>
            </w:tcBorders>
            <w:gridSpan w:val="5"/>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NOTES TO FINANCIAL STATEMENTS</w:t>
              </w:r>
            </w:hyperlink>
          </w:p>
        </w:tc>
        <w:tc>
          <w:tcPr>
            <w:tcW w:w="19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164">
              <w:r>
                <w:rPr>
                  <w:rFonts w:ascii="Arial" w:cs="Arial" w:eastAsia="Arial" w:hAnsi="Arial"/>
                  <w:sz w:val="18"/>
                  <w:szCs w:val="18"/>
                  <w:color w:val="0000EE"/>
                  <w:w w:val="96"/>
                </w:rPr>
                <w:t>F-7</w:t>
              </w:r>
            </w:hyperlink>
          </w:p>
        </w:tc>
        <w:tc>
          <w:tcPr>
            <w:tcW w:w="40" w:type="dxa"/>
            <w:vAlign w:val="bottom"/>
          </w:tcPr>
          <w:p>
            <w:pPr>
              <w:spacing w:after="0"/>
              <w:rPr>
                <w:sz w:val="24"/>
                <w:szCs w:val="24"/>
                <w:color w:val="auto"/>
              </w:rPr>
            </w:pPr>
          </w:p>
        </w:tc>
      </w:tr>
      <w:tr>
        <w:trPr>
          <w:trHeight w:val="385"/>
        </w:trPr>
        <w:tc>
          <w:tcPr>
            <w:tcW w:w="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7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5"/>
          </w:tcPr>
          <w:p>
            <w:pPr>
              <w:jc w:val="center"/>
              <w:ind w:right="2600"/>
              <w:spacing w:after="0"/>
              <w:rPr>
                <w:sz w:val="20"/>
                <w:szCs w:val="20"/>
                <w:color w:val="auto"/>
              </w:rPr>
            </w:pPr>
            <w:r>
              <w:rPr>
                <w:rFonts w:ascii="Arial" w:cs="Arial" w:eastAsia="Arial" w:hAnsi="Arial"/>
                <w:sz w:val="18"/>
                <w:szCs w:val="18"/>
                <w:color w:val="auto"/>
                <w:w w:val="96"/>
              </w:rPr>
              <w:t>F-1</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audited the accompanying balance sheet of Silver Spike Acquisition Corp. (the “Company”) as of June 11, 2019 and the related statements of operations, changes in shareholder's equity and cash flows for the period from June 7, 2019 (inception) through June 11, 2019 and the related notes (collectively referred to as the “financial statements”). In our opinion, the financial statements present fairly, in all material respects, the financial position of the Company as of June 11, 2019 and the results of its operations and its cash flows for the period from June 7, 2019 (inception) through June 11, 2019,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business plan is dependent on the completion of a financing and the Company's cash and working capital as of June 11, 2019 are not sufficient to complete its planned activities. These conditions raise substantial doubt about the Company's ability to continue as a going concern. Management's plans in regard to these matters are also described in Note 1 and 3 to the financial statements.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jc w:val="center"/>
              <w:ind w:left="1490"/>
              <w:spacing w:after="0"/>
              <w:rPr>
                <w:sz w:val="20"/>
                <w:szCs w:val="20"/>
                <w:color w:val="auto"/>
              </w:rPr>
            </w:pPr>
            <w:r>
              <w:rPr>
                <w:rFonts w:ascii="Arial" w:cs="Arial" w:eastAsia="Arial" w:hAnsi="Arial"/>
                <w:sz w:val="18"/>
                <w:szCs w:val="18"/>
                <w:b w:val="1"/>
                <w:bCs w:val="1"/>
                <w:color w:val="auto"/>
              </w:rPr>
              <w:t>SILVER SPIKE ACQUISITION CORP.</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4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JUNE 11, 2019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40" w:type="dxa"/>
            <w:vAlign w:val="bottom"/>
            <w:shd w:val="clear" w:color="auto" w:fill="D5EAEA"/>
          </w:tcPr>
          <w:p>
            <w:pPr>
              <w:spacing w:after="0"/>
              <w:rPr>
                <w:sz w:val="20"/>
                <w:szCs w:val="20"/>
                <w:color w:val="auto"/>
              </w:rPr>
            </w:pPr>
            <w:r>
              <w:rPr>
                <w:rFonts w:ascii="Arial" w:cs="Arial" w:eastAsia="Arial" w:hAnsi="Arial"/>
                <w:sz w:val="18"/>
                <w:szCs w:val="18"/>
                <w:color w:val="auto"/>
              </w:rPr>
              <w:t>Deferred offering costs</w:t>
            </w:r>
          </w:p>
        </w:tc>
        <w:tc>
          <w:tcPr>
            <w:tcW w:w="540" w:type="dxa"/>
            <w:vAlign w:val="bottom"/>
            <w:gridSpan w:val="2"/>
            <w:shd w:val="clear" w:color="auto" w:fill="D5EAEA"/>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63"/>
        </w:trPr>
        <w:tc>
          <w:tcPr>
            <w:tcW w:w="98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D5EAEA"/>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197"/>
        </w:trPr>
        <w:tc>
          <w:tcPr>
            <w:tcW w:w="98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D5EAEA"/>
          </w:tcPr>
          <w:p>
            <w:pPr>
              <w:spacing w:after="0"/>
              <w:rPr>
                <w:sz w:val="17"/>
                <w:szCs w:val="17"/>
                <w:color w:val="auto"/>
              </w:rPr>
            </w:pPr>
          </w:p>
        </w:tc>
        <w:tc>
          <w:tcPr>
            <w:tcW w:w="52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Current liability – Promissory note – related party</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98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520" w:type="dxa"/>
            <w:vAlign w:val="bottom"/>
            <w:tcBorders>
              <w:top w:val="single" w:sz="8" w:color="auto"/>
              <w:bottom w:val="single" w:sz="8" w:color="auto"/>
            </w:tcBorders>
            <w:shd w:val="clear" w:color="auto" w:fill="D5EAEA"/>
          </w:tcPr>
          <w:p>
            <w:pPr>
              <w:spacing w:after="0"/>
              <w:rPr>
                <w:sz w:val="19"/>
                <w:szCs w:val="19"/>
                <w:color w:val="auto"/>
              </w:rPr>
            </w:pPr>
          </w:p>
        </w:tc>
        <w:tc>
          <w:tcPr>
            <w:tcW w:w="10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16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Class A ordinary shares, $0.0001 par value; 200,000,000 shares authorized; none issued and outstanding</w:t>
            </w:r>
          </w:p>
        </w:tc>
        <w:tc>
          <w:tcPr>
            <w:tcW w:w="2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tcPr>
          <w:p>
            <w:pPr>
              <w:ind w:left="160"/>
              <w:spacing w:after="0"/>
              <w:rPr>
                <w:sz w:val="20"/>
                <w:szCs w:val="20"/>
                <w:color w:val="auto"/>
              </w:rPr>
            </w:pPr>
            <w:r>
              <w:rPr>
                <w:rFonts w:ascii="Arial" w:cs="Arial" w:eastAsia="Arial" w:hAnsi="Arial"/>
                <w:sz w:val="18"/>
                <w:szCs w:val="18"/>
                <w:color w:val="auto"/>
              </w:rPr>
              <w:t>Class B ordinary shares, $0.0001 par value; 20,000,000 shares authorized; 7,187,500 shares issued and outstanding(1)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98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Borders>
              <w:bottom w:val="single" w:sz="8" w:color="D5EAE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98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D5EAEA"/>
          </w:tcPr>
          <w:p>
            <w:pPr>
              <w:spacing w:after="0"/>
              <w:rPr>
                <w:sz w:val="18"/>
                <w:szCs w:val="18"/>
                <w:color w:val="auto"/>
              </w:rPr>
            </w:pPr>
          </w:p>
        </w:tc>
        <w:tc>
          <w:tcPr>
            <w:tcW w:w="520" w:type="dxa"/>
            <w:vAlign w:val="bottom"/>
            <w:tcBorders>
              <w:bottom w:val="single" w:sz="8" w:color="auto"/>
            </w:tcBorders>
            <w:shd w:val="clear" w:color="auto" w:fill="D5EAEA"/>
          </w:tcPr>
          <w:p>
            <w:pPr>
              <w:spacing w:after="0"/>
              <w:rPr>
                <w:sz w:val="18"/>
                <w:szCs w:val="18"/>
                <w:color w:val="auto"/>
              </w:rPr>
            </w:pPr>
          </w:p>
        </w:tc>
        <w:tc>
          <w:tcPr>
            <w:tcW w:w="10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left="340" w:right="16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JUNE 7, 2019 (INCEPTION) THROUGH JUNE 11,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D5EAEA"/>
          </w:tcPr>
          <w:p>
            <w:pPr>
              <w:spacing w:after="0"/>
              <w:rPr>
                <w:sz w:val="20"/>
                <w:szCs w:val="20"/>
                <w:color w:val="auto"/>
              </w:rPr>
            </w:pPr>
            <w:r>
              <w:rPr>
                <w:rFonts w:ascii="Arial" w:cs="Arial" w:eastAsia="Arial" w:hAnsi="Arial"/>
                <w:sz w:val="18"/>
                <w:szCs w:val="18"/>
                <w:color w:val="auto"/>
              </w:rPr>
              <w:t>Formation costs</w:t>
            </w:r>
          </w:p>
        </w:tc>
        <w:tc>
          <w:tcPr>
            <w:tcW w:w="420" w:type="dxa"/>
            <w:vAlign w:val="bottom"/>
            <w:gridSpan w:val="2"/>
            <w:shd w:val="clear" w:color="auto" w:fill="D5EAEA"/>
          </w:tcPr>
          <w:p>
            <w:pPr>
              <w:jc w:val="right"/>
              <w:ind w:right="29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63"/>
        </w:trPr>
        <w:tc>
          <w:tcPr>
            <w:tcW w:w="9840" w:type="dxa"/>
            <w:vAlign w:val="bottom"/>
            <w:tcBorders>
              <w:bottom w:val="single" w:sz="8" w:color="D5EAEA"/>
            </w:tcBorders>
          </w:tcPr>
          <w:p>
            <w:pPr>
              <w:ind w:left="160"/>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bottom w:val="single" w:sz="8" w:color="D5EAEA"/>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7"/>
        </w:trPr>
        <w:tc>
          <w:tcPr>
            <w:tcW w:w="984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Weighted average shares outstanding, basic and diluted (1)</w:t>
            </w:r>
          </w:p>
        </w:tc>
        <w:tc>
          <w:tcPr>
            <w:tcW w:w="20" w:type="dxa"/>
            <w:vAlign w:val="bottom"/>
            <w:tcBorders>
              <w:bottom w:val="single" w:sz="8" w:color="D5EAEA"/>
            </w:tcBorders>
            <w:shd w:val="clear" w:color="auto" w:fill="D5EAEA"/>
          </w:tcPr>
          <w:p>
            <w:pPr>
              <w:spacing w:after="0"/>
              <w:rPr>
                <w:sz w:val="17"/>
                <w:szCs w:val="17"/>
                <w:color w:val="auto"/>
              </w:rPr>
            </w:pPr>
          </w:p>
        </w:tc>
        <w:tc>
          <w:tcPr>
            <w:tcW w:w="400" w:type="dxa"/>
            <w:vAlign w:val="bottom"/>
            <w:tcBorders>
              <w:bottom w:val="single" w:sz="8" w:color="auto"/>
            </w:tcBorders>
            <w:shd w:val="clear" w:color="auto" w:fill="D5EAEA"/>
          </w:tcPr>
          <w:p>
            <w:pPr>
              <w:spacing w:after="0"/>
              <w:rPr>
                <w:sz w:val="17"/>
                <w:szCs w:val="17"/>
                <w:color w:val="auto"/>
              </w:rPr>
            </w:pPr>
          </w:p>
        </w:tc>
        <w:tc>
          <w:tcPr>
            <w:tcW w:w="11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left="340" w:right="12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PERIOD FROM JUNE 7, 2019 (INCEPTION) THROUGH JUNE 11, 2019</w:t>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Ordinary Shares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Balance – June 7,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Issuance of Class B ordinary shares to Sponsor(1)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490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10"/>
              <w:spacing w:after="0" w:line="17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Paid in</w:t>
            </w: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Shareholder's</w:t>
            </w:r>
          </w:p>
        </w:tc>
      </w:tr>
      <w:tr>
        <w:trPr>
          <w:trHeight w:val="234"/>
        </w:trPr>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-608330</wp:posOffset>
            </wp:positionV>
            <wp:extent cx="72466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-325120</wp:posOffset>
            </wp:positionV>
            <wp:extent cx="72466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40"/>
          </w:cols>
          <w:pgMar w:left="240" w:top="225" w:right="239" w:bottom="1440" w:gutter="0" w:footer="0" w:header="0"/>
          <w:type w:val="continuous"/>
        </w:sectPr>
      </w:pPr>
    </w:p>
    <w:p>
      <w:pPr>
        <w:spacing w:after="0" w:line="137" w:lineRule="exact"/>
        <w:rPr>
          <w:sz w:val="20"/>
          <w:szCs w:val="20"/>
          <w:color w:val="auto"/>
        </w:rPr>
      </w:pPr>
    </w:p>
    <w:p>
      <w:pPr>
        <w:ind w:left="340" w:right="16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62" w:name="page163"/>
    <w:bookmarkEnd w:id="1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PERIOD FROM JUNE 7, 2019 (INCEPTION) THROUGH JUNE 11, 2019</w:t>
      </w:r>
    </w:p>
    <w:p>
      <w:pPr>
        <w:sectPr>
          <w:pgSz w:w="11900" w:h="16838" w:orient="portrait"/>
          <w:cols w:equalWidth="0" w:num="1">
            <w:col w:w="11420"/>
          </w:cols>
          <w:pgMar w:left="240" w:top="2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Proceeds from promissory note – related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1000" w:hanging="1000"/>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(5,000)</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0033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12,500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(7,500)</w:t>
      </w:r>
    </w:p>
    <w:p>
      <w:pPr>
        <w:spacing w:after="0" w:line="23" w:lineRule="exact"/>
        <w:rPr>
          <w:sz w:val="20"/>
          <w:szCs w:val="20"/>
          <w:color w:val="auto"/>
        </w:rPr>
      </w:pPr>
    </w:p>
    <w:p>
      <w:pPr>
        <w:sectPr>
          <w:pgSz w:w="11900" w:h="16838" w:orient="portrait"/>
          <w:cols w:equalWidth="0" w:num="2">
            <w:col w:w="9120" w:space="720"/>
            <w:col w:w="158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800" w:type="dxa"/>
            <w:vAlign w:val="bottom"/>
            <w:tcBorders>
              <w:bottom w:val="single" w:sz="8" w:color="D5EAEA"/>
            </w:tcBorders>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1040" w:type="dxa"/>
            <w:vAlign w:val="bottom"/>
            <w:tcBorders>
              <w:bottom w:val="single" w:sz="8" w:color="D5EAEA"/>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0"/>
        </w:trPr>
        <w:tc>
          <w:tcPr>
            <w:tcW w:w="8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Change in Cash</w:t>
            </w:r>
          </w:p>
        </w:tc>
        <w:tc>
          <w:tcPr>
            <w:tcW w:w="104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at the beginning of the period</w:t>
            </w:r>
          </w:p>
        </w:tc>
        <w:tc>
          <w:tcPr>
            <w:tcW w:w="1040" w:type="dxa"/>
            <w:vAlign w:val="bottom"/>
            <w:tcBorders>
              <w:bottom w:val="single" w:sz="8" w:color="D5EAEA"/>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Cash at the end of the period</w:t>
            </w:r>
          </w:p>
        </w:tc>
        <w:tc>
          <w:tcPr>
            <w:tcW w:w="1040" w:type="dxa"/>
            <w:vAlign w:val="bottom"/>
            <w:tcBorders>
              <w:bottom w:val="single" w:sz="8" w:color="D5EAEA"/>
            </w:tcBorders>
            <w:shd w:val="clear" w:color="auto" w:fill="D5EAEA"/>
          </w:tcPr>
          <w:p>
            <w:pPr>
              <w:spacing w:after="0"/>
              <w:rPr>
                <w:sz w:val="19"/>
                <w:szCs w:val="19"/>
                <w:color w:val="auto"/>
              </w:rPr>
            </w:pPr>
          </w:p>
        </w:tc>
        <w:tc>
          <w:tcPr>
            <w:tcW w:w="540" w:type="dxa"/>
            <w:vAlign w:val="bottom"/>
            <w:tcBorders>
              <w:bottom w:val="single" w:sz="8" w:color="auto"/>
            </w:tcBorders>
            <w:shd w:val="clear" w:color="auto" w:fill="D5EAEA"/>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Deferred offering costs paid directly by Sponsor from proceeds from issuance of ordinary shares to Sponsor</w:t>
            </w:r>
          </w:p>
        </w:tc>
        <w:tc>
          <w:tcPr>
            <w:tcW w:w="1580" w:type="dxa"/>
            <w:vAlign w:val="bottom"/>
            <w:gridSpan w:val="2"/>
            <w:shd w:val="clear" w:color="auto" w:fill="D5EAEA"/>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800" w:type="dxa"/>
            <w:vAlign w:val="bottom"/>
            <w:tcBorders>
              <w:top w:val="single" w:sz="8" w:color="D5EAEA"/>
            </w:tcBorders>
          </w:tcPr>
          <w:p>
            <w:pPr>
              <w:spacing w:after="0" w:line="20" w:lineRule="exact"/>
              <w:rPr>
                <w:sz w:val="1"/>
                <w:szCs w:val="1"/>
                <w:color w:val="auto"/>
              </w:rPr>
            </w:pPr>
          </w:p>
        </w:tc>
        <w:tc>
          <w:tcPr>
            <w:tcW w:w="1040" w:type="dxa"/>
            <w:vAlign w:val="bottom"/>
            <w:tcBorders>
              <w:top w:val="single" w:sz="8" w:color="D5EAEA"/>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63" w:name="page164"/>
    <w:bookmarkEnd w:id="1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Silver Spike Acquisition Corp. (the “Company”) is a newly organized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June 11, 2019, the Company had not commenced any operations. All activity for the period from June 7, 2019 (inception) through June 11, 2019 relates to the Company's formation and the proposed initial public offering (“Proposed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Offering of 25,000,000 units (the “Units” and, with respect to the Class A ordinary shares included in the Units being offered, the “Public Shares”) at $10.00 per unit (or 28,750,000 Units if the underwriters’ over-allotment option is exercised in full), which is discussed in Note 3 and the sale of 7,000,000 warrants (or 7,750,000 warrants if the underwriters’ over-allotment option is exercised on full) (the “Private Placement Warrants”) at a price of $1.00 per Private Placement Warrant in a private placement to the Company’s sponsor, Silver Spike Sponsor, LLC (the “Sponsor”), that will close simultaneously with the Proposed Offering.</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(as defined below)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Offering, management has agreed that $10.00 per Unit sold in the Proposed Offering, including proceeds of the sale of the Private Placement Warrants, will be held in a trust account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 The Class A ordinary shares will be recorded at redemption value and classified as temporary equity upon the completion of the Proposed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24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Offering if the Company fails to complete its Business Combination.</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will have until 24 months from the closing of the Proposed Offering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 has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7"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of the Public Shares. In the event of such distribution, it is possible that the per share value of the assets remaining available for distribution will be less than the Proposed Offering price per Unit ($10.00).</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Proposed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June 11, 2019, the Company had no cash and a working capital deficiency of $12,500.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Offering as discussed in Note 3. There is no assurance that the Company’s plans to raise capital or to consummate a Business Combination will be successful or successful within the Combination Period. The Sponsor has agreed to loan the Company up to an aggregate amount of $250,000 to be used, in part, for transaction costs incurred in connection with the Proposed Offering (the “Promissory Note”). As of June 11, 2019, $12,500 was outstanding under the Promissory Note (see Note 5).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financial statements are presented in U.S. Dollars and conformity with accounting principles generally accepted in the United States of America (“GAAP”) and pursuant to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11,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incurred, will be charged to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010C03"/>
        </w:rPr>
        <w:t xml:space="preserve">The Company </w:t>
      </w:r>
      <w:r>
        <w:rPr>
          <w:rFonts w:ascii="Arial" w:cs="Arial" w:eastAsia="Arial" w:hAnsi="Arial"/>
          <w:sz w:val="18"/>
          <w:szCs w:val="18"/>
          <w:color w:val="000000"/>
        </w:rPr>
        <w:t>accounts for income taxes under ASC 740, “Income Taxes” (“ASC 740”). ASC 740 requires the recognition of deferred tax assets and</w:t>
      </w:r>
      <w:r>
        <w:rPr>
          <w:rFonts w:ascii="Arial" w:cs="Arial" w:eastAsia="Arial" w:hAnsi="Arial"/>
          <w:sz w:val="18"/>
          <w:szCs w:val="18"/>
          <w:color w:val="010C03"/>
        </w:rPr>
        <w:t xml:space="preserve"> </w:t>
      </w:r>
      <w:r>
        <w:rPr>
          <w:rFonts w:ascii="Arial" w:cs="Arial" w:eastAsia="Arial" w:hAnsi="Arial"/>
          <w:sz w:val="18"/>
          <w:szCs w:val="18"/>
          <w:color w:val="000000"/>
        </w:rPr>
        <w:t>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11,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Company is considered an exempted Cayman Islands Company, and is presently not subject to income taxes or income tax filing requirements in the Cayman Islands or the United States. As such, the Company's tax provision was zero </w:t>
      </w:r>
      <w:r>
        <w:rPr>
          <w:rFonts w:ascii="Arial" w:cs="Arial" w:eastAsia="Arial" w:hAnsi="Arial"/>
          <w:sz w:val="18"/>
          <w:szCs w:val="18"/>
          <w:color w:val="010C03"/>
        </w:rPr>
        <w:t>for the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underwriters (see Note 6). At June 11,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June 11, 2019, the Company had not experienced losses on this account and management believes the Company is not exposed to significant risks on such account.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Offering, the Company will offer for sale up to 25,000,000 Units (or 28,750,000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Sponsor has committed to purchase an aggregate of 7,000,000 Private Placement Warrants (or 7,750,000 Private Placement Warrants if the underwriters’ over-allotment is exercised in full) at a price of $1.00 per Private Placement Warrant from the Company in a private placement that will occur simultaneously with the closing of the Proposed Offering. The proceeds from the sale of the Private Placement Warrants will be added to the net proceeds from the Proposed Offering held in the Trust Account. </w:t>
      </w:r>
      <w:r>
        <w:rPr>
          <w:rFonts w:ascii="Arial" w:cs="Arial" w:eastAsia="Arial" w:hAnsi="Arial"/>
          <w:sz w:val="18"/>
          <w:szCs w:val="18"/>
          <w:color w:val="010C03"/>
        </w:rPr>
        <w:t>Each Private Placement Warrant is exercisable for one Class A Share at a price of $11.50 per share, subject to adjustment</w:t>
      </w:r>
      <w:r>
        <w:rPr>
          <w:rFonts w:ascii="Arial" w:cs="Arial" w:eastAsia="Arial" w:hAnsi="Arial"/>
          <w:sz w:val="18"/>
          <w:szCs w:val="18"/>
          <w:color w:val="auto"/>
        </w:rPr>
        <w:t xml:space="preserve"> </w:t>
      </w:r>
      <w:r>
        <w:rPr>
          <w:rFonts w:ascii="Arial" w:cs="Arial" w:eastAsia="Arial" w:hAnsi="Arial"/>
          <w:sz w:val="18"/>
          <w:szCs w:val="18"/>
          <w:color w:val="010C03"/>
        </w:rPr>
        <w:t xml:space="preserve">(see Note 7). </w:t>
      </w:r>
      <w:r>
        <w:rPr>
          <w:rFonts w:ascii="Arial" w:cs="Arial" w:eastAsia="Arial" w:hAnsi="Arial"/>
          <w:sz w:val="18"/>
          <w:szCs w:val="18"/>
          <w:color w:val="000000"/>
        </w:rPr>
        <w:t>If the Company does not complete a Business Combination within the Combination Period, the proceeds from the sale of the Private Placement</w:t>
      </w:r>
      <w:r>
        <w:rPr>
          <w:rFonts w:ascii="Arial" w:cs="Arial" w:eastAsia="Arial" w:hAnsi="Arial"/>
          <w:sz w:val="18"/>
          <w:szCs w:val="18"/>
          <w:color w:val="010C03"/>
        </w:rPr>
        <w:t xml:space="preserve"> </w:t>
      </w:r>
      <w:r>
        <w:rPr>
          <w:rFonts w:ascii="Arial" w:cs="Arial" w:eastAsia="Arial" w:hAnsi="Arial"/>
          <w:sz w:val="18"/>
          <w:szCs w:val="18"/>
          <w:color w:val="000000"/>
        </w:rPr>
        <w:t>Warrants held in the Trust Account will be used to fund the redemption of the Public Shares (subject to the requirements of applicable law) and the Private Placement Warrants will expire worthless.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Offering.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10, 2019, the Company issued an unsecured promissory note to the Sponsor, pursuant to which the Company may borrow up to an aggregate principal amount of $250,000, of which $12,500 was outstanding under the Promissory Note as of June 11, 2019. The note is non-interest bearing and payable on the earlier of (i) January 31, 2020 and (ii) the completion of the Proposed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compensate the independent directors. The amount and form of compensation to the independent directors has not yet been determined.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the Proposed Offering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grant the underwriters a 45-day option to purchase up to 3,750,000 additional Units to cover over-allotments at the Proposed Offering price, less the underwriting discounts and commissions.</w:t>
      </w:r>
    </w:p>
    <w:p>
      <w:pPr>
        <w:spacing w:after="0" w:line="163" w:lineRule="exact"/>
        <w:rPr>
          <w:sz w:val="20"/>
          <w:szCs w:val="20"/>
          <w:color w:val="auto"/>
        </w:rPr>
      </w:pPr>
    </w:p>
    <w:p>
      <w:pPr>
        <w:jc w:val="both"/>
        <w:ind w:right="140"/>
        <w:spacing w:after="0" w:line="238" w:lineRule="auto"/>
        <w:rPr>
          <w:sz w:val="20"/>
          <w:szCs w:val="20"/>
          <w:color w:val="auto"/>
        </w:rPr>
      </w:pPr>
      <w:r>
        <w:rPr>
          <w:rFonts w:ascii="Arial" w:cs="Arial" w:eastAsia="Arial" w:hAnsi="Arial"/>
          <w:sz w:val="22"/>
          <w:szCs w:val="22"/>
          <w:color w:val="auto"/>
        </w:rPr>
        <w:t>The underwriters will be entitled to a cash underwriting discount of $0.20 per Unit, or $5,000,000 in the aggregate (or $5,750,000 in the aggregate if the underwriters’ over-allotment option is exercised in full), payable upon the closing of the Proposed Offering. In addition, the underwriters will be entitled to a deferred fee of $0.35 per Unit, or $8,750,000 in the aggregate (or $10,062,500 in the aggregate if the underwriters’ over-allotment option is exercised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full). The deferred fee will become payable to the underwriters from the amounts held in the Trust Account solely in the event that the Company completes a Business Combination, subject to the terms of the underwriting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 $0.0001. The Company's board of directors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11, 2019, there were no preference </w:t>
      </w:r>
      <w:r>
        <w:rPr>
          <w:rFonts w:ascii="Arial" w:cs="Arial" w:eastAsia="Arial" w:hAnsi="Arial"/>
          <w:sz w:val="17"/>
          <w:szCs w:val="17"/>
          <w:color w:val="010C03"/>
        </w:rPr>
        <w:t>shares issued or outstanding.</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200,000,000 Class A ordinary shares, with a par value of $0.0001 per share.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ordinary shares are entitled to one vote for each share. At June 11, 2019, there were no Class A ordinary shares issued or outstanding.</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Class B ordinary shares are entitled to one vote for each share. At June 11, 2019, there were 7,187,500 </w:t>
      </w:r>
      <w:r>
        <w:rPr>
          <w:rFonts w:ascii="Arial" w:cs="Arial" w:eastAsia="Arial" w:hAnsi="Arial"/>
          <w:sz w:val="18"/>
          <w:szCs w:val="18"/>
          <w:color w:val="010C03"/>
        </w:rPr>
        <w:t>Class B ordinary shares issued and outstanding,</w:t>
      </w:r>
      <w:r>
        <w:rPr>
          <w:rFonts w:ascii="Arial" w:cs="Arial" w:eastAsia="Arial" w:hAnsi="Arial"/>
          <w:sz w:val="18"/>
          <w:szCs w:val="18"/>
          <w:color w:val="auto"/>
        </w:rPr>
        <w:t xml:space="preserve"> of which an aggregate of up to 937,500 shares are subject to forfeiture to the extent that the underwriters’ over-allotment option is not exercised in full or in part so that the Sponsor will own 20% of the Company’s issued and outstanding ordinary shares after the Proposed Offering (assuming the Sponsor does not purchase any Public Shares in the Proposed Offering).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Proposed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shares will be issued upon exercise of the Public Warrants.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Warrants will become exercisable on the later of (a) 30 days after the completion of a Business Combination and (b) 12 months from the closing of the Proposed Offering. The Public Warrants will expire five years from the completion of a Business Combination or earlier upon redemption or liquidation.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 for redemption:</w:t>
      </w:r>
    </w:p>
    <w:p>
      <w:pPr>
        <w:spacing w:after="0" w:line="225" w:lineRule="exact"/>
        <w:rPr>
          <w:sz w:val="20"/>
          <w:szCs w:val="20"/>
          <w:color w:val="auto"/>
        </w:rPr>
      </w:pPr>
    </w:p>
    <w:p>
      <w:pPr>
        <w:ind w:left="540" w:hanging="26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540" w:hanging="262"/>
        <w:spacing w:after="0" w:line="264"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010C03"/>
        </w:rPr>
        <w:t xml:space="preserve">In addition, if (x) </w:t>
      </w:r>
      <w:r>
        <w:rPr>
          <w:rFonts w:ascii="Arial" w:cs="Arial" w:eastAsia="Arial" w:hAnsi="Arial"/>
          <w:sz w:val="16"/>
          <w:szCs w:val="16"/>
          <w:color w:val="000000"/>
        </w:rPr>
        <w:t>the Company issues additional Class A ordinary shares or equity-linked securities for capital raising purposes in connection with the</w:t>
      </w:r>
      <w:r>
        <w:rPr>
          <w:rFonts w:ascii="Arial" w:cs="Arial" w:eastAsia="Arial" w:hAnsi="Arial"/>
          <w:sz w:val="16"/>
          <w:szCs w:val="16"/>
          <w:color w:val="010C03"/>
        </w:rPr>
        <w:t xml:space="preserve"> </w:t>
      </w:r>
      <w:r>
        <w:rPr>
          <w:rFonts w:ascii="Arial" w:cs="Arial" w:eastAsia="Arial" w:hAnsi="Arial"/>
          <w:sz w:val="16"/>
          <w:szCs w:val="16"/>
          <w:color w:val="000000"/>
        </w:rPr>
        <w:t>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40"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The Private Placement Warrants will be identical to the Public Warrants underlying the Units being sold in the Proposed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25,000,000 Units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265430</wp:posOffset>
            </wp:positionV>
            <wp:extent cx="14490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972820</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1247140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type w:val="continuous"/>
        </w:sectPr>
      </w:pPr>
    </w:p>
    <w:bookmarkStart w:id="173" w:name="page174"/>
    <w:bookmarkEnd w:id="173"/>
    <w:p>
      <w:pPr>
        <w:ind w:left="324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80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5EAEA"/>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460" w:type="dxa"/>
            <w:vAlign w:val="bottom"/>
            <w:shd w:val="clear" w:color="auto" w:fill="D5EAEA"/>
          </w:tcPr>
          <w:p>
            <w:pPr>
              <w:spacing w:after="0"/>
              <w:rPr>
                <w:sz w:val="20"/>
                <w:szCs w:val="20"/>
                <w:color w:val="auto"/>
              </w:rPr>
            </w:pPr>
            <w:r>
              <w:rPr>
                <w:rFonts w:ascii="Arial" w:cs="Arial" w:eastAsia="Arial" w:hAnsi="Arial"/>
                <w:sz w:val="18"/>
                <w:szCs w:val="18"/>
                <w:color w:val="auto"/>
              </w:rPr>
              <w:t>SEC expenses</w:t>
            </w:r>
          </w:p>
        </w:tc>
        <w:tc>
          <w:tcPr>
            <w:tcW w:w="380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34,845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FINRA expenses</w:t>
            </w:r>
          </w:p>
        </w:tc>
        <w:tc>
          <w:tcPr>
            <w:tcW w:w="38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43,625</w:t>
            </w:r>
          </w:p>
        </w:tc>
      </w:tr>
      <w:tr>
        <w:trPr>
          <w:trHeight w:val="216"/>
        </w:trPr>
        <w:tc>
          <w:tcPr>
            <w:tcW w:w="6460" w:type="dxa"/>
            <w:vAlign w:val="bottom"/>
            <w:shd w:val="clear" w:color="auto" w:fill="D5EAEA"/>
          </w:tcPr>
          <w:p>
            <w:pPr>
              <w:spacing w:after="0"/>
              <w:rPr>
                <w:sz w:val="20"/>
                <w:szCs w:val="20"/>
                <w:color w:val="auto"/>
              </w:rPr>
            </w:pPr>
            <w:r>
              <w:rPr>
                <w:rFonts w:ascii="Arial" w:cs="Arial" w:eastAsia="Arial" w:hAnsi="Arial"/>
                <w:sz w:val="18"/>
                <w:szCs w:val="18"/>
                <w:color w:val="auto"/>
              </w:rPr>
              <w:t>Travel and road show</w:t>
            </w:r>
          </w:p>
        </w:tc>
        <w:tc>
          <w:tcPr>
            <w:tcW w:w="380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460" w:type="dxa"/>
            <w:vAlign w:val="bottom"/>
            <w:shd w:val="clear" w:color="auto" w:fill="D5EAEA"/>
          </w:tcPr>
          <w:p>
            <w:pPr>
              <w:spacing w:after="0"/>
              <w:rPr>
                <w:sz w:val="20"/>
                <w:szCs w:val="20"/>
                <w:color w:val="auto"/>
              </w:rPr>
            </w:pPr>
            <w:r>
              <w:rPr>
                <w:rFonts w:ascii="Arial" w:cs="Arial" w:eastAsia="Arial" w:hAnsi="Arial"/>
                <w:sz w:val="18"/>
                <w:szCs w:val="18"/>
                <w:color w:val="auto"/>
              </w:rPr>
              <w:t>Nasdaq listing and filing fees</w:t>
            </w:r>
          </w:p>
        </w:tc>
        <w:tc>
          <w:tcPr>
            <w:tcW w:w="380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460" w:type="dxa"/>
            <w:vAlign w:val="bottom"/>
            <w:shd w:val="clear" w:color="auto" w:fill="D5EAEA"/>
          </w:tcPr>
          <w:p>
            <w:pPr>
              <w:spacing w:after="0"/>
              <w:rPr>
                <w:sz w:val="20"/>
                <w:szCs w:val="20"/>
                <w:color w:val="auto"/>
              </w:rPr>
            </w:pPr>
            <w:r>
              <w:rPr>
                <w:rFonts w:ascii="Arial" w:cs="Arial" w:eastAsia="Arial" w:hAnsi="Arial"/>
                <w:sz w:val="18"/>
                <w:szCs w:val="18"/>
                <w:color w:val="auto"/>
              </w:rPr>
              <w:t>Miscellaneous expenses</w:t>
            </w:r>
          </w:p>
        </w:tc>
        <w:tc>
          <w:tcPr>
            <w:tcW w:w="380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38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provisions and the insurance are necessary to attract and retain talented and experienced officers and directors.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June 11, 2019, Silver Spike Sponsor, LLC, our sponsor, subscribed for an aggregate of 7,187,500 founder shares, for an aggregate offering price of</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$25,000 at an average purchase price of $0.004 per share (assuming the over-allotment option is not exercised and the forfeiture by our sponsor of 937,500 founder shares). The number of founder shares issued was determined based on the expectation that the founder shares would represent 20% of the issued and outstanding ordinary shares upon completion of this offering. Such securities were issued in connection with our incorporation pursuant to the exemption from registration contained in Section 4(a)(2) of the Securities Act. Our sponsor is an accredited investor for purposes of Rule 501 of Regulation 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our sponsor has committed, pursuant to a written agreement, to purchase from us an aggregate of 7,000,000 (or 7,750,000 if the underwriters’ over-allotment option is exercised in full) private placement warrants at $1.00 per warrant (for an aggregate purchase price of $7,000,000 or $7,750,000 if the underwriters’ over-allotment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list of exhibits following the signature page of this registration statement is incorporated herein by reference.</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 No.</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40" w:type="dxa"/>
            <w:vAlign w:val="bottom"/>
            <w:gridSpan w:val="4"/>
          </w:tcPr>
          <w:p>
            <w:pPr>
              <w:ind w:left="156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00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Form of Underwriting Agreement*</w:t>
            </w:r>
          </w:p>
        </w:tc>
      </w:tr>
      <w:tr>
        <w:trPr>
          <w:trHeight w:val="257"/>
        </w:trPr>
        <w:tc>
          <w:tcPr>
            <w:tcW w:w="740" w:type="dxa"/>
            <w:vAlign w:val="bottom"/>
            <w:gridSpan w:val="2"/>
          </w:tcPr>
          <w:p>
            <w:pPr>
              <w:spacing w:after="0"/>
              <w:rPr>
                <w:sz w:val="22"/>
                <w:szCs w:val="22"/>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p>
        </w:tc>
        <w:tc>
          <w:tcPr>
            <w:tcW w:w="300" w:type="dxa"/>
            <w:vAlign w:val="bottom"/>
          </w:tcPr>
          <w:p>
            <w:pPr>
              <w:spacing w:after="0"/>
              <w:rPr>
                <w:sz w:val="22"/>
                <w:szCs w:val="22"/>
                <w:color w:val="auto"/>
              </w:rPr>
            </w:pPr>
          </w:p>
        </w:tc>
        <w:tc>
          <w:tcPr>
            <w:tcW w:w="30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Memorandum and Articles of Association</w:t>
            </w:r>
          </w:p>
        </w:tc>
        <w:tc>
          <w:tcPr>
            <w:tcW w:w="7040" w:type="dxa"/>
            <w:vAlign w:val="bottom"/>
            <w:gridSpan w:val="4"/>
          </w:tcPr>
          <w:p>
            <w:pPr>
              <w:spacing w:after="0"/>
              <w:rPr>
                <w:sz w:val="22"/>
                <w:szCs w:val="22"/>
                <w:color w:val="auto"/>
              </w:rPr>
            </w:pPr>
          </w:p>
        </w:tc>
      </w:tr>
      <w:tr>
        <w:trPr>
          <w:trHeight w:val="318"/>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Amended and Restated Memorandum and Articles of Association*</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Specimen Unit Certificate*</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Specimen Ordinary Share Certificate*</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Specimen Warrant Certificate*</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Opinion of Maples and Calder*</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Opinion of Davis Polk &amp; Wardwell LLP*</w:t>
            </w:r>
          </w:p>
        </w:tc>
      </w:tr>
      <w:tr>
        <w:trPr>
          <w:trHeight w:val="257"/>
        </w:trPr>
        <w:tc>
          <w:tcPr>
            <w:tcW w:w="960" w:type="dxa"/>
            <w:vAlign w:val="bottom"/>
            <w:gridSpan w:val="4"/>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30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EE"/>
              </w:rPr>
              <w:t>Promissory Note, dated June 10, 2019, issued to Silver Spike Sponsor, LLC</w:t>
            </w:r>
          </w:p>
        </w:tc>
      </w:tr>
      <w:tr>
        <w:trPr>
          <w:trHeight w:val="20"/>
        </w:trPr>
        <w:tc>
          <w:tcPr>
            <w:tcW w:w="6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18"/>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Letter Agreement among the Registrant and its officers, directors and Silver Spike Sponsor, LLC*</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Investment Management Trust Agreement between Continental Stock Transfer &amp; Trust Company and the Registrant*</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257"/>
        </w:trPr>
        <w:tc>
          <w:tcPr>
            <w:tcW w:w="960" w:type="dxa"/>
            <w:vAlign w:val="bottom"/>
            <w:gridSpan w:val="4"/>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5</w:t>
            </w:r>
          </w:p>
        </w:tc>
        <w:tc>
          <w:tcPr>
            <w:tcW w:w="30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EE"/>
              </w:rPr>
              <w:t>Securities Subscription Agreement, dated June 11, 2019, between the Registrant and Silver Spike Sponsor, LLC</w:t>
            </w:r>
          </w:p>
        </w:tc>
      </w:tr>
      <w:tr>
        <w:trPr>
          <w:trHeight w:val="20"/>
        </w:trPr>
        <w:tc>
          <w:tcPr>
            <w:tcW w:w="6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18"/>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Sponsor Warrants Purchase Agreement between the Registrant and Silver Spike Sponsor, LLC*</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Form of Indemnity Agreement.*</w:t>
            </w:r>
          </w:p>
        </w:tc>
      </w:tr>
      <w:tr>
        <w:trPr>
          <w:trHeight w:val="257"/>
        </w:trPr>
        <w:tc>
          <w:tcPr>
            <w:tcW w:w="960" w:type="dxa"/>
            <w:vAlign w:val="bottom"/>
            <w:gridSpan w:val="4"/>
          </w:tcPr>
          <w:p>
            <w:pPr>
              <w:jc w:val="right"/>
              <w:spacing w:after="0"/>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30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0000EE"/>
              </w:rPr>
              <w:t>Consent of Marcum LLP</w:t>
            </w:r>
          </w:p>
        </w:tc>
      </w:tr>
      <w:tr>
        <w:trPr>
          <w:trHeight w:val="20"/>
        </w:trPr>
        <w:tc>
          <w:tcPr>
            <w:tcW w:w="6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318"/>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Consent of Maples and Calder (included in Exhibit 5.1)*</w:t>
            </w: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257"/>
        </w:trPr>
        <w:tc>
          <w:tcPr>
            <w:tcW w:w="780" w:type="dxa"/>
            <w:vAlign w:val="bottom"/>
            <w:gridSpan w:val="3"/>
          </w:tcPr>
          <w:p>
            <w:pPr>
              <w:spacing w:after="0"/>
              <w:rPr>
                <w:sz w:val="22"/>
                <w:szCs w:val="22"/>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8">
              <w:r>
                <w:rPr>
                  <w:rFonts w:ascii="Arial" w:cs="Arial" w:eastAsia="Arial" w:hAnsi="Arial"/>
                  <w:sz w:val="18"/>
                  <w:szCs w:val="18"/>
                  <w:color w:val="0000EE"/>
                  <w:w w:val="79"/>
                </w:rPr>
                <w:t>24</w:t>
              </w:r>
            </w:hyperlink>
          </w:p>
        </w:tc>
        <w:tc>
          <w:tcPr>
            <w:tcW w:w="300" w:type="dxa"/>
            <w:vAlign w:val="bottom"/>
          </w:tcPr>
          <w:p>
            <w:pPr>
              <w:spacing w:after="0"/>
              <w:rPr>
                <w:sz w:val="22"/>
                <w:szCs w:val="22"/>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8">
              <w:r>
                <w:rPr>
                  <w:rFonts w:ascii="Arial" w:cs="Arial" w:eastAsia="Arial" w:hAnsi="Arial"/>
                  <w:sz w:val="18"/>
                  <w:szCs w:val="18"/>
                  <w:color w:val="0000EE"/>
                  <w:w w:val="91"/>
                </w:rPr>
                <w:t>Power of Attorney (included on signature page of this Registration Statement)</w:t>
              </w:r>
            </w:hyperlink>
          </w:p>
        </w:tc>
        <w:tc>
          <w:tcPr>
            <w:tcW w:w="4440" w:type="dxa"/>
            <w:vAlign w:val="bottom"/>
            <w:gridSpan w:val="2"/>
          </w:tcPr>
          <w:p>
            <w:pPr>
              <w:spacing w:after="0"/>
              <w:rPr>
                <w:sz w:val="22"/>
                <w:szCs w:val="22"/>
                <w:color w:val="auto"/>
              </w:rPr>
            </w:pPr>
          </w:p>
        </w:tc>
      </w:tr>
      <w:tr>
        <w:trPr>
          <w:trHeight w:val="318"/>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Consent of</w:t>
            </w:r>
          </w:p>
        </w:tc>
        <w:tc>
          <w:tcPr>
            <w:tcW w:w="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Consent of</w:t>
            </w:r>
          </w:p>
        </w:tc>
        <w:tc>
          <w:tcPr>
            <w:tcW w:w="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960" w:type="dxa"/>
            <w:vAlign w:val="bottom"/>
            <w:gridSpan w:val="4"/>
          </w:tcPr>
          <w:p>
            <w:pPr>
              <w:jc w:val="right"/>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Consent of</w:t>
            </w:r>
          </w:p>
        </w:tc>
        <w:tc>
          <w:tcPr>
            <w:tcW w:w="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490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ind w:left="5580" w:right="1640" w:hanging="5572"/>
        <w:spacing w:after="0" w:line="653" w:lineRule="auto"/>
        <w:tabs>
          <w:tab w:leader="none" w:pos="534"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right="200" w:firstLine="8"/>
        <w:spacing w:after="0" w:line="277" w:lineRule="auto"/>
        <w:tabs>
          <w:tab w:leader="none" w:pos="3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40" w:firstLine="8"/>
        <w:spacing w:after="0" w:line="254"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380" w:hanging="372"/>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340" w:hanging="8"/>
        <w:spacing w:after="0" w:line="286" w:lineRule="auto"/>
        <w:tabs>
          <w:tab w:leader="none" w:pos="730"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340" w:right="340" w:hanging="8"/>
        <w:spacing w:after="0" w:line="264" w:lineRule="auto"/>
        <w:tabs>
          <w:tab w:leader="none" w:pos="7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340" w:hanging="8"/>
        <w:spacing w:after="0" w:line="291" w:lineRule="auto"/>
        <w:tabs>
          <w:tab w:leader="none" w:pos="730"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340" w:right="20" w:hanging="8"/>
        <w:spacing w:after="0" w:line="257" w:lineRule="auto"/>
        <w:tabs>
          <w:tab w:leader="none" w:pos="7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60" w:right="700" w:hanging="4"/>
        <w:spacing w:after="0" w:line="277" w:lineRule="auto"/>
        <w:tabs>
          <w:tab w:leader="none" w:pos="111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1167"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July 19, 2019.</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Gordon</w:t>
            </w:r>
          </w:p>
        </w:tc>
      </w:tr>
      <w:tr>
        <w:trPr>
          <w:trHeight w:val="195"/>
        </w:trPr>
        <w:tc>
          <w:tcPr>
            <w:tcW w:w="6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Scott Gordon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60" w:type="dxa"/>
            <w:vAlign w:val="bottom"/>
          </w:tcPr>
          <w:p>
            <w:pPr>
              <w:spacing w:after="0"/>
              <w:rPr>
                <w:sz w:val="18"/>
                <w:szCs w:val="18"/>
                <w:color w:val="auto"/>
              </w:rPr>
            </w:pPr>
          </w:p>
        </w:tc>
        <w:tc>
          <w:tcPr>
            <w:tcW w:w="4900" w:type="dxa"/>
            <w:vAlign w:val="bottom"/>
            <w:gridSpan w:val="3"/>
          </w:tcPr>
          <w:p>
            <w:pPr>
              <w:ind w:left="2280"/>
              <w:spacing w:after="0"/>
              <w:rPr>
                <w:sz w:val="20"/>
                <w:szCs w:val="20"/>
                <w:color w:val="auto"/>
              </w:rPr>
            </w:pPr>
            <w:r>
              <w:rPr>
                <w:rFonts w:ascii="Arial" w:cs="Arial" w:eastAsia="Arial" w:hAnsi="Arial"/>
                <w:sz w:val="18"/>
                <w:szCs w:val="18"/>
                <w:b w:val="1"/>
                <w:bCs w:val="1"/>
                <w:color w:val="auto"/>
              </w:rPr>
              <w:t>Position</w:t>
            </w:r>
          </w:p>
        </w:tc>
        <w:tc>
          <w:tcPr>
            <w:tcW w:w="10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Gordon</w:t>
            </w:r>
          </w:p>
        </w:tc>
        <w:tc>
          <w:tcPr>
            <w:tcW w:w="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900" w:type="dxa"/>
            <w:vAlign w:val="bottom"/>
            <w:gridSpan w:val="3"/>
          </w:tcPr>
          <w:p>
            <w:pPr>
              <w:ind w:left="480"/>
              <w:spacing w:after="0"/>
              <w:rPr>
                <w:sz w:val="20"/>
                <w:szCs w:val="20"/>
                <w:color w:val="auto"/>
              </w:rPr>
            </w:pPr>
            <w:r>
              <w:rPr>
                <w:rFonts w:ascii="Arial" w:cs="Arial" w:eastAsia="Arial" w:hAnsi="Arial"/>
                <w:sz w:val="18"/>
                <w:szCs w:val="18"/>
                <w:color w:val="auto"/>
              </w:rPr>
              <w:t>Chief Executive Officer and Chairman (Principal</w:t>
            </w:r>
          </w:p>
        </w:tc>
        <w:tc>
          <w:tcPr>
            <w:tcW w:w="2740" w:type="dxa"/>
            <w:vAlign w:val="bottom"/>
            <w:gridSpan w:val="3"/>
            <w:vMerge w:val="restart"/>
          </w:tcPr>
          <w:p>
            <w:pPr>
              <w:ind w:left="86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88"/>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Scott Gordon</w:t>
            </w:r>
          </w:p>
        </w:tc>
        <w:tc>
          <w:tcPr>
            <w:tcW w:w="4900" w:type="dxa"/>
            <w:vAlign w:val="bottom"/>
            <w:gridSpan w:val="3"/>
            <w:vMerge w:val="restart"/>
          </w:tcPr>
          <w:p>
            <w:pPr>
              <w:ind w:left="480"/>
              <w:spacing w:after="0"/>
              <w:rPr>
                <w:sz w:val="20"/>
                <w:szCs w:val="20"/>
                <w:color w:val="auto"/>
              </w:rPr>
            </w:pPr>
            <w:r>
              <w:rPr>
                <w:rFonts w:ascii="Arial" w:cs="Arial" w:eastAsia="Arial" w:hAnsi="Arial"/>
                <w:sz w:val="18"/>
                <w:szCs w:val="18"/>
                <w:color w:val="auto"/>
              </w:rPr>
              <w:t>Executive Officer)</w:t>
            </w:r>
          </w:p>
        </w:tc>
        <w:tc>
          <w:tcPr>
            <w:tcW w:w="2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3"/>
            <w:vMerge w:val="continue"/>
          </w:tcPr>
          <w:p>
            <w:pPr>
              <w:spacing w:after="0"/>
              <w:rPr>
                <w:sz w:val="11"/>
                <w:szCs w:val="11"/>
                <w:color w:val="auto"/>
              </w:rPr>
            </w:pPr>
          </w:p>
        </w:tc>
        <w:tc>
          <w:tcPr>
            <w:tcW w:w="490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Healy</w:t>
            </w:r>
          </w:p>
        </w:tc>
        <w:tc>
          <w:tcPr>
            <w:tcW w:w="4900" w:type="dxa"/>
            <w:vAlign w:val="bottom"/>
            <w:gridSpan w:val="3"/>
            <w:vMerge w:val="restart"/>
          </w:tcPr>
          <w:p>
            <w:pPr>
              <w:ind w:left="480"/>
              <w:spacing w:after="0"/>
              <w:rPr>
                <w:sz w:val="20"/>
                <w:szCs w:val="20"/>
                <w:color w:val="auto"/>
              </w:rPr>
            </w:pPr>
            <w:r>
              <w:rPr>
                <w:rFonts w:ascii="Arial" w:cs="Arial" w:eastAsia="Arial" w:hAnsi="Arial"/>
                <w:sz w:val="18"/>
                <w:szCs w:val="18"/>
                <w:color w:val="auto"/>
              </w:rPr>
              <w:t>President and Director</w:t>
            </w:r>
          </w:p>
        </w:tc>
        <w:tc>
          <w:tcPr>
            <w:tcW w:w="2740" w:type="dxa"/>
            <w:vAlign w:val="bottom"/>
            <w:gridSpan w:val="3"/>
            <w:vMerge w:val="restart"/>
          </w:tcPr>
          <w:p>
            <w:pPr>
              <w:ind w:left="86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88"/>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William Healy</w:t>
            </w:r>
          </w:p>
        </w:tc>
        <w:tc>
          <w:tcPr>
            <w:tcW w:w="4900" w:type="dxa"/>
            <w:vAlign w:val="bottom"/>
            <w:gridSpan w:val="3"/>
            <w:vMerge w:val="continue"/>
          </w:tcPr>
          <w:p>
            <w:pPr>
              <w:spacing w:after="0"/>
              <w:rPr>
                <w:sz w:val="7"/>
                <w:szCs w:val="7"/>
                <w:color w:val="auto"/>
              </w:rPr>
            </w:pPr>
          </w:p>
        </w:tc>
        <w:tc>
          <w:tcPr>
            <w:tcW w:w="2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 Gentile</w:t>
            </w:r>
          </w:p>
        </w:tc>
        <w:tc>
          <w:tcPr>
            <w:tcW w:w="490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and</w:t>
            </w:r>
          </w:p>
        </w:tc>
        <w:tc>
          <w:tcPr>
            <w:tcW w:w="2740" w:type="dxa"/>
            <w:vAlign w:val="bottom"/>
            <w:gridSpan w:val="3"/>
            <w:vMerge w:val="restart"/>
          </w:tcPr>
          <w:p>
            <w:pPr>
              <w:ind w:left="86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88"/>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Greg Gentile</w:t>
            </w:r>
          </w:p>
        </w:tc>
        <w:tc>
          <w:tcPr>
            <w:tcW w:w="4900" w:type="dxa"/>
            <w:vAlign w:val="bottom"/>
            <w:gridSpan w:val="3"/>
            <w:vMerge w:val="restart"/>
          </w:tcPr>
          <w:p>
            <w:pPr>
              <w:ind w:left="480"/>
              <w:spacing w:after="0"/>
              <w:rPr>
                <w:sz w:val="20"/>
                <w:szCs w:val="20"/>
                <w:color w:val="auto"/>
              </w:rPr>
            </w:pPr>
            <w:r>
              <w:rPr>
                <w:rFonts w:ascii="Arial" w:cs="Arial" w:eastAsia="Arial" w:hAnsi="Arial"/>
                <w:sz w:val="18"/>
                <w:szCs w:val="18"/>
                <w:color w:val="auto"/>
              </w:rPr>
              <w:t>Accounting Officer)</w:t>
            </w:r>
          </w:p>
        </w:tc>
        <w:tc>
          <w:tcPr>
            <w:tcW w:w="2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3"/>
            <w:vMerge w:val="continue"/>
          </w:tcPr>
          <w:p>
            <w:pPr>
              <w:spacing w:after="0"/>
              <w:rPr>
                <w:sz w:val="11"/>
                <w:szCs w:val="11"/>
                <w:color w:val="auto"/>
              </w:rPr>
            </w:pPr>
          </w:p>
        </w:tc>
        <w:tc>
          <w:tcPr>
            <w:tcW w:w="490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1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3"/>
          </w:tcPr>
          <w:p>
            <w:pPr>
              <w:ind w:left="1800"/>
              <w:spacing w:after="0"/>
              <w:rPr>
                <w:sz w:val="20"/>
                <w:szCs w:val="20"/>
                <w:color w:val="auto"/>
              </w:rPr>
            </w:pPr>
            <w:r>
              <w:rPr>
                <w:rFonts w:ascii="Arial" w:cs="Arial" w:eastAsia="Arial" w:hAnsi="Arial"/>
                <w:sz w:val="18"/>
                <w:szCs w:val="18"/>
                <w:color w:val="auto"/>
              </w:rPr>
              <w:t>II-5</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Pursuant to the requirements of Section 6(a) of the Securities Act of 1933, as amended, the undersigned has signed this registration statement, solely in its capacity as the duly authorized representative of Silver Spike Acquisition Corp., in New York, New York, on July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Gordon</w:t>
            </w:r>
          </w:p>
        </w:tc>
      </w:tr>
      <w:tr>
        <w:trPr>
          <w:trHeight w:val="195"/>
        </w:trPr>
        <w:tc>
          <w:tcPr>
            <w:tcW w:w="6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CAYMAN ISLANDS</w:t>
      </w:r>
    </w:p>
    <w:p>
      <w:pPr>
        <w:jc w:val="center"/>
        <w:ind w:right="120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Silver Spike Acquisition Corp.</w:t>
      </w:r>
    </w:p>
    <w:p>
      <w:pPr>
        <w:spacing w:after="0" w:line="220" w:lineRule="exact"/>
        <w:rPr>
          <w:sz w:val="20"/>
          <w:szCs w:val="20"/>
          <w:color w:val="auto"/>
        </w:rPr>
      </w:pPr>
    </w:p>
    <w:p>
      <w:pPr>
        <w:ind w:left="660" w:hanging="652"/>
        <w:spacing w:after="0" w:line="24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83" w:lineRule="exact"/>
        <w:rPr>
          <w:sz w:val="20"/>
          <w:szCs w:val="20"/>
          <w:color w:val="auto"/>
        </w:rPr>
      </w:pPr>
    </w:p>
    <w:p>
      <w:pPr>
        <w:ind w:left="660" w:right="20" w:hanging="652"/>
        <w:spacing w:after="0" w:line="24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83"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98" w:lineRule="exact"/>
        <w:rPr>
          <w:sz w:val="20"/>
          <w:szCs w:val="20"/>
          <w:color w:val="auto"/>
        </w:rPr>
      </w:pPr>
    </w:p>
    <w:p>
      <w:pPr>
        <w:jc w:val="both"/>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189" w:lineRule="exact"/>
        <w:rPr>
          <w:sz w:val="20"/>
          <w:szCs w:val="20"/>
          <w:color w:val="auto"/>
        </w:rPr>
      </w:pPr>
    </w:p>
    <w:p>
      <w:pPr>
        <w:ind w:left="660" w:hanging="652"/>
        <w:spacing w:after="0" w:line="246"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83" w:lineRule="exact"/>
        <w:rPr>
          <w:sz w:val="20"/>
          <w:szCs w:val="20"/>
          <w:color w:val="auto"/>
        </w:rPr>
      </w:pPr>
    </w:p>
    <w:p>
      <w:pPr>
        <w:ind w:left="660" w:hanging="652"/>
        <w:spacing w:after="0" w:line="246"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1" w:name="page182"/>
    <w:bookmarkEnd w:id="181"/>
    <w:p>
      <w:pPr>
        <w:spacing w:after="0" w:line="246" w:lineRule="auto"/>
        <w:rPr>
          <w:sz w:val="20"/>
          <w:szCs w:val="20"/>
          <w:color w:val="auto"/>
        </w:rPr>
      </w:pPr>
      <w:r>
        <w:rPr>
          <w:rFonts w:ascii="Arial" w:cs="Arial" w:eastAsia="Arial" w:hAnsi="Arial"/>
          <w:sz w:val="18"/>
          <w:szCs w:val="18"/>
          <w:color w:val="auto"/>
        </w:rPr>
        <w:t>WE, the subscriber to this Memorandum of Association, wish to form a company pursuant to this Memorandum of Association, and we agree to take the number of shares shown opposite our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Dated this 7th day of June 2019.</w:t>
            </w:r>
          </w:p>
        </w:tc>
        <w:tc>
          <w:tcPr>
            <w:tcW w:w="7140" w:type="dxa"/>
            <w:vAlign w:val="bottom"/>
          </w:tcPr>
          <w:p>
            <w:pPr>
              <w:spacing w:after="0"/>
              <w:rPr>
                <w:sz w:val="18"/>
                <w:szCs w:val="18"/>
                <w:color w:val="auto"/>
              </w:rPr>
            </w:pPr>
          </w:p>
        </w:tc>
      </w:tr>
      <w:tr>
        <w:trPr>
          <w:trHeight w:val="40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7140" w:type="dxa"/>
            <w:vAlign w:val="bottom"/>
          </w:tcPr>
          <w:p>
            <w:pPr>
              <w:ind w:left="1100"/>
              <w:spacing w:after="0"/>
              <w:rPr>
                <w:sz w:val="20"/>
                <w:szCs w:val="20"/>
                <w:color w:val="auto"/>
              </w:rPr>
            </w:pPr>
            <w:r>
              <w:rPr>
                <w:rFonts w:ascii="Arial" w:cs="Arial" w:eastAsia="Arial" w:hAnsi="Arial"/>
                <w:sz w:val="18"/>
                <w:szCs w:val="18"/>
                <w:b w:val="1"/>
                <w:bCs w:val="1"/>
                <w:color w:val="auto"/>
              </w:rPr>
              <w:t>Number of Shares Taken</w:t>
            </w:r>
          </w:p>
        </w:tc>
      </w:tr>
      <w:tr>
        <w:trPr>
          <w:trHeight w:val="593"/>
        </w:trPr>
        <w:tc>
          <w:tcPr>
            <w:tcW w:w="4280" w:type="dxa"/>
            <w:vAlign w:val="bottom"/>
            <w:gridSpan w:val="3"/>
          </w:tcPr>
          <w:p>
            <w:pPr>
              <w:spacing w:after="0"/>
              <w:rPr>
                <w:sz w:val="20"/>
                <w:szCs w:val="20"/>
                <w:color w:val="auto"/>
              </w:rPr>
            </w:pPr>
            <w:r>
              <w:rPr>
                <w:rFonts w:ascii="Arial" w:cs="Arial" w:eastAsia="Arial" w:hAnsi="Arial"/>
                <w:sz w:val="18"/>
                <w:szCs w:val="18"/>
                <w:color w:val="auto"/>
              </w:rPr>
              <w:t>Maples Corporate Services Limited</w:t>
            </w:r>
          </w:p>
        </w:tc>
        <w:tc>
          <w:tcPr>
            <w:tcW w:w="7140" w:type="dxa"/>
            <w:vAlign w:val="bottom"/>
          </w:tcPr>
          <w:p>
            <w:pPr>
              <w:ind w:left="1100"/>
              <w:spacing w:after="0"/>
              <w:rPr>
                <w:sz w:val="20"/>
                <w:szCs w:val="20"/>
                <w:color w:val="auto"/>
              </w:rPr>
            </w:pPr>
            <w:r>
              <w:rPr>
                <w:rFonts w:ascii="Arial" w:cs="Arial" w:eastAsia="Arial" w:hAnsi="Arial"/>
                <w:sz w:val="18"/>
                <w:szCs w:val="18"/>
                <w:color w:val="auto"/>
              </w:rPr>
              <w:t>One Class B ordinary share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of PO Box 309, Ugland House</w:t>
            </w:r>
          </w:p>
        </w:tc>
        <w:tc>
          <w:tcPr>
            <w:tcW w:w="7140" w:type="dxa"/>
            <w:vAlign w:val="bottom"/>
          </w:tcPr>
          <w:p>
            <w:pPr>
              <w:spacing w:after="0"/>
              <w:rPr>
                <w:sz w:val="17"/>
                <w:szCs w:val="17"/>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Grand Cayman</w:t>
            </w:r>
          </w:p>
        </w:tc>
        <w:tc>
          <w:tcPr>
            <w:tcW w:w="7140" w:type="dxa"/>
            <w:vAlign w:val="bottom"/>
          </w:tcPr>
          <w:p>
            <w:pPr>
              <w:spacing w:after="0"/>
              <w:rPr>
                <w:sz w:val="17"/>
                <w:szCs w:val="17"/>
                <w:color w:val="auto"/>
              </w:rPr>
            </w:pP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KY1-1104</w:t>
            </w:r>
          </w:p>
        </w:tc>
        <w:tc>
          <w:tcPr>
            <w:tcW w:w="7140" w:type="dxa"/>
            <w:vAlign w:val="bottom"/>
          </w:tcPr>
          <w:p>
            <w:pPr>
              <w:spacing w:after="0"/>
              <w:rPr>
                <w:sz w:val="17"/>
                <w:szCs w:val="17"/>
                <w:color w:val="auto"/>
              </w:rPr>
            </w:pP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7140" w:type="dxa"/>
            <w:vAlign w:val="bottom"/>
          </w:tcPr>
          <w:p>
            <w:pPr>
              <w:spacing w:after="0"/>
              <w:rPr>
                <w:sz w:val="18"/>
                <w:szCs w:val="18"/>
                <w:color w:val="auto"/>
              </w:rPr>
            </w:pPr>
          </w:p>
        </w:tc>
      </w:tr>
      <w:tr>
        <w:trPr>
          <w:trHeight w:val="608"/>
        </w:trPr>
        <w:tc>
          <w:tcPr>
            <w:tcW w:w="4280" w:type="dxa"/>
            <w:vAlign w:val="bottom"/>
            <w:gridSpan w:val="3"/>
          </w:tcPr>
          <w:p>
            <w:pPr>
              <w:spacing w:after="0"/>
              <w:rPr>
                <w:sz w:val="20"/>
                <w:szCs w:val="20"/>
                <w:color w:val="auto"/>
              </w:rPr>
            </w:pPr>
            <w:r>
              <w:rPr>
                <w:rFonts w:ascii="Arial" w:cs="Arial" w:eastAsia="Arial" w:hAnsi="Arial"/>
                <w:sz w:val="18"/>
                <w:szCs w:val="18"/>
                <w:color w:val="auto"/>
              </w:rPr>
              <w:t>acting by:</w:t>
            </w:r>
          </w:p>
        </w:tc>
        <w:tc>
          <w:tcPr>
            <w:tcW w:w="7140" w:type="dxa"/>
            <w:vAlign w:val="bottom"/>
          </w:tcPr>
          <w:p>
            <w:pPr>
              <w:spacing w:after="0"/>
              <w:rPr>
                <w:sz w:val="24"/>
                <w:szCs w:val="24"/>
                <w:color w:val="auto"/>
              </w:rPr>
            </w:pPr>
          </w:p>
        </w:tc>
      </w:tr>
      <w:tr>
        <w:trPr>
          <w:trHeight w:val="56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Borden</w:t>
            </w:r>
          </w:p>
        </w:tc>
        <w:tc>
          <w:tcPr>
            <w:tcW w:w="2220" w:type="dxa"/>
            <w:vAlign w:val="bottom"/>
            <w:gridSpan w:val="2"/>
          </w:tcPr>
          <w:p>
            <w:pPr>
              <w:spacing w:after="0"/>
              <w:rPr>
                <w:sz w:val="24"/>
                <w:szCs w:val="24"/>
                <w:color w:val="auto"/>
              </w:rPr>
            </w:pPr>
          </w:p>
        </w:tc>
        <w:tc>
          <w:tcPr>
            <w:tcW w:w="7140" w:type="dxa"/>
            <w:vAlign w:val="bottom"/>
          </w:tcPr>
          <w:p>
            <w:pPr>
              <w:spacing w:after="0"/>
              <w:rPr>
                <w:sz w:val="24"/>
                <w:szCs w:val="24"/>
                <w:color w:val="auto"/>
              </w:rPr>
            </w:pPr>
          </w:p>
        </w:tc>
      </w:tr>
      <w:tr>
        <w:trPr>
          <w:trHeight w:val="223"/>
        </w:trPr>
        <w:tc>
          <w:tcPr>
            <w:tcW w:w="4280" w:type="dxa"/>
            <w:vAlign w:val="bottom"/>
            <w:gridSpan w:val="3"/>
          </w:tcPr>
          <w:p>
            <w:pPr>
              <w:spacing w:after="0"/>
              <w:rPr>
                <w:sz w:val="20"/>
                <w:szCs w:val="20"/>
                <w:color w:val="auto"/>
              </w:rPr>
            </w:pPr>
            <w:r>
              <w:rPr>
                <w:rFonts w:ascii="Arial" w:cs="Arial" w:eastAsia="Arial" w:hAnsi="Arial"/>
                <w:sz w:val="18"/>
                <w:szCs w:val="18"/>
                <w:color w:val="auto"/>
              </w:rPr>
              <w:t>Marcia Borden</w:t>
            </w:r>
          </w:p>
        </w:tc>
        <w:tc>
          <w:tcPr>
            <w:tcW w:w="7140" w:type="dxa"/>
            <w:vAlign w:val="bottom"/>
          </w:tcPr>
          <w:p>
            <w:pPr>
              <w:spacing w:after="0"/>
              <w:rPr>
                <w:sz w:val="19"/>
                <w:szCs w:val="19"/>
                <w:color w:val="auto"/>
              </w:rPr>
            </w:pPr>
          </w:p>
        </w:tc>
      </w:tr>
      <w:tr>
        <w:trPr>
          <w:trHeight w:val="770"/>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Ahmaree Piercy</w:t>
            </w:r>
          </w:p>
        </w:tc>
        <w:tc>
          <w:tcPr>
            <w:tcW w:w="220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09"/>
        </w:trPr>
        <w:tc>
          <w:tcPr>
            <w:tcW w:w="4280" w:type="dxa"/>
            <w:vAlign w:val="bottom"/>
            <w:gridSpan w:val="3"/>
          </w:tcPr>
          <w:p>
            <w:pPr>
              <w:spacing w:after="0"/>
              <w:rPr>
                <w:sz w:val="20"/>
                <w:szCs w:val="20"/>
                <w:color w:val="auto"/>
              </w:rPr>
            </w:pPr>
            <w:r>
              <w:rPr>
                <w:rFonts w:ascii="Arial" w:cs="Arial" w:eastAsia="Arial" w:hAnsi="Arial"/>
                <w:sz w:val="18"/>
                <w:szCs w:val="18"/>
                <w:color w:val="auto"/>
              </w:rPr>
              <w:t>Ahmaree Piercy</w:t>
            </w:r>
          </w:p>
        </w:tc>
        <w:tc>
          <w:tcPr>
            <w:tcW w:w="7140" w:type="dxa"/>
            <w:vAlign w:val="bottom"/>
          </w:tcPr>
          <w:p>
            <w:pPr>
              <w:spacing w:after="0"/>
              <w:rPr>
                <w:sz w:val="18"/>
                <w:szCs w:val="18"/>
                <w:color w:val="auto"/>
              </w:rPr>
            </w:pPr>
          </w:p>
        </w:tc>
      </w:tr>
      <w:tr>
        <w:trPr>
          <w:trHeight w:val="217"/>
        </w:trPr>
        <w:tc>
          <w:tcPr>
            <w:tcW w:w="4280" w:type="dxa"/>
            <w:vAlign w:val="bottom"/>
            <w:gridSpan w:val="3"/>
          </w:tcPr>
          <w:p>
            <w:pPr>
              <w:spacing w:after="0"/>
              <w:rPr>
                <w:sz w:val="20"/>
                <w:szCs w:val="20"/>
                <w:color w:val="auto"/>
              </w:rPr>
            </w:pPr>
            <w:r>
              <w:rPr>
                <w:rFonts w:ascii="Arial" w:cs="Arial" w:eastAsia="Arial" w:hAnsi="Arial"/>
                <w:sz w:val="18"/>
                <w:szCs w:val="18"/>
                <w:color w:val="auto"/>
              </w:rPr>
              <w:t>Witness to the above signature</w:t>
            </w:r>
          </w:p>
        </w:tc>
        <w:tc>
          <w:tcPr>
            <w:tcW w:w="7140" w:type="dxa"/>
            <w:vAlign w:val="bottom"/>
          </w:tcPr>
          <w:p>
            <w:pPr>
              <w:spacing w:after="0"/>
              <w:rPr>
                <w:sz w:val="18"/>
                <w:szCs w:val="18"/>
                <w:color w:val="auto"/>
              </w:rPr>
            </w:pPr>
          </w:p>
        </w:tc>
      </w:tr>
      <w:tr>
        <w:trPr>
          <w:trHeight w:val="540"/>
        </w:trPr>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182" w:name="page183"/>
    <w:bookmarkEnd w:id="182"/>
    <w:p>
      <w:pPr>
        <w:jc w:val="center"/>
        <w:ind w:right="60"/>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OF THE CAYMAN ISLANDS</w:t>
      </w:r>
    </w:p>
    <w:p>
      <w:pPr>
        <w:jc w:val="center"/>
        <w:ind w:right="60"/>
        <w:spacing w:after="0" w:line="234" w:lineRule="auto"/>
        <w:rPr>
          <w:sz w:val="20"/>
          <w:szCs w:val="20"/>
          <w:color w:val="auto"/>
        </w:rPr>
      </w:pPr>
      <w:r>
        <w:rPr>
          <w:rFonts w:ascii="Arial" w:cs="Arial" w:eastAsia="Arial" w:hAnsi="Arial"/>
          <w:sz w:val="18"/>
          <w:szCs w:val="18"/>
          <w:b w:val="1"/>
          <w:bCs w:val="1"/>
          <w:color w:val="auto"/>
        </w:rPr>
        <w:t>COMPANY LIMITED BY SHARES</w:t>
      </w:r>
    </w:p>
    <w:p>
      <w:pPr>
        <w:jc w:val="center"/>
        <w:ind w:right="60"/>
        <w:spacing w:after="0" w:line="23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ARTICLES OF ASSOCIATION</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SILVER SPIKE ACQUISITION CORP.</w:t>
      </w:r>
    </w:p>
    <w:p>
      <w:pPr>
        <w:spacing w:after="0" w:line="193"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29" w:lineRule="exact"/>
        <w:rPr>
          <w:sz w:val="20"/>
          <w:szCs w:val="20"/>
          <w:color w:val="auto"/>
        </w:rPr>
      </w:pPr>
    </w:p>
    <w:p>
      <w:pPr>
        <w:ind w:left="660" w:right="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these articles of association of the Company.</w:t>
            </w:r>
          </w:p>
        </w:tc>
      </w:tr>
      <w:tr>
        <w:trPr>
          <w:trHeight w:val="404"/>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the person for the time being performing the duties of auditor of the Company (if</w:t>
            </w:r>
          </w:p>
        </w:tc>
      </w:tr>
      <w:tr>
        <w:trPr>
          <w:trHeight w:val="217"/>
        </w:trPr>
        <w:tc>
          <w:tcPr>
            <w:tcW w:w="3480" w:type="dxa"/>
            <w:vAlign w:val="bottom"/>
          </w:tcPr>
          <w:p>
            <w:pPr>
              <w:spacing w:after="0"/>
              <w:rPr>
                <w:sz w:val="18"/>
                <w:szCs w:val="18"/>
                <w:color w:val="auto"/>
              </w:rPr>
            </w:pP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any).</w:t>
            </w:r>
          </w:p>
        </w:tc>
      </w:tr>
      <w:tr>
        <w:trPr>
          <w:trHeight w:val="404"/>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a merger, share exchange, asset acquisition, share purchase, reorganisation or</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similar business combination involving the Company, with one or more businesses or</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entities (the "target business"), which Business Combination: (a) must occur with one or</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more target businesses that together have an aggregate fair market value of at least 80%</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of the assets held in the Trust Fund (excluding the deferred underwriting commissions and</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taxes payable on the income earned on the Trust Fund) at the time of the agreement to</w:t>
            </w:r>
          </w:p>
        </w:tc>
      </w:tr>
      <w:tr>
        <w:trPr>
          <w:trHeight w:val="203"/>
        </w:trPr>
        <w:tc>
          <w:tcPr>
            <w:tcW w:w="3480" w:type="dxa"/>
            <w:vAlign w:val="bottom"/>
          </w:tcPr>
          <w:p>
            <w:pPr>
              <w:spacing w:after="0"/>
              <w:rPr>
                <w:sz w:val="17"/>
                <w:szCs w:val="17"/>
                <w:color w:val="auto"/>
              </w:rPr>
            </w:pPr>
          </w:p>
        </w:tc>
        <w:tc>
          <w:tcPr>
            <w:tcW w:w="80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enter into a Business Combination; and (b) must not be effectuated with another blank</w:t>
            </w:r>
          </w:p>
        </w:tc>
      </w:tr>
      <w:tr>
        <w:trPr>
          <w:trHeight w:val="217"/>
        </w:trPr>
        <w:tc>
          <w:tcPr>
            <w:tcW w:w="3480" w:type="dxa"/>
            <w:vAlign w:val="bottom"/>
          </w:tcPr>
          <w:p>
            <w:pPr>
              <w:spacing w:after="0"/>
              <w:rPr>
                <w:sz w:val="18"/>
                <w:szCs w:val="18"/>
                <w:color w:val="auto"/>
              </w:rPr>
            </w:pP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cheque company or a similar company with nominal operations.</w:t>
            </w:r>
          </w:p>
        </w:tc>
      </w:tr>
      <w:tr>
        <w:trPr>
          <w:trHeight w:val="404"/>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a Class A ordinary share of a par value of US$0.0001 in the share capital of the</w:t>
            </w:r>
          </w:p>
        </w:tc>
      </w:tr>
      <w:tr>
        <w:trPr>
          <w:trHeight w:val="217"/>
        </w:trPr>
        <w:tc>
          <w:tcPr>
            <w:tcW w:w="3480" w:type="dxa"/>
            <w:vAlign w:val="bottom"/>
          </w:tcPr>
          <w:p>
            <w:pPr>
              <w:spacing w:after="0"/>
              <w:rPr>
                <w:sz w:val="18"/>
                <w:szCs w:val="18"/>
                <w:color w:val="auto"/>
              </w:rPr>
            </w:pP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Company.</w:t>
            </w:r>
          </w:p>
        </w:tc>
      </w:tr>
      <w:tr>
        <w:trPr>
          <w:trHeight w:val="404"/>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a Class B ordinary share of a par value of US$0.0001 in the share capital of the</w:t>
            </w:r>
          </w:p>
        </w:tc>
      </w:tr>
      <w:tr>
        <w:trPr>
          <w:trHeight w:val="217"/>
        </w:trPr>
        <w:tc>
          <w:tcPr>
            <w:tcW w:w="3480" w:type="dxa"/>
            <w:vAlign w:val="bottom"/>
          </w:tcPr>
          <w:p>
            <w:pPr>
              <w:spacing w:after="0"/>
              <w:rPr>
                <w:sz w:val="18"/>
                <w:szCs w:val="18"/>
                <w:color w:val="auto"/>
              </w:rPr>
            </w:pP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Company.</w:t>
            </w:r>
          </w:p>
        </w:tc>
      </w:tr>
      <w:tr>
        <w:trPr>
          <w:trHeight w:val="419"/>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the above named company.</w:t>
            </w:r>
          </w:p>
        </w:tc>
      </w:tr>
      <w:tr>
        <w:trPr>
          <w:trHeight w:val="419"/>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the directors for the time being of the Company.</w:t>
            </w:r>
          </w:p>
        </w:tc>
      </w:tr>
      <w:tr>
        <w:trPr>
          <w:trHeight w:val="419"/>
        </w:trPr>
        <w:tc>
          <w:tcPr>
            <w:tcW w:w="34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8000" w:type="dxa"/>
            <w:vAlign w:val="bottom"/>
            <w:gridSpan w:val="2"/>
          </w:tcPr>
          <w:p>
            <w:pPr>
              <w:ind w:left="760"/>
              <w:spacing w:after="0"/>
              <w:rPr>
                <w:sz w:val="20"/>
                <w:szCs w:val="20"/>
                <w:color w:val="auto"/>
              </w:rPr>
            </w:pPr>
            <w:r>
              <w:rPr>
                <w:rFonts w:ascii="Arial" w:cs="Arial" w:eastAsia="Arial" w:hAnsi="Arial"/>
                <w:sz w:val="18"/>
                <w:szCs w:val="18"/>
                <w:color w:val="auto"/>
              </w:rPr>
              <w:t>means any dividend (whether interim or final) resolved to be</w:t>
            </w:r>
          </w:p>
        </w:tc>
      </w:tr>
      <w:tr>
        <w:trPr>
          <w:trHeight w:val="689"/>
        </w:trPr>
        <w:tc>
          <w:tcPr>
            <w:tcW w:w="34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80"/>
          </w:cols>
          <w:pgMar w:left="240" w:top="576" w:right="179" w:bottom="1440" w:gutter="0" w:footer="0" w:header="0"/>
        </w:sectPr>
      </w:pPr>
    </w:p>
    <w:bookmarkStart w:id="183" w:name="page184"/>
    <w:bookmarkEnd w:id="183"/>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Transactions Law</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paid on Shares pursuant to the Articles.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Electronic Transactions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Electronic Transactions Law (2003 Revision) of the Cayman Islands.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initial public offering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memorandum of association of the Company.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preference share of a par value of US$0.0001 in the share capital of the Company.</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registered office for the time being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common seal of the Company and includes every duplicate seal.</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Class A Share, a Class B Share or a Preference Share in the Company and includes a fraction of a share in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 and includes a unanimous written resolution.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Companies Law (2018 Revision) of the Cayman Islands.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subscriber to the Memorandum.</w:t>
      </w:r>
    </w:p>
    <w:p>
      <w:pPr>
        <w:spacing w:after="0" w:line="200" w:lineRule="exact"/>
        <w:rPr>
          <w:sz w:val="20"/>
          <w:szCs w:val="20"/>
          <w:color w:val="auto"/>
        </w:rPr>
      </w:pPr>
    </w:p>
    <w:p>
      <w:pPr>
        <w:spacing w:after="0" w:line="25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-1905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860" w:space="720"/>
            <w:col w:w="7240"/>
          </w:cols>
          <w:pgMar w:left="900" w:top="706" w:right="179" w:bottom="1440" w:gutter="0" w:footer="0" w:header="0"/>
        </w:sectPr>
      </w:pPr>
    </w:p>
    <w:bookmarkStart w:id="184" w:name="page185"/>
    <w:bookmarkEnd w:id="18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Share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means a Share held in the name of the Company as a treasury share in accordance with the Statute.</w:t>
      </w:r>
    </w:p>
    <w:p>
      <w:pPr>
        <w:spacing w:after="0" w:line="175" w:lineRule="exact"/>
        <w:rPr>
          <w:sz w:val="20"/>
          <w:szCs w:val="20"/>
          <w:color w:val="auto"/>
        </w:rPr>
      </w:pPr>
    </w:p>
    <w:p>
      <w:pPr>
        <w:sectPr>
          <w:pgSz w:w="11900" w:h="16838" w:orient="portrait"/>
          <w:cols w:equalWidth="0" w:num="2">
            <w:col w:w="3520" w:space="720"/>
            <w:col w:w="7240"/>
          </w:cols>
          <w:pgMar w:left="240" w:top="684" w:right="179" w:bottom="1440" w:gutter="0" w:footer="0" w:header="0"/>
        </w:sect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Fund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means the trust account established by the Company upon the consummation of its IPO and into which a certain amount of the net proceeds of the IPO, together with the proceeds of the private placement of the warrants simultaneously with the closing date of the IPO, will be deposited.</w:t>
      </w:r>
    </w:p>
    <w:p>
      <w:pPr>
        <w:spacing w:after="0" w:line="200" w:lineRule="exact"/>
        <w:rPr>
          <w:sz w:val="20"/>
          <w:szCs w:val="20"/>
          <w:color w:val="auto"/>
        </w:rPr>
      </w:pPr>
    </w:p>
    <w:p>
      <w:pPr>
        <w:sectPr>
          <w:pgSz w:w="11900" w:h="16838" w:orient="portrait"/>
          <w:cols w:equalWidth="0" w:num="2">
            <w:col w:w="3520" w:space="720"/>
            <w:col w:w="7240"/>
          </w:cols>
          <w:pgMar w:left="240" w:top="684" w:right="179" w:bottom="1440" w:gutter="0" w:footer="0" w:header="0"/>
          <w:type w:val="continuous"/>
        </w:sectPr>
      </w:pP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98"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98"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98"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183"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83" w:lineRule="exact"/>
        <w:rPr>
          <w:rFonts w:ascii="Arial" w:cs="Arial" w:eastAsia="Arial" w:hAnsi="Arial"/>
          <w:sz w:val="18"/>
          <w:szCs w:val="18"/>
          <w:color w:val="auto"/>
        </w:rPr>
      </w:pPr>
    </w:p>
    <w:p>
      <w:pPr>
        <w:jc w:val="both"/>
        <w:ind w:left="1300" w:right="6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98"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684" w:right="179" w:bottom="1440" w:gutter="0" w:footer="0" w:header="0"/>
          <w:type w:val="continuous"/>
        </w:sectPr>
      </w:pPr>
    </w:p>
    <w:bookmarkStart w:id="185" w:name="page186"/>
    <w:bookmarkEnd w:id="185"/>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 "holder" in relation to a Share means a person whose name is entered in the Register of Members as the holder of such Share.</w:t>
      </w:r>
    </w:p>
    <w:p>
      <w:pPr>
        <w:spacing w:after="0" w:line="15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business of the Company may be commenced as soon after incorporation of the Company as the Directors shall see fit.</w:t>
      </w:r>
    </w:p>
    <w:p>
      <w:pPr>
        <w:spacing w:after="0" w:line="19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7"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Issue of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described in the Articles.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the foregoing, the Subscriber shall have the power to:</w:t>
      </w:r>
    </w:p>
    <w:p>
      <w:pPr>
        <w:spacing w:after="0" w:line="198"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issue one Share to itself;</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 that Share by an instrument of transfer to any person;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update the Register of Members in respect of the issue and transfer of that Share.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7"/>
          <w:szCs w:val="17"/>
          <w:color w:val="auto"/>
        </w:rPr>
        <w:t>The Company shall not issue Shares to bearer.</w:t>
      </w:r>
    </w:p>
    <w:p>
      <w:pPr>
        <w:spacing w:after="0" w:line="171"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shall maintain or cause to be maintained the Register of Members in accordance with the Statute.</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6" w:name="page187"/>
    <w:bookmarkEnd w:id="186"/>
    <w:p>
      <w:pPr>
        <w:jc w:val="both"/>
        <w:ind w:left="652" w:hanging="647"/>
        <w:spacing w:after="0"/>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63" w:lineRule="exact"/>
        <w:rPr>
          <w:sz w:val="20"/>
          <w:szCs w:val="20"/>
          <w:color w:val="auto"/>
        </w:rPr>
      </w:pPr>
    </w:p>
    <w:p>
      <w:pPr>
        <w:ind w:left="652" w:hanging="652"/>
        <w:spacing w:after="0"/>
        <w:tabs>
          <w:tab w:leader="none" w:pos="652"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Closing Register of Members or Fixing Record Date</w:t>
      </w:r>
    </w:p>
    <w:p>
      <w:pPr>
        <w:spacing w:after="0" w:line="22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188"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8"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62" w:lineRule="exact"/>
        <w:rPr>
          <w:sz w:val="20"/>
          <w:szCs w:val="20"/>
          <w:color w:val="auto"/>
        </w:rPr>
      </w:pPr>
    </w:p>
    <w:p>
      <w:pPr>
        <w:ind w:left="652" w:hanging="652"/>
        <w:spacing w:after="0"/>
        <w:tabs>
          <w:tab w:leader="none" w:pos="652"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 for Shares</w:t>
      </w:r>
    </w:p>
    <w:p>
      <w:pPr>
        <w:spacing w:after="0" w:line="229"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9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83"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w:t>
      </w:r>
    </w:p>
    <w:p>
      <w:pPr>
        <w:spacing w:after="0" w:line="291" w:lineRule="exact"/>
        <w:rPr>
          <w:sz w:val="20"/>
          <w:szCs w:val="20"/>
          <w:color w:val="auto"/>
        </w:rPr>
      </w:pPr>
    </w:p>
    <w:p>
      <w:pPr>
        <w:ind w:left="1127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187" w:name="page188"/>
    <w:bookmarkEnd w:id="187"/>
    <w:p>
      <w:pPr>
        <w:ind w:left="660"/>
        <w:spacing w:after="0" w:line="246" w:lineRule="auto"/>
        <w:rPr>
          <w:sz w:val="20"/>
          <w:szCs w:val="20"/>
          <w:color w:val="auto"/>
        </w:rPr>
      </w:pPr>
      <w:r>
        <w:rPr>
          <w:rFonts w:ascii="Arial" w:cs="Arial" w:eastAsia="Arial" w:hAnsi="Arial"/>
          <w:sz w:val="18"/>
          <w:szCs w:val="18"/>
          <w:color w:val="auto"/>
        </w:rPr>
        <w:t>the Company in investigating evidence, as the Directors may prescribe, and (in the case of defacement or wearing out) upon delivery of the old certificate.</w:t>
      </w:r>
    </w:p>
    <w:p>
      <w:pPr>
        <w:spacing w:after="0" w:line="18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57"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163"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 Repurchase and Surrender of Shares</w:t>
      </w:r>
    </w:p>
    <w:p>
      <w:pPr>
        <w:spacing w:after="0" w:line="229"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The Directors may accept the surrender for no consideration of any fully paid Share.</w:t>
      </w:r>
    </w:p>
    <w:p>
      <w:pPr>
        <w:spacing w:after="0" w:line="171"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Treasury Shares</w:t>
      </w:r>
    </w:p>
    <w:p>
      <w:pPr>
        <w:spacing w:after="0" w:line="229"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Directors may, prior to the purchase, redemption or surrender of any Share, determine that such Share shall be held as a Treasury Share.</w:t>
      </w:r>
    </w:p>
    <w:p>
      <w:pPr>
        <w:spacing w:after="0" w:line="183"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8" w:name="page189"/>
    <w:bookmarkEnd w:id="188"/>
    <w:p>
      <w:pPr>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Variation of Rights of Shares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except that the necessary quorum shall be one person holding or representing by proxy at least one third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Shares of the class and that any holder of Shares of the class present in person or by proxy may demand a poll.</w:t>
      </w:r>
    </w:p>
    <w:p>
      <w:pPr>
        <w:spacing w:after="0" w:line="19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63"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Commission on Sale of Shares</w:t>
      </w:r>
    </w:p>
    <w:p>
      <w:pPr>
        <w:spacing w:after="0" w:line="228" w:lineRule="exact"/>
        <w:rPr>
          <w:rFonts w:ascii="Arial" w:cs="Arial" w:eastAsia="Arial" w:hAnsi="Arial"/>
          <w:sz w:val="20"/>
          <w:szCs w:val="20"/>
          <w:b w:val="1"/>
          <w:bCs w:val="1"/>
          <w:color w:val="auto"/>
        </w:rPr>
      </w:pPr>
    </w:p>
    <w:p>
      <w:pPr>
        <w:jc w:val="both"/>
        <w:ind w:left="660"/>
        <w:spacing w:after="0" w:line="239" w:lineRule="auto"/>
        <w:rPr>
          <w:rFonts w:ascii="Arial" w:cs="Arial" w:eastAsia="Arial" w:hAnsi="Arial"/>
          <w:sz w:val="20"/>
          <w:szCs w:val="20"/>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61" w:lineRule="exact"/>
        <w:rPr>
          <w:rFonts w:ascii="Arial" w:cs="Arial" w:eastAsia="Arial" w:hAnsi="Arial"/>
          <w:sz w:val="20"/>
          <w:szCs w:val="20"/>
          <w:b w:val="1"/>
          <w:bCs w:val="1"/>
          <w:color w:val="auto"/>
        </w:rPr>
      </w:pPr>
    </w:p>
    <w:p>
      <w:pPr>
        <w:ind w:left="660" w:hanging="652"/>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Non Recognition of Trusts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9" w:name="page190"/>
    <w:bookmarkEnd w:id="189"/>
    <w:p>
      <w:pPr>
        <w:spacing w:after="0"/>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Lien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9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Call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A call shall be deemed to have been made at the time when the resolution of the Directors authorising such call was passed.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The joint holders of a Share shall be jointly and severally liable to pay all calls in respect thereof.</w:t>
      </w:r>
    </w:p>
    <w:p>
      <w:pPr>
        <w:spacing w:after="0" w:line="306"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0" w:name="page191"/>
    <w:bookmarkEnd w:id="190"/>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The Directors may issue Shares with different terms as to the amount and times of payment of calls, or the interest to be paid.</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Forfeiture of Shares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9"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1" w:name="page192"/>
    <w:bookmarkEnd w:id="191"/>
    <w:p>
      <w:pPr>
        <w:jc w:val="both"/>
        <w:ind w:left="660"/>
        <w:spacing w:after="0"/>
        <w:rPr>
          <w:sz w:val="20"/>
          <w:szCs w:val="20"/>
          <w:color w:val="auto"/>
        </w:rPr>
      </w:pPr>
      <w:r>
        <w:rPr>
          <w:rFonts w:ascii="Arial" w:cs="Arial" w:eastAsia="Arial" w:hAnsi="Arial"/>
          <w:sz w:val="18"/>
          <w:szCs w:val="18"/>
          <w:color w:val="auto"/>
        </w:rPr>
        <w:t>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Transmission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90"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w:t>
      </w:r>
    </w:p>
    <w:p>
      <w:pPr>
        <w:spacing w:after="0" w:line="303"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2" w:name="page193"/>
    <w:bookmarkEnd w:id="192"/>
    <w:p>
      <w:pPr>
        <w:jc w:val="both"/>
        <w:ind w:left="660"/>
        <w:spacing w:after="0"/>
        <w:rPr>
          <w:sz w:val="20"/>
          <w:szCs w:val="20"/>
          <w:color w:val="auto"/>
        </w:rPr>
      </w:pPr>
      <w:r>
        <w:rPr>
          <w:rFonts w:ascii="Arial" w:cs="Arial" w:eastAsia="Arial" w:hAnsi="Arial"/>
          <w:sz w:val="18"/>
          <w:szCs w:val="18"/>
          <w:color w:val="auto"/>
        </w:rPr>
        <w:t>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Class B Share Conversion</w:t>
      </w:r>
    </w:p>
    <w:p>
      <w:pPr>
        <w:spacing w:after="0" w:line="20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Class B Shares shall automatically convert into Class A Shares on a one-for-one basis (the "</w:t>
      </w:r>
      <w:r>
        <w:rPr>
          <w:rFonts w:ascii="Arial" w:cs="Arial" w:eastAsia="Arial" w:hAnsi="Arial"/>
          <w:sz w:val="18"/>
          <w:szCs w:val="18"/>
          <w:b w:val="1"/>
          <w:bCs w:val="1"/>
          <w:color w:val="auto"/>
        </w:rPr>
        <w:t>Initial Conversion Ratio</w:t>
      </w:r>
      <w:r>
        <w:rPr>
          <w:rFonts w:ascii="Arial" w:cs="Arial" w:eastAsia="Arial" w:hAnsi="Arial"/>
          <w:sz w:val="18"/>
          <w:szCs w:val="18"/>
          <w:color w:val="auto"/>
        </w:rPr>
        <w:t>"): (a) at any time and from time to time at the option of the holder thereof; and (b) automatically on a Business day following the closing of a Business Combination.</w:t>
      </w:r>
    </w:p>
    <w:p>
      <w:pPr>
        <w:spacing w:after="0" w:line="178"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Notwithstanding the Initial Conversion Ratio, in the case that additional Class A Shares or any other equity linked securities, are issued or deemed issued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in the aggregate, 20%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w:t>
      </w:r>
    </w:p>
    <w:p>
      <w:pPr>
        <w:spacing w:after="0" w:line="194"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Article 10.</w:t>
      </w:r>
    </w:p>
    <w:p>
      <w:pPr>
        <w:spacing w:after="0" w:line="18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3" w:name="page194"/>
    <w:bookmarkEnd w:id="193"/>
    <w:p>
      <w:pPr>
        <w:jc w:val="both"/>
        <w:ind w:left="660" w:hanging="647"/>
        <w:spacing w:after="0" w:line="242"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References in this Article to "</w:t>
      </w:r>
      <w:r>
        <w:rPr>
          <w:rFonts w:ascii="Arial" w:cs="Arial" w:eastAsia="Arial" w:hAnsi="Arial"/>
          <w:sz w:val="18"/>
          <w:szCs w:val="18"/>
          <w:b w:val="1"/>
          <w:bCs w:val="1"/>
          <w:color w:val="auto"/>
        </w:rPr>
        <w:t>converted</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or "</w:t>
      </w:r>
      <w:r>
        <w:rPr>
          <w:rFonts w:ascii="Arial" w:cs="Arial" w:eastAsia="Arial" w:hAnsi="Arial"/>
          <w:sz w:val="18"/>
          <w:szCs w:val="18"/>
          <w:b w:val="1"/>
          <w:bCs w:val="1"/>
          <w:color w:val="auto"/>
        </w:rPr>
        <w:t>exchange</w:t>
      </w:r>
      <w:r>
        <w:rPr>
          <w:rFonts w:ascii="Arial" w:cs="Arial" w:eastAsia="Arial" w:hAnsi="Arial"/>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8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The Company may by Ordinary Resolution:</w:t>
      </w:r>
    </w:p>
    <w:p>
      <w:pPr>
        <w:spacing w:after="0" w:line="198" w:lineRule="exact"/>
        <w:rPr>
          <w:sz w:val="20"/>
          <w:szCs w:val="20"/>
          <w:color w:val="auto"/>
        </w:rPr>
      </w:pPr>
    </w:p>
    <w:p>
      <w:pPr>
        <w:ind w:left="130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8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83"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Subject to the provisions of the Statute and the provisions of the Articles as regards the matters to be dealt with by Ordinary Resolution, the Company may by Special Resolution:</w:t>
      </w:r>
    </w:p>
    <w:p>
      <w:pPr>
        <w:spacing w:after="0" w:line="183"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4" w:name="page195"/>
    <w:bookmarkEnd w:id="194"/>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171"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Offices and Places of Business</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color w:val="auto"/>
        </w:rPr>
        <w:t>All general meetings other than annual general meetings shall be called extraordinary general meetings.</w:t>
      </w:r>
    </w:p>
    <w:p>
      <w:pPr>
        <w:spacing w:after="0" w:line="19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5" w:name="page196"/>
    <w:bookmarkEnd w:id="195"/>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Notice of General Meetings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9"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Proceedings at General Meetings</w:t>
      </w:r>
    </w:p>
    <w:p>
      <w:pPr>
        <w:spacing w:after="0" w:line="22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188"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6" w:name="page197"/>
    <w:bookmarkEnd w:id="196"/>
    <w:p>
      <w:pPr>
        <w:ind w:left="660"/>
        <w:spacing w:after="0" w:line="246" w:lineRule="auto"/>
        <w:rPr>
          <w:sz w:val="20"/>
          <w:szCs w:val="20"/>
          <w:color w:val="auto"/>
        </w:rPr>
      </w:pPr>
      <w:r>
        <w:rPr>
          <w:rFonts w:ascii="Arial" w:cs="Arial" w:eastAsia="Arial" w:hAnsi="Arial"/>
          <w:sz w:val="18"/>
          <w:szCs w:val="18"/>
          <w:color w:val="auto"/>
        </w:rPr>
        <w:t>place as the Directors may determine, and if at the adjourned meeting a quorum is not present within half an hour from the time appointed for the meeting to commence, the Members present shall be a quorum.</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When a general meeting is adjourned for thirty days or more, notice of the adjourned meeting shall be given as in the case of an original meeting. Otherwise it shall not be necessary to give any such notice of an adjourned meeting.</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18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22.10</w:t>
        <w:tab/>
        <w:t>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The demand for a poll may be withdrawn.</w:t>
      </w:r>
    </w:p>
    <w:p>
      <w:pPr>
        <w:spacing w:after="0" w:line="198"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22.12</w:t>
        <w:tab/>
        <w:t>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7" w:name="page198"/>
    <w:bookmarkEnd w:id="197"/>
    <w:p>
      <w:pPr>
        <w:ind w:left="660" w:right="20"/>
        <w:spacing w:after="0" w:line="246" w:lineRule="auto"/>
        <w:rPr>
          <w:sz w:val="20"/>
          <w:szCs w:val="20"/>
          <w:color w:val="auto"/>
        </w:rPr>
      </w:pPr>
      <w:r>
        <w:rPr>
          <w:rFonts w:ascii="Arial" w:cs="Arial" w:eastAsia="Arial" w:hAnsi="Arial"/>
          <w:sz w:val="18"/>
          <w:szCs w:val="18"/>
          <w:color w:val="auto"/>
        </w:rPr>
        <w:t>the chairman of the general meeting directs, and any business other than that upon which a poll has been demanded or is contingent thereon may proceed pending the taking of the poll.</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7"/>
          <w:szCs w:val="17"/>
          <w:color w:val="auto"/>
        </w:rPr>
        <w:t>In the case of an equality of votes, whether on a show of hands or on a poll, the chairman shall be entitled to a second or casting vote.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Votes of Members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8" w:name="page199"/>
    <w:bookmarkEnd w:id="198"/>
    <w:p>
      <w:pPr>
        <w:ind w:left="660"/>
        <w:spacing w:after="0" w:line="246" w:lineRule="auto"/>
        <w:rPr>
          <w:sz w:val="20"/>
          <w:szCs w:val="20"/>
          <w:color w:val="auto"/>
        </w:rPr>
      </w:pPr>
      <w:r>
        <w:rPr>
          <w:rFonts w:ascii="Arial" w:cs="Arial" w:eastAsia="Arial" w:hAnsi="Arial"/>
          <w:sz w:val="18"/>
          <w:szCs w:val="18"/>
          <w:color w:val="auto"/>
        </w:rPr>
        <w:t>or more instruments may vote a Share or some or all of the Shares in respect of which he is appointed either for or against a resolution and/or abstain from voting a Share or some or all of the Shares in respect of which he is appointed.</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Proxies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90"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6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Corporate Members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9" w:name="page200"/>
    <w:bookmarkEnd w:id="199"/>
    <w:p>
      <w:pPr>
        <w:ind w:left="660" w:right="20"/>
        <w:spacing w:after="0" w:line="246" w:lineRule="auto"/>
        <w:rPr>
          <w:sz w:val="20"/>
          <w:szCs w:val="20"/>
          <w:color w:val="auto"/>
        </w:rPr>
      </w:pPr>
      <w:r>
        <w:rPr>
          <w:rFonts w:ascii="Arial" w:cs="Arial" w:eastAsia="Arial" w:hAnsi="Arial"/>
          <w:sz w:val="18"/>
          <w:szCs w:val="18"/>
          <w:color w:val="auto"/>
        </w:rPr>
        <w:t>exercise the same powers on behalf of the corporation which he represents as the corporation could exercise if it were an individual Member.</w:t>
      </w:r>
    </w:p>
    <w:p>
      <w:pPr>
        <w:spacing w:after="0" w:line="157"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Shares that May Not be Voted</w:t>
      </w:r>
    </w:p>
    <w:p>
      <w:pPr>
        <w:spacing w:after="0" w:line="228"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Directors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162" w:lineRule="exact"/>
        <w:rPr>
          <w:rFonts w:ascii="Arial" w:cs="Arial" w:eastAsia="Arial" w:hAnsi="Arial"/>
          <w:sz w:val="20"/>
          <w:szCs w:val="20"/>
          <w:b w:val="1"/>
          <w:bCs w:val="1"/>
          <w:color w:val="auto"/>
        </w:rPr>
      </w:pPr>
    </w:p>
    <w:p>
      <w:pPr>
        <w:ind w:left="660" w:hanging="652"/>
        <w:spacing w:after="0"/>
        <w:tabs>
          <w:tab w:leader="none" w:pos="6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Powers of Directors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Appointment and 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color w:val="auto"/>
        </w:rPr>
        <w:t>The Company may by Ordinary Resolution appoint any person to be a Director or may by Ordinary Resolution remove any Director.</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0" w:name="page201"/>
    <w:bookmarkEnd w:id="200"/>
    <w:p>
      <w:pPr>
        <w:jc w:val="both"/>
        <w:ind w:left="652" w:hanging="647"/>
        <w:spacing w:after="0"/>
        <w:tabs>
          <w:tab w:leader="none" w:pos="632"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63"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Vacation of Office of Director</w:t>
      </w:r>
    </w:p>
    <w:p>
      <w:pPr>
        <w:spacing w:after="0" w:line="22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8"/>
          <w:szCs w:val="18"/>
          <w:color w:val="auto"/>
        </w:rPr>
        <w:t>The office of a Director shall be vacated if:</w:t>
      </w:r>
    </w:p>
    <w:p>
      <w:pPr>
        <w:spacing w:after="0" w:line="198" w:lineRule="exact"/>
        <w:rPr>
          <w:rFonts w:ascii="Arial" w:cs="Arial" w:eastAsia="Arial" w:hAnsi="Arial"/>
          <w:sz w:val="20"/>
          <w:szCs w:val="20"/>
          <w:b w:val="1"/>
          <w:bCs w:val="1"/>
          <w:color w:val="auto"/>
        </w:rPr>
      </w:pPr>
    </w:p>
    <w:p>
      <w:pPr>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189" w:lineRule="exact"/>
        <w:rPr>
          <w:rFonts w:ascii="Arial" w:cs="Arial" w:eastAsia="Arial" w:hAnsi="Arial"/>
          <w:sz w:val="18"/>
          <w:szCs w:val="18"/>
          <w:color w:val="auto"/>
        </w:rPr>
      </w:pPr>
    </w:p>
    <w:p>
      <w:pPr>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98" w:lineRule="exact"/>
        <w:rPr>
          <w:rFonts w:ascii="Arial" w:cs="Arial" w:eastAsia="Arial" w:hAnsi="Arial"/>
          <w:sz w:val="18"/>
          <w:szCs w:val="18"/>
          <w:color w:val="auto"/>
        </w:rPr>
      </w:pPr>
    </w:p>
    <w:p>
      <w:pPr>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62" w:lineRule="exact"/>
        <w:rPr>
          <w:rFonts w:ascii="Arial" w:cs="Arial" w:eastAsia="Arial" w:hAnsi="Arial"/>
          <w:sz w:val="18"/>
          <w:szCs w:val="18"/>
          <w:color w:val="auto"/>
        </w:rPr>
      </w:pPr>
    </w:p>
    <w:p>
      <w:pPr>
        <w:ind w:left="652" w:hanging="652"/>
        <w:spacing w:after="0"/>
        <w:tabs>
          <w:tab w:leader="none" w:pos="65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of Directors</w:t>
      </w:r>
    </w:p>
    <w:p>
      <w:pPr>
        <w:spacing w:after="0" w:line="22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188"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188"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296"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01" w:name="page202"/>
    <w:bookmarkEnd w:id="201"/>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192"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8"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189"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but not an alternate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63" w:lineRule="exact"/>
        <w:rPr>
          <w:sz w:val="20"/>
          <w:szCs w:val="20"/>
          <w:color w:val="auto"/>
        </w:rPr>
      </w:pPr>
    </w:p>
    <w:p>
      <w:pPr>
        <w:ind w:left="652" w:hanging="652"/>
        <w:spacing w:after="0"/>
        <w:tabs>
          <w:tab w:leader="none" w:pos="652"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 of Assent</w:t>
      </w:r>
    </w:p>
    <w:p>
      <w:pPr>
        <w:spacing w:after="0" w:line="228" w:lineRule="exact"/>
        <w:rPr>
          <w:rFonts w:ascii="Arial" w:cs="Arial" w:eastAsia="Arial" w:hAnsi="Arial"/>
          <w:sz w:val="20"/>
          <w:szCs w:val="20"/>
          <w:b w:val="1"/>
          <w:bCs w:val="1"/>
          <w:color w:val="auto"/>
        </w:rPr>
      </w:pPr>
    </w:p>
    <w:p>
      <w:pPr>
        <w:jc w:val="both"/>
        <w:ind w:left="652"/>
        <w:spacing w:after="0"/>
        <w:rPr>
          <w:rFonts w:ascii="Arial" w:cs="Arial" w:eastAsia="Arial" w:hAnsi="Arial"/>
          <w:sz w:val="20"/>
          <w:szCs w:val="20"/>
          <w:b w:val="1"/>
          <w:bCs w:val="1"/>
          <w:color w:val="auto"/>
        </w:rPr>
      </w:pPr>
      <w:r>
        <w:rPr>
          <w:rFonts w:ascii="Arial" w:cs="Arial" w:eastAsia="Arial" w:hAnsi="Arial"/>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w:t>
      </w:r>
    </w:p>
    <w:p>
      <w:pPr>
        <w:spacing w:after="0" w:line="297"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02" w:name="page203"/>
    <w:bookmarkEnd w:id="202"/>
    <w:p>
      <w:pPr>
        <w:jc w:val="both"/>
        <w:ind w:left="660"/>
        <w:spacing w:after="0"/>
        <w:rPr>
          <w:sz w:val="20"/>
          <w:szCs w:val="20"/>
          <w:color w:val="auto"/>
        </w:rPr>
      </w:pPr>
      <w:r>
        <w:rPr>
          <w:rFonts w:ascii="Arial" w:cs="Arial" w:eastAsia="Arial" w:hAnsi="Arial"/>
          <w:sz w:val="18"/>
          <w:szCs w:val="18"/>
          <w:color w:val="auto"/>
        </w:rPr>
        <w:t>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Directors' Interests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188"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195"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62"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3" w:name="page204"/>
    <w:bookmarkEnd w:id="203"/>
    <w:p>
      <w:pPr>
        <w:spacing w:after="0"/>
        <w:tabs>
          <w:tab w:leader="none" w:pos="64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20"/>
          <w:szCs w:val="20"/>
          <w:b w:val="1"/>
          <w:bCs w:val="1"/>
          <w:color w:val="auto"/>
        </w:rPr>
        <w:t>Delegation of Directors' Powers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95"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9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90"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4" w:name="page205"/>
    <w:bookmarkEnd w:id="204"/>
    <w:p>
      <w:pPr>
        <w:spacing w:after="0"/>
        <w:tabs>
          <w:tab w:leader="none" w:pos="6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20"/>
          <w:szCs w:val="20"/>
          <w:b w:val="1"/>
          <w:bCs w:val="1"/>
          <w:color w:val="auto"/>
        </w:rPr>
        <w:t>Alternate Directors</w:t>
      </w:r>
    </w:p>
    <w:p>
      <w:pPr>
        <w:spacing w:after="0" w:line="22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Any Director (but not an alternate Director) may by writing appoint any other Director, or any other person willing to act, to be an alternate Director and by writing may remove from office an alternate Director so appointed by him.</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An alternate Director shall cease to be an alternate Director if his appointor ceases to be a Director.</w:t>
      </w:r>
    </w:p>
    <w:p>
      <w:pPr>
        <w:spacing w:after="0" w:line="19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15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No Minimum Shareholding</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 of Directors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9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5" w:name="page206"/>
    <w:bookmarkEnd w:id="205"/>
    <w:p>
      <w:pPr>
        <w:spacing w:after="0"/>
        <w:tabs>
          <w:tab w:leader="none" w:pos="64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20"/>
          <w:szCs w:val="20"/>
          <w:b w:val="1"/>
          <w:bCs w:val="1"/>
          <w:color w:val="auto"/>
        </w:rPr>
        <w:t>Seal</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40</w:t>
      </w:r>
      <w:r>
        <w:rPr>
          <w:sz w:val="20"/>
          <w:szCs w:val="20"/>
          <w:color w:val="auto"/>
        </w:rPr>
        <w:tab/>
      </w:r>
      <w:r>
        <w:rPr>
          <w:rFonts w:ascii="Arial" w:cs="Arial" w:eastAsia="Arial" w:hAnsi="Arial"/>
          <w:sz w:val="20"/>
          <w:szCs w:val="20"/>
          <w:b w:val="1"/>
          <w:bCs w:val="1"/>
          <w:color w:val="auto"/>
        </w:rPr>
        <w:t>Dividends, Distributions and Reserve</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9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8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w:t>
      </w:r>
    </w:p>
    <w:p>
      <w:pPr>
        <w:spacing w:after="0" w:line="300"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8"/>
          <w:szCs w:val="18"/>
          <w:color w:val="auto"/>
        </w:rPr>
        <w:t>may vest any such specific assets in trustees in such manner as may seem expedient to the Directors.</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7"/>
          <w:szCs w:val="17"/>
          <w:color w:val="auto"/>
        </w:rPr>
        <w:t>No Dividend or other distribution shall bear interest against the Company.</w:t>
      </w:r>
    </w:p>
    <w:p>
      <w:pPr>
        <w:spacing w:after="0" w:line="198"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65"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Capitalisation</w:t>
      </w:r>
    </w:p>
    <w:p>
      <w:pPr>
        <w:spacing w:after="0" w:line="228" w:lineRule="exact"/>
        <w:rPr>
          <w:rFonts w:ascii="Arial" w:cs="Arial" w:eastAsia="Arial" w:hAnsi="Arial"/>
          <w:sz w:val="20"/>
          <w:szCs w:val="20"/>
          <w:b w:val="1"/>
          <w:bCs w:val="1"/>
          <w:color w:val="auto"/>
        </w:rPr>
      </w:pPr>
    </w:p>
    <w:p>
      <w:pPr>
        <w:jc w:val="both"/>
        <w:ind w:left="660"/>
        <w:spacing w:after="0" w:line="236" w:lineRule="auto"/>
        <w:rPr>
          <w:rFonts w:ascii="Arial" w:cs="Arial" w:eastAsia="Arial" w:hAnsi="Arial"/>
          <w:sz w:val="20"/>
          <w:szCs w:val="20"/>
          <w:b w:val="1"/>
          <w:bCs w:val="1"/>
          <w:color w:val="auto"/>
        </w:rPr>
      </w:pPr>
      <w:r>
        <w:rPr>
          <w:rFonts w:ascii="Arial" w:cs="Arial" w:eastAsia="Arial" w:hAnsi="Arial"/>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w:t>
      </w:r>
    </w:p>
    <w:p>
      <w:pPr>
        <w:spacing w:after="0" w:line="302"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7" w:name="page208"/>
    <w:bookmarkEnd w:id="207"/>
    <w:p>
      <w:pPr>
        <w:ind w:left="660" w:right="20"/>
        <w:spacing w:after="0" w:line="246" w:lineRule="auto"/>
        <w:rPr>
          <w:sz w:val="20"/>
          <w:szCs w:val="20"/>
          <w:color w:val="auto"/>
        </w:rPr>
      </w:pPr>
      <w:r>
        <w:rPr>
          <w:rFonts w:ascii="Arial" w:cs="Arial" w:eastAsia="Arial" w:hAnsi="Arial"/>
          <w:sz w:val="18"/>
          <w:szCs w:val="18"/>
          <w:color w:val="auto"/>
        </w:rPr>
        <w:t>interested into an agreement with the Company providing for such capitalisation and matters incidental or relating thereto and any agreement made under such authority shall be effective and binding on all such Members and the Company.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Books of Account</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9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7"/>
          <w:szCs w:val="17"/>
          <w:color w:val="auto"/>
        </w:rPr>
        <w:t>The Directors may appoint an Auditor of the Company who shall hold office on such terms as the Directors determine.</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8" w:name="page209"/>
    <w:bookmarkEnd w:id="208"/>
    <w:p>
      <w:pPr>
        <w:spacing w:after="0"/>
        <w:tabs>
          <w:tab w:leader="none" w:pos="6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Notices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18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9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92"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Winding Up</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9" w:name="page210"/>
    <w:bookmarkEnd w:id="209"/>
    <w:p>
      <w:pPr>
        <w:jc w:val="both"/>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9" w:lineRule="exact"/>
        <w:rPr>
          <w:rFonts w:ascii="Arial" w:cs="Arial" w:eastAsia="Arial" w:hAnsi="Arial"/>
          <w:sz w:val="18"/>
          <w:szCs w:val="18"/>
          <w:color w:val="auto"/>
        </w:rPr>
      </w:pPr>
    </w:p>
    <w:p>
      <w:pPr>
        <w:jc w:val="both"/>
        <w:ind w:left="1300" w:hanging="644"/>
        <w:spacing w:after="0" w:line="239"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8"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20"/>
          <w:szCs w:val="20"/>
          <w:b w:val="1"/>
          <w:bCs w:val="1"/>
          <w:color w:val="auto"/>
        </w:rPr>
        <w:t>Indemnity and Insurance</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195"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w:t>
      </w:r>
    </w:p>
    <w:p>
      <w:pPr>
        <w:spacing w:after="0" w:line="300"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0" w:name="page211"/>
    <w:bookmarkEnd w:id="210"/>
    <w:p>
      <w:pPr>
        <w:ind w:left="652"/>
        <w:spacing w:after="0" w:line="246" w:lineRule="auto"/>
        <w:rPr>
          <w:sz w:val="20"/>
          <w:szCs w:val="20"/>
          <w:color w:val="auto"/>
        </w:rPr>
      </w:pPr>
      <w:r>
        <w:rPr>
          <w:rFonts w:ascii="Arial" w:cs="Arial" w:eastAsia="Arial" w:hAnsi="Arial"/>
          <w:sz w:val="18"/>
          <w:szCs w:val="18"/>
          <w:color w:val="auto"/>
        </w:rPr>
        <w:t>judgment, costs or expenses, then such party shall not be indemnified with respect to such judgment, costs or expenses and any advancement shall be returned to the Company (without interest) by the Indemnified Person.</w:t>
      </w:r>
    </w:p>
    <w:p>
      <w:pPr>
        <w:spacing w:after="0" w:line="183"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163" w:lineRule="exact"/>
        <w:rPr>
          <w:sz w:val="20"/>
          <w:szCs w:val="20"/>
          <w:color w:val="auto"/>
        </w:rPr>
      </w:pPr>
    </w:p>
    <w:p>
      <w:pPr>
        <w:ind w:left="652" w:hanging="652"/>
        <w:spacing w:after="0"/>
        <w:tabs>
          <w:tab w:leader="none" w:pos="652"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Year</w:t>
      </w:r>
    </w:p>
    <w:p>
      <w:pPr>
        <w:spacing w:after="0" w:line="228" w:lineRule="exact"/>
        <w:rPr>
          <w:rFonts w:ascii="Arial" w:cs="Arial" w:eastAsia="Arial" w:hAnsi="Arial"/>
          <w:sz w:val="20"/>
          <w:szCs w:val="20"/>
          <w:b w:val="1"/>
          <w:bCs w:val="1"/>
          <w:color w:val="auto"/>
        </w:rPr>
      </w:pPr>
    </w:p>
    <w:p>
      <w:pPr>
        <w:ind w:left="652"/>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6" w:lineRule="exact"/>
        <w:rPr>
          <w:rFonts w:ascii="Arial" w:cs="Arial" w:eastAsia="Arial" w:hAnsi="Arial"/>
          <w:sz w:val="20"/>
          <w:szCs w:val="20"/>
          <w:b w:val="1"/>
          <w:bCs w:val="1"/>
          <w:color w:val="auto"/>
        </w:rPr>
      </w:pPr>
    </w:p>
    <w:p>
      <w:pPr>
        <w:ind w:left="652" w:hanging="652"/>
        <w:spacing w:after="0"/>
        <w:tabs>
          <w:tab w:leader="none" w:pos="652"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Transfer by Way of Continuation</w:t>
      </w:r>
    </w:p>
    <w:p>
      <w:pPr>
        <w:spacing w:after="0" w:line="228" w:lineRule="exact"/>
        <w:rPr>
          <w:rFonts w:ascii="Arial" w:cs="Arial" w:eastAsia="Arial" w:hAnsi="Arial"/>
          <w:sz w:val="20"/>
          <w:szCs w:val="20"/>
          <w:b w:val="1"/>
          <w:bCs w:val="1"/>
          <w:color w:val="auto"/>
        </w:rPr>
      </w:pPr>
    </w:p>
    <w:p>
      <w:pPr>
        <w:jc w:val="both"/>
        <w:ind w:left="652"/>
        <w:spacing w:after="0"/>
        <w:rPr>
          <w:rFonts w:ascii="Arial" w:cs="Arial" w:eastAsia="Arial" w:hAnsi="Arial"/>
          <w:sz w:val="20"/>
          <w:szCs w:val="20"/>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62" w:lineRule="exact"/>
        <w:rPr>
          <w:rFonts w:ascii="Arial" w:cs="Arial" w:eastAsia="Arial" w:hAnsi="Arial"/>
          <w:sz w:val="20"/>
          <w:szCs w:val="20"/>
          <w:b w:val="1"/>
          <w:bCs w:val="1"/>
          <w:color w:val="auto"/>
        </w:rPr>
      </w:pPr>
    </w:p>
    <w:p>
      <w:pPr>
        <w:ind w:left="652" w:hanging="652"/>
        <w:spacing w:after="0"/>
        <w:tabs>
          <w:tab w:leader="none" w:pos="652"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Mergers and Consolidations</w:t>
      </w:r>
    </w:p>
    <w:p>
      <w:pPr>
        <w:spacing w:after="0" w:line="228" w:lineRule="exact"/>
        <w:rPr>
          <w:rFonts w:ascii="Arial" w:cs="Arial" w:eastAsia="Arial" w:hAnsi="Arial"/>
          <w:sz w:val="20"/>
          <w:szCs w:val="20"/>
          <w:b w:val="1"/>
          <w:bCs w:val="1"/>
          <w:color w:val="auto"/>
        </w:rPr>
      </w:pPr>
    </w:p>
    <w:p>
      <w:pPr>
        <w:ind w:left="652"/>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91"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Dated this 7th day of June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Limited</w:t>
      </w:r>
    </w:p>
    <w:p>
      <w:pPr>
        <w:spacing w:after="0" w:line="234" w:lineRule="auto"/>
        <w:rPr>
          <w:sz w:val="20"/>
          <w:szCs w:val="20"/>
          <w:color w:val="auto"/>
        </w:rPr>
      </w:pPr>
      <w:r>
        <w:rPr>
          <w:rFonts w:ascii="Arial" w:cs="Arial" w:eastAsia="Arial" w:hAnsi="Arial"/>
          <w:sz w:val="18"/>
          <w:szCs w:val="18"/>
          <w:color w:val="auto"/>
        </w:rPr>
        <w:t>of PO Box 309, Ugland House</w:t>
      </w:r>
    </w:p>
    <w:p>
      <w:pPr>
        <w:spacing w:after="0" w:line="235" w:lineRule="auto"/>
        <w:rPr>
          <w:sz w:val="20"/>
          <w:szCs w:val="20"/>
          <w:color w:val="auto"/>
        </w:rPr>
      </w:pPr>
      <w:r>
        <w:rPr>
          <w:rFonts w:ascii="Arial" w:cs="Arial" w:eastAsia="Arial" w:hAnsi="Arial"/>
          <w:sz w:val="18"/>
          <w:szCs w:val="18"/>
          <w:color w:val="auto"/>
        </w:rPr>
        <w:t>Grand Cayman</w:t>
      </w:r>
    </w:p>
    <w:p>
      <w:pPr>
        <w:spacing w:after="0" w:line="235" w:lineRule="auto"/>
        <w:rPr>
          <w:sz w:val="20"/>
          <w:szCs w:val="20"/>
          <w:color w:val="auto"/>
        </w:rPr>
      </w:pPr>
      <w:r>
        <w:rPr>
          <w:rFonts w:ascii="Arial" w:cs="Arial" w:eastAsia="Arial" w:hAnsi="Arial"/>
          <w:sz w:val="18"/>
          <w:szCs w:val="18"/>
          <w:color w:val="auto"/>
        </w:rPr>
        <w:t>KY1-1104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Marcia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2134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Marcia Borden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Ahmaree Piercy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2192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Ahmaree Piercy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212" w:name="page213"/>
    <w:bookmarkEnd w:id="212"/>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43"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Principal Amount: $250,000</w:t>
      </w:r>
      <w:r>
        <w:rPr>
          <w:sz w:val="20"/>
          <w:szCs w:val="20"/>
          <w:color w:val="auto"/>
        </w:rPr>
        <w:tab/>
      </w:r>
      <w:r>
        <w:rPr>
          <w:rFonts w:ascii="Arial" w:cs="Arial" w:eastAsia="Arial" w:hAnsi="Arial"/>
          <w:sz w:val="15"/>
          <w:szCs w:val="15"/>
          <w:color w:val="auto"/>
        </w:rPr>
        <w:t>Dated as of June 10, 2019</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Silver Spike Acquisition Corp., a Cayman Islands exempted company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Silver Spike Sponsor,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two hundred and fifty thousand U.S. dollars ($ 250,000)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right="60" w:firstLine="8"/>
        <w:spacing w:after="0" w:line="282" w:lineRule="auto"/>
        <w:tabs>
          <w:tab w:leader="none" w:pos="2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on the earlier of: (i) January 31, 2020 or (ii) the date on which Maker consummates an</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public offering of its securities. The principal balance may be prepaid at any time.</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jc w:val="both"/>
        <w:ind w:right="300" w:firstLine="8"/>
        <w:spacing w:after="0" w:line="266" w:lineRule="auto"/>
        <w:tabs>
          <w:tab w:leader="none" w:pos="22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60" w:firstLine="8"/>
        <w:spacing w:after="0" w:line="277" w:lineRule="auto"/>
        <w:tabs>
          <w:tab w:leader="none" w:pos="30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20" w:firstLine="8"/>
        <w:spacing w:after="0" w:line="302" w:lineRule="auto"/>
        <w:tabs>
          <w:tab w:leader="none" w:pos="25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Voluntary Bankruptcy, Etc</w:t>
      </w:r>
      <w:r>
        <w:rPr>
          <w:rFonts w:ascii="Arial" w:cs="Arial" w:eastAsia="Arial" w:hAnsi="Arial"/>
          <w:sz w:val="16"/>
          <w:szCs w:val="16"/>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54" w:lineRule="exact"/>
        <w:rPr>
          <w:rFonts w:ascii="Arial" w:cs="Arial" w:eastAsia="Arial" w:hAnsi="Arial"/>
          <w:sz w:val="16"/>
          <w:szCs w:val="16"/>
          <w:color w:val="auto"/>
        </w:rPr>
      </w:pPr>
    </w:p>
    <w:p>
      <w:pPr>
        <w:ind w:right="180" w:firstLine="8"/>
        <w:spacing w:after="0" w:line="259" w:lineRule="auto"/>
        <w:tabs>
          <w:tab w:leader="none" w:pos="24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3" w:name="page214"/>
    <w:bookmarkEnd w:id="213"/>
    <w:p>
      <w:pPr>
        <w:ind w:left="180" w:hanging="172"/>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right="100" w:firstLine="8"/>
        <w:spacing w:after="0" w:line="259" w:lineRule="auto"/>
        <w:tabs>
          <w:tab w:leader="none" w:pos="2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8"/>
        <w:spacing w:after="0" w:line="308" w:lineRule="auto"/>
        <w:tabs>
          <w:tab w:leader="none" w:pos="25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43" w:lineRule="exact"/>
        <w:rPr>
          <w:sz w:val="20"/>
          <w:szCs w:val="20"/>
          <w:color w:val="auto"/>
        </w:rPr>
      </w:pPr>
    </w:p>
    <w:p>
      <w:pPr>
        <w:ind w:right="40" w:firstLine="8"/>
        <w:spacing w:after="0" w:line="274" w:lineRule="auto"/>
        <w:tabs>
          <w:tab w:leader="none" w:pos="18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Waivers. </w:t>
      </w:r>
      <w:r>
        <w:rPr>
          <w:rFonts w:ascii="Arial" w:cs="Arial" w:eastAsia="Arial" w:hAnsi="Arial"/>
          <w:sz w:val="17"/>
          <w:szCs w:val="17"/>
          <w:color w:val="auto"/>
        </w:rPr>
        <w:t>Maker and all endorsers and guarantors of, and sureties for, this Note waive presentment for payment, demand, notice of dishonor, protest,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73" w:lineRule="exact"/>
        <w:rPr>
          <w:rFonts w:ascii="Arial" w:cs="Arial" w:eastAsia="Arial" w:hAnsi="Arial"/>
          <w:sz w:val="17"/>
          <w:szCs w:val="17"/>
          <w:color w:val="auto"/>
        </w:rPr>
      </w:pPr>
    </w:p>
    <w:p>
      <w:pPr>
        <w:jc w:val="both"/>
        <w:ind w:firstLine="8"/>
        <w:spacing w:after="0" w:line="298" w:lineRule="auto"/>
        <w:tabs>
          <w:tab w:leader="none" w:pos="207"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4" w:lineRule="exact"/>
        <w:rPr>
          <w:rFonts w:ascii="Arial" w:cs="Arial" w:eastAsia="Arial" w:hAnsi="Arial"/>
          <w:sz w:val="16"/>
          <w:szCs w:val="16"/>
          <w:color w:val="auto"/>
        </w:rPr>
      </w:pPr>
    </w:p>
    <w:p>
      <w:pPr>
        <w:ind w:right="100" w:firstLine="8"/>
        <w:spacing w:after="0" w:line="273" w:lineRule="auto"/>
        <w:tabs>
          <w:tab w:leader="none" w:pos="18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Agreement shall be: (i) in writing and delivered personally</w:t>
      </w:r>
      <w:r>
        <w:rPr>
          <w:rFonts w:ascii="Arial" w:cs="Arial" w:eastAsia="Arial" w:hAnsi="Arial"/>
          <w:sz w:val="17"/>
          <w:szCs w:val="17"/>
          <w:b w:val="1"/>
          <w:bCs w:val="1"/>
          <w:color w:val="auto"/>
        </w:rPr>
        <w:t xml:space="preserve"> </w:t>
      </w:r>
      <w:r>
        <w:rPr>
          <w:rFonts w:ascii="Arial" w:cs="Arial" w:eastAsia="Arial" w:hAnsi="Arial"/>
          <w:sz w:val="17"/>
          <w:szCs w:val="17"/>
          <w:color w:val="auto"/>
        </w:rPr>
        <w:t>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2" w:lineRule="exact"/>
        <w:rPr>
          <w:rFonts w:ascii="Arial" w:cs="Arial" w:eastAsia="Arial" w:hAnsi="Arial"/>
          <w:sz w:val="17"/>
          <w:szCs w:val="17"/>
          <w:color w:val="auto"/>
        </w:rPr>
      </w:pPr>
    </w:p>
    <w:p>
      <w:pPr>
        <w:ind w:right="140" w:firstLine="8"/>
        <w:spacing w:after="0" w:line="282" w:lineRule="auto"/>
        <w:tabs>
          <w:tab w:leader="none" w:pos="266"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auto"/>
        </w:rPr>
      </w:pPr>
    </w:p>
    <w:p>
      <w:pPr>
        <w:jc w:val="both"/>
        <w:ind w:firstLine="8"/>
        <w:spacing w:after="0" w:line="266" w:lineRule="auto"/>
        <w:tabs>
          <w:tab w:leader="none" w:pos="315"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4" w:name="page215"/>
    <w:bookmarkEnd w:id="214"/>
    <w:p>
      <w:pPr>
        <w:ind w:left="-8" w:firstLine="8"/>
        <w:spacing w:after="0" w:line="256"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Trust Waiver. </w:t>
      </w:r>
      <w:r>
        <w:rPr>
          <w:rFonts w:ascii="Arial" w:cs="Arial" w:eastAsia="Arial" w:hAnsi="Arial"/>
          <w:sz w:val="18"/>
          <w:szCs w:val="18"/>
          <w:color w:val="auto"/>
        </w:rPr>
        <w:t>Notwithstanding anything herein to the contrary, the Payee hereby waives any and all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to any distribution of or from the trust account to be established in which the proceeds of the initial public offering (the “ </w:t>
      </w:r>
      <w:r>
        <w:rPr>
          <w:rFonts w:ascii="Arial" w:cs="Arial" w:eastAsia="Arial" w:hAnsi="Arial"/>
          <w:sz w:val="18"/>
          <w:szCs w:val="18"/>
          <w:b w:val="1"/>
          <w:bCs w:val="1"/>
          <w:color w:val="auto"/>
        </w:rPr>
        <w:t>IPO</w:t>
      </w:r>
      <w:r>
        <w:rPr>
          <w:rFonts w:ascii="Arial" w:cs="Arial" w:eastAsia="Arial" w:hAnsi="Arial"/>
          <w:sz w:val="18"/>
          <w:szCs w:val="18"/>
          <w:color w:val="auto"/>
        </w:rPr>
        <w:t>”) conducted by the Maker (including the deferred underwriting discounts and commissions) and the proceeds of the sale of the warrants issued in a private placement to occur prior to the effectiveness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rFonts w:ascii="Arial" w:cs="Arial" w:eastAsia="Arial" w:hAnsi="Arial"/>
          <w:sz w:val="18"/>
          <w:szCs w:val="18"/>
          <w:color w:val="auto"/>
        </w:rPr>
      </w:pPr>
    </w:p>
    <w:p>
      <w:pPr>
        <w:ind w:left="-8" w:right="160" w:firstLine="8"/>
        <w:spacing w:after="0" w:line="282" w:lineRule="auto"/>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auto"/>
        </w:rPr>
      </w:pPr>
    </w:p>
    <w:p>
      <w:pPr>
        <w:ind w:left="-8" w:right="400" w:firstLine="8"/>
        <w:spacing w:after="0" w:line="347" w:lineRule="auto"/>
        <w:tabs>
          <w:tab w:leader="none" w:pos="307"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581" w:right="279" w:bottom="1440" w:gutter="0" w:footer="0" w:header="0"/>
        </w:sectPr>
      </w:pPr>
    </w:p>
    <w:bookmarkStart w:id="215" w:name="page216"/>
    <w:bookmarkEnd w:id="215"/>
    <w:p>
      <w:pPr>
        <w:ind w:right="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Maker, intending to be legally bound hereby, has caused this Note to be duly executed by the undersigned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200" w:lineRule="exact"/>
        <w:rPr>
          <w:sz w:val="20"/>
          <w:szCs w:val="20"/>
          <w:color w:val="auto"/>
        </w:rPr>
      </w:pPr>
    </w:p>
    <w:p>
      <w:pPr>
        <w:spacing w:after="0" w:line="39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 Cayman Islands exempted company</w:t>
      </w:r>
    </w:p>
    <w:p>
      <w:pPr>
        <w:spacing w:after="0" w:line="200" w:lineRule="exact"/>
        <w:rPr>
          <w:sz w:val="20"/>
          <w:szCs w:val="20"/>
          <w:color w:val="auto"/>
        </w:rPr>
      </w:pPr>
    </w:p>
    <w:p>
      <w:pPr>
        <w:spacing w:after="0" w:line="213"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Scott Gordon</w:t>
            </w:r>
          </w:p>
        </w:tc>
      </w:tr>
      <w:tr>
        <w:trPr>
          <w:trHeight w:val="195"/>
        </w:trPr>
        <w:tc>
          <w:tcPr>
            <w:tcW w:w="560" w:type="dxa"/>
            <w:vAlign w:val="bottom"/>
          </w:tcPr>
          <w:p>
            <w:pPr>
              <w:spacing w:after="0"/>
              <w:rPr>
                <w:sz w:val="16"/>
                <w:szCs w:val="16"/>
                <w:color w:val="auto"/>
              </w:rPr>
            </w:pPr>
          </w:p>
        </w:tc>
        <w:tc>
          <w:tcPr>
            <w:tcW w:w="80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22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5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Title:</w:t>
            </w:r>
          </w:p>
        </w:tc>
        <w:tc>
          <w:tcPr>
            <w:tcW w:w="4660" w:type="dxa"/>
            <w:vAlign w:val="bottom"/>
          </w:tcPr>
          <w:p>
            <w:pPr>
              <w:ind w:left="2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This Securities Purchase Agreement (this “Agreement”), effective as of June 11, 2019, is made and entered into by and between Silver Spike Acquisition Corp., a Cayman Islands exempted company (the “Company”), and Silver Spike Sponsor, LLC, a Delaware limited liability company (the “Buyer”).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Buyer wishes to subscribe for an aggregate of 7,187,500 Class B ordinary shares (the “Shares”), par value $0.0001 per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Company wishes to issue the Shares to the Buyer, on the terms and subject to the conditions set forth in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0"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representations, warranties and the mutual covenants contained in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other good and valuable consideration, the receipt, sufficiency and adequacy of which are hereby acknowledged, the parties hereto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terms defined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for all purposes of this Agreement the respective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“Buyer”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B ordinary shares”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“Closing”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“Closing Date”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“Consent” means any consent, approval, notification, waiver, or other similar action that is necessary or convenient.</w:t>
      </w:r>
    </w:p>
    <w:p>
      <w:pPr>
        <w:spacing w:after="0" w:line="225"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“Governmental Body” shall mean any legislature, agency, bureau, branch, department, division, commission, court, tribunal or other similar recognized organization or body of any federal, state, county, municipal, local or foreign government or other similar recognized organization or body exercising similar powers or authority.</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“Law” shall mean any law (statutory, common or otherwise), constitution, ordinance, rule, regulation, executive order or other similar authority enacted, adopted, promulgated or applied by any Governmental Body.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“Lien” shall mean a mortgage, deed of trust, pledge, hypothecation, assignment, encumbrance, charge, restriction, lien (statutory or otherwise, including, without limitation, any lien for taxes), security interest, preference, participation interest, priority or security agreement or preferential arrangement of any kind or nature whatsoever, including, without limitation, any conditional sale or other title retention agreement, any financing lease having substantially the same economic effect as any of the foregoing and the filing of any document under the law of any applicable jurisdiction to evidence any of the foregoing, other than (i) statutory, mechanics’ or other Liens incurred in the Company’s ordinary course of business or (ii) Liens for taxes incurred but not yet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7" w:name="page218"/>
    <w:bookmarkEnd w:id="217"/>
    <w:p>
      <w:pPr>
        <w:ind w:right="760" w:firstLine="648"/>
        <w:spacing w:after="0" w:line="277" w:lineRule="auto"/>
        <w:rPr>
          <w:sz w:val="20"/>
          <w:szCs w:val="20"/>
          <w:color w:val="auto"/>
        </w:rPr>
      </w:pPr>
      <w:r>
        <w:rPr>
          <w:rFonts w:ascii="Arial" w:cs="Arial" w:eastAsia="Arial" w:hAnsi="Arial"/>
          <w:sz w:val="18"/>
          <w:szCs w:val="18"/>
          <w:color w:val="auto"/>
        </w:rPr>
        <w:t>“Order” shall mean an order, ruling, decision, award, judgment, injunction or other similar determination or finding by, before or under the supervision of any Governmental Body or arbitrator.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shall mean a permit, license, certificate, waiver, notice or similar authorization.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“Purchase Price”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“Securities Act” shall mean the United States Securities Act of 1933, as amended, or any successor federal statute, and the applicable rules and regulations promulgated and in effect from time to time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shall have the meaning set forth in the recitals to this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THE SHARES</w:t>
      </w:r>
    </w:p>
    <w:p>
      <w:pPr>
        <w:spacing w:after="0" w:line="207" w:lineRule="exact"/>
        <w:rPr>
          <w:sz w:val="20"/>
          <w:szCs w:val="20"/>
          <w:color w:val="auto"/>
        </w:rPr>
      </w:pPr>
    </w:p>
    <w:p>
      <w:pPr>
        <w:jc w:val="both"/>
        <w:ind w:right="320" w:firstLine="648"/>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color w:val="auto"/>
        </w:rPr>
        <w:t>Purchase and Sale of the Shares</w:t>
      </w:r>
      <w:r>
        <w:rPr>
          <w:rFonts w:ascii="Arial" w:cs="Arial" w:eastAsia="Arial" w:hAnsi="Arial"/>
          <w:sz w:val="17"/>
          <w:szCs w:val="17"/>
          <w:color w:val="auto"/>
        </w:rPr>
        <w:t>. Subject to the terms and conditions hereof and in reliance upon the representations and warranties of the parties contained or incorporated by reference herein, simultaneous with the execution hereof, the Company shall issue to the Buyer, and the Buyer shall subscribe for the Shares, in consideration of the payment of the Purchase Price noted herein.</w:t>
      </w:r>
    </w:p>
    <w:p>
      <w:pPr>
        <w:spacing w:after="0" w:line="158"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Purchase Price</w:t>
      </w:r>
      <w:r>
        <w:rPr>
          <w:rFonts w:ascii="Arial" w:cs="Arial" w:eastAsia="Arial" w:hAnsi="Arial"/>
          <w:sz w:val="18"/>
          <w:szCs w:val="18"/>
          <w:color w:val="auto"/>
        </w:rPr>
        <w:t>. As payment in full for the Shares being purchased under this Agreement and against issue of such Shares, simultaneous with the execution hereof, the Buyer shall pay $ 25,000 on behalf of and at the direction of the Company by wire transfer of immediately available funds or by such other method as may be reasonably acceptable to the Company (the “Purchase Price”).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color w:val="auto"/>
        </w:rPr>
        <w:t>Closing</w:t>
      </w:r>
      <w:r>
        <w:rPr>
          <w:rFonts w:ascii="Arial" w:cs="Arial" w:eastAsia="Arial" w:hAnsi="Arial"/>
          <w:sz w:val="18"/>
          <w:szCs w:val="18"/>
          <w:color w:val="auto"/>
        </w:rPr>
        <w:t>. The closing of the purchase and sale of the Shares (the “Closing”) shall be held on the date of this Agreement (“Closing Date”) at the offices of Davis Polk &amp; Wardwell LLP, 450 Lexington Avenue, New York, New York 10017, or such other place as may be agreed upon by the parties 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Closing Deliveries</w:t>
      </w:r>
      <w:r>
        <w:rPr>
          <w:rFonts w:ascii="Arial" w:cs="Arial" w:eastAsia="Arial" w:hAnsi="Arial"/>
          <w:sz w:val="18"/>
          <w:szCs w:val="18"/>
          <w:color w:val="auto"/>
        </w:rPr>
        <w:t>. All actions taken at the Closing shall be deemed to have been taken simultaneously.</w:t>
      </w:r>
    </w:p>
    <w:p>
      <w:pPr>
        <w:spacing w:after="0" w:line="229" w:lineRule="exact"/>
        <w:rPr>
          <w:sz w:val="20"/>
          <w:szCs w:val="20"/>
          <w:color w:val="auto"/>
        </w:rPr>
      </w:pPr>
    </w:p>
    <w:p>
      <w:pPr>
        <w:ind w:left="900" w:hanging="244"/>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Buyer Deliveries</w:t>
      </w:r>
      <w:r>
        <w:rPr>
          <w:rFonts w:ascii="Arial" w:cs="Arial" w:eastAsia="Arial" w:hAnsi="Arial"/>
          <w:sz w:val="18"/>
          <w:szCs w:val="18"/>
          <w:color w:val="auto"/>
        </w:rPr>
        <w:t>. At the Closing the Buyer shall deliver to the Company the Purchase Price.</w:t>
      </w:r>
    </w:p>
    <w:p>
      <w:pPr>
        <w:spacing w:after="0" w:line="225" w:lineRule="exact"/>
        <w:rPr>
          <w:rFonts w:ascii="Arial" w:cs="Arial" w:eastAsia="Arial" w:hAnsi="Arial"/>
          <w:sz w:val="18"/>
          <w:szCs w:val="18"/>
          <w:color w:val="auto"/>
        </w:rPr>
      </w:pPr>
    </w:p>
    <w:p>
      <w:pPr>
        <w:ind w:right="160" w:firstLine="656"/>
        <w:spacing w:after="0" w:line="277" w:lineRule="auto"/>
        <w:tabs>
          <w:tab w:leader="none" w:pos="94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Company Deliveries</w:t>
      </w:r>
      <w:r>
        <w:rPr>
          <w:rFonts w:ascii="Arial" w:cs="Arial" w:eastAsia="Arial" w:hAnsi="Arial"/>
          <w:sz w:val="18"/>
          <w:szCs w:val="18"/>
          <w:color w:val="auto"/>
        </w:rPr>
        <w:t>. At the Closing, or within a reasonable time after the Closing, the Company shall issue to the Buyer the Shares and make the necessary entries in the Register of Members of the Company.</w:t>
      </w:r>
    </w:p>
    <w:p>
      <w:pPr>
        <w:spacing w:after="0" w:line="166"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b w:val="1"/>
          <w:bCs w:val="1"/>
          <w:color w:val="auto"/>
        </w:rPr>
        <w:t>Further Assurances</w:t>
      </w:r>
      <w:r>
        <w:rPr>
          <w:rFonts w:ascii="Arial" w:cs="Arial" w:eastAsia="Arial" w:hAnsi="Arial"/>
          <w:sz w:val="16"/>
          <w:szCs w:val="16"/>
          <w:color w:val="auto"/>
        </w:rPr>
        <w:t>. The parties hereto shall execute and deliver such additional documents and take such additional actions as any party reasonably may deem to be practical and necessary in order to consummate the transactions contemplated by this Agreement.</w:t>
      </w:r>
    </w:p>
    <w:p>
      <w:pPr>
        <w:spacing w:after="0" w:line="11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Legend</w:t>
      </w:r>
      <w:r>
        <w:rPr>
          <w:rFonts w:ascii="Arial" w:cs="Arial" w:eastAsia="Arial" w:hAnsi="Arial"/>
          <w:sz w:val="18"/>
          <w:szCs w:val="18"/>
          <w:color w:val="auto"/>
        </w:rPr>
        <w:t>. Any certificate evidencing the Shares and any certificate issued in exchange for or upon the transfer of any Shares shall be stamped or otherwise imprinted with a legend in substantially the following form:</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OR OTHER JURISDICTION, AND MAY NOT BE TRANSFERRED IN VIOLATION OF SUCH ACT AND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8" w:name="page219"/>
    <w:bookmarkEnd w:id="218"/>
    <w:p>
      <w:pPr>
        <w:ind w:right="460"/>
        <w:spacing w:after="0" w:line="264" w:lineRule="auto"/>
        <w:rPr>
          <w:sz w:val="20"/>
          <w:szCs w:val="20"/>
          <w:color w:val="auto"/>
        </w:rPr>
      </w:pPr>
      <w:r>
        <w:rPr>
          <w:rFonts w:ascii="Arial" w:cs="Arial" w:eastAsia="Arial" w:hAnsi="Arial"/>
          <w:sz w:val="18"/>
          <w:szCs w:val="18"/>
          <w:color w:val="auto"/>
        </w:rPr>
        <w:t>“THE SECURITIES REPRESENTED BY THIS CERTIFICATE ARE SUBJECT TO ADDITIONAL RESTRICTIONS ON TRANSFER SET FORTH IN THE LETTER AGREEMENT BY AND BETWEEN THE COMPANY AND THE SPONSOR. COPIES OF SUCH AGREEMENT MAY BE OBTAINED FROM THE COMPANY AT THE COMPANY’S PRINCIPAL PLACE OF BUSINESS WITHOUT CHARGE.”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11" w:lineRule="exact"/>
        <w:rPr>
          <w:sz w:val="20"/>
          <w:szCs w:val="20"/>
          <w:color w:val="auto"/>
        </w:rPr>
      </w:pPr>
    </w:p>
    <w:p>
      <w:pPr>
        <w:ind w:right="1260" w:firstLine="648"/>
        <w:spacing w:after="0" w:line="277" w:lineRule="auto"/>
        <w:rPr>
          <w:sz w:val="20"/>
          <w:szCs w:val="20"/>
          <w:color w:val="auto"/>
        </w:rPr>
      </w:pPr>
      <w:r>
        <w:rPr>
          <w:rFonts w:ascii="Arial" w:cs="Arial" w:eastAsia="Arial" w:hAnsi="Arial"/>
          <w:sz w:val="18"/>
          <w:szCs w:val="18"/>
          <w:color w:val="auto"/>
        </w:rPr>
        <w:t xml:space="preserve">The Buyer represents and warrants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correct and complete as of the date of this Agreement.</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color w:val="auto"/>
        </w:rPr>
        <w:t>Organization and Good Standing</w:t>
      </w:r>
      <w:r>
        <w:rPr>
          <w:rFonts w:ascii="Arial" w:cs="Arial" w:eastAsia="Arial" w:hAnsi="Arial"/>
          <w:sz w:val="18"/>
          <w:szCs w:val="18"/>
          <w:color w:val="auto"/>
        </w:rPr>
        <w:t>. The Buyer is a limited liability company duly organized, validly existing, and in good standing under the laws of the state of Delaware.</w:t>
      </w:r>
    </w:p>
    <w:p>
      <w:pPr>
        <w:spacing w:after="0" w:line="16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Power and Authority; Enforceability</w:t>
      </w:r>
      <w:r>
        <w:rPr>
          <w:rFonts w:ascii="Arial" w:cs="Arial" w:eastAsia="Arial" w:hAnsi="Arial"/>
          <w:sz w:val="18"/>
          <w:szCs w:val="18"/>
          <w:color w:val="auto"/>
        </w:rPr>
        <w:t>. This Agreement constitutes the legal, valid, and binding obligation of the Buyer, enforceable against the Buyer in accordance with its terms. The Buyer has full entity power and authority to execute and deliver this Agreement and to perform its obligations hereunder. The Buyer has taken all actions necessary to authorize the execution and delivery of this Agreement, the performance of its obligations hereunder and the consummation of the transactions contemplated hereby. This Agreement has been duly authorized, executed and delivered by, and is enforceable against, the Buyer.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color w:val="auto"/>
        </w:rPr>
        <w:t>Investment Representations.</w:t>
      </w:r>
    </w:p>
    <w:p>
      <w:pPr>
        <w:spacing w:after="0" w:line="229" w:lineRule="exact"/>
        <w:rPr>
          <w:sz w:val="20"/>
          <w:szCs w:val="20"/>
          <w:color w:val="auto"/>
        </w:rPr>
      </w:pPr>
    </w:p>
    <w:p>
      <w:pPr>
        <w:ind w:left="900" w:hanging="244"/>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Buyer is an “accredited investor” as defined in Rule 501 of Regulation D under the Securities Act.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Buyer has received, has thoroughly read, is familiar with and understands the contents of this Agreement.</w:t>
      </w:r>
    </w:p>
    <w:p>
      <w:pPr>
        <w:spacing w:after="0" w:line="225" w:lineRule="exact"/>
        <w:rPr>
          <w:rFonts w:ascii="Arial" w:cs="Arial" w:eastAsia="Arial" w:hAnsi="Arial"/>
          <w:sz w:val="18"/>
          <w:szCs w:val="18"/>
          <w:color w:val="auto"/>
        </w:rPr>
      </w:pPr>
    </w:p>
    <w:p>
      <w:pPr>
        <w:ind w:firstLine="656"/>
        <w:spacing w:after="0" w:line="254" w:lineRule="auto"/>
        <w:tabs>
          <w:tab w:leader="none" w:pos="9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Buyer hereby acknowledges that an investment in the Shares involves certain significant risks. The Buyer acknowledges that there is a substantial risk that it will lose all or a portion of its investment and that it is financially capable of bearing the risk of such investment for an indefinite period of time. The Buyer has no need for liquidity in its investment in the Shares for the foreseeable future and is able to bear the risk of that investment for an indefinite period. The Buyer understands that there presently is no public market for the Shares and none is anticipated to develop in the foreseeable future. The Buyer’s present financial condition is such that the Buyer is under no present or contemplated future need to dispose of any portion of the Shares subscribed for hereby to satisfy any existing or contemplated undertaking, need or indebtedness. The Buyer’s overall commitment to investments which are not readily marketable is not disproportionate to its net worth and the investment in the Company will not cause such overall commitment to become excessive.</w:t>
      </w:r>
    </w:p>
    <w:p>
      <w:pPr>
        <w:spacing w:after="0" w:line="192" w:lineRule="exact"/>
        <w:rPr>
          <w:rFonts w:ascii="Arial" w:cs="Arial" w:eastAsia="Arial" w:hAnsi="Arial"/>
          <w:sz w:val="18"/>
          <w:szCs w:val="18"/>
          <w:color w:val="auto"/>
        </w:rPr>
      </w:pPr>
    </w:p>
    <w:p>
      <w:pPr>
        <w:ind w:right="140" w:firstLine="655"/>
        <w:spacing w:after="0" w:line="293" w:lineRule="auto"/>
        <w:tabs>
          <w:tab w:leader="none" w:pos="9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Buyer acknowledges that the Shares have not been and will not be registered under the Securities Act, or any state securities act, and are being sold on the basis of exemptions from registration under the Securities Act and applicable state securities acts, except those state securities acts that require registration of the Shares thereunder. Reliance on such exemptions, where applicable, is predicated in part on the accuracy of the Buyer’s representations and warranties set forth herein. The Buyer acknowledges and hereby agrees that the Shares will not be transferable under any circumstances unless the Buyer either registers the Shares in accordance with federal and state securities laws or finds and complies with an available exemption under such laws. Accordingly, the Buyer hereby acknowledges that there can be no assurance that it will be able to liquidate its investment in the Company.</w:t>
      </w:r>
    </w:p>
    <w:p>
      <w:pPr>
        <w:spacing w:after="0" w:line="164" w:lineRule="exact"/>
        <w:rPr>
          <w:rFonts w:ascii="Arial" w:cs="Arial" w:eastAsia="Arial" w:hAnsi="Arial"/>
          <w:sz w:val="16"/>
          <w:szCs w:val="16"/>
          <w:color w:val="auto"/>
        </w:rPr>
      </w:pPr>
    </w:p>
    <w:p>
      <w:pPr>
        <w:ind w:right="80" w:firstLine="655"/>
        <w:spacing w:after="0" w:line="264" w:lineRule="auto"/>
        <w:tabs>
          <w:tab w:leader="none" w:pos="9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are substantial risk factors pertaining to an investment in the Company. The Buyer acknowledges that it has read the information set forth above regarding certain of such risks and is familiar with the nature and scope of all such risks, including, without limitation, risks arising from the fact that the Company is an entity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19" w:name="page220"/>
    <w:bookmarkEnd w:id="219"/>
    <w:p>
      <w:pPr>
        <w:ind w:right="420"/>
        <w:spacing w:after="0" w:line="277" w:lineRule="auto"/>
        <w:rPr>
          <w:sz w:val="20"/>
          <w:szCs w:val="20"/>
          <w:color w:val="auto"/>
        </w:rPr>
      </w:pPr>
      <w:r>
        <w:rPr>
          <w:rFonts w:ascii="Arial" w:cs="Arial" w:eastAsia="Arial" w:hAnsi="Arial"/>
          <w:sz w:val="18"/>
          <w:szCs w:val="18"/>
          <w:color w:val="auto"/>
        </w:rPr>
        <w:t>limited operating history and financial resources; and the Buyer is fully able to bear the economic risks of such investment for an indefinite period, and can afford a complete loss thereof.</w:t>
      </w:r>
    </w:p>
    <w:p>
      <w:pPr>
        <w:spacing w:after="0" w:line="170" w:lineRule="exact"/>
        <w:rPr>
          <w:sz w:val="20"/>
          <w:szCs w:val="20"/>
          <w:color w:val="auto"/>
        </w:rPr>
      </w:pPr>
    </w:p>
    <w:p>
      <w:pPr>
        <w:ind w:right="40" w:firstLine="656"/>
        <w:spacing w:after="0" w:line="272" w:lineRule="auto"/>
        <w:tabs>
          <w:tab w:leader="none" w:pos="91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Buyer has been given the opportunity to (i) ask questions of and receive answers from the Company and its designated representatives concerning the terms and conditions of the offering, the Company and the business and financial condition of the Company and (ii) obtain any additional information that the Company possesses or can acquire without unreasonable effort or expense that is necessary to assist the Buyer in evaluating the advisability of the purchase of the Shares and an investment in the Company. The Buyer further represents and warrants that, prior to signing this Agreement, it has asked such questions, received such answers and obtained such information as it has deemed necessary or advisable to evaluate the merits and risks of the purchase of the Shares and an investment in the Company. The Buyer is not relying on any oral representation made by any person as to the Company or its operations, financial condition or prospects.</w:t>
      </w:r>
    </w:p>
    <w:p>
      <w:pPr>
        <w:spacing w:after="0" w:line="177" w:lineRule="exact"/>
        <w:rPr>
          <w:rFonts w:ascii="Arial" w:cs="Arial" w:eastAsia="Arial" w:hAnsi="Arial"/>
          <w:sz w:val="17"/>
          <w:szCs w:val="17"/>
          <w:color w:val="auto"/>
        </w:rPr>
      </w:pPr>
    </w:p>
    <w:p>
      <w:pPr>
        <w:ind w:right="940" w:firstLine="656"/>
        <w:spacing w:after="0" w:line="277" w:lineRule="auto"/>
        <w:tabs>
          <w:tab w:leader="none" w:pos="102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Buyer understands that no federal, state or other governmental authority has made any recommendation, findings or determination relating to the merits of an investment in the Company.</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Incorporation and Good Standing</w:t>
      </w:r>
      <w:r>
        <w:rPr>
          <w:rFonts w:ascii="Arial" w:cs="Arial" w:eastAsia="Arial" w:hAnsi="Arial"/>
          <w:sz w:val="18"/>
          <w:szCs w:val="18"/>
          <w:color w:val="auto"/>
        </w:rPr>
        <w:t>. The Company is an exempted company duly incorporated, validly existing, and in good standing under the laws of the Cayman Islands.</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Power and Authority; Enforceability</w:t>
      </w:r>
      <w:r>
        <w:rPr>
          <w:rFonts w:ascii="Arial" w:cs="Arial" w:eastAsia="Arial" w:hAnsi="Arial"/>
          <w:sz w:val="18"/>
          <w:szCs w:val="18"/>
          <w:color w:val="auto"/>
        </w:rPr>
        <w:t>. This Agreement constitutes the legal, valid, and binding obligation of the Company, enforceable against the Company in accordance with its terms. The Company has full power and authority to execute and deliver this Agreement and to perform its obligations hereunder. The Company has taken all actions necessary to authorize the execution and delivery of this Agreement, the performance of its obligations hereunder, and the consummation of the transactions contemplated hereby. This Agreement has been duly authorized, executed, and delivered by, and is enforceable against, the Company.</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b w:val="1"/>
          <w:bCs w:val="1"/>
          <w:color w:val="auto"/>
        </w:rPr>
        <w:t>No Violation; Necessary Approvals</w:t>
      </w:r>
      <w:r>
        <w:rPr>
          <w:rFonts w:ascii="Arial" w:cs="Arial" w:eastAsia="Arial" w:hAnsi="Arial"/>
          <w:sz w:val="16"/>
          <w:szCs w:val="16"/>
          <w:color w:val="auto"/>
        </w:rPr>
        <w:t>. Neither the execution and delivery of this Agreement by the Company, nor the consummation or performance by the Company of any of the transactions contemplated hereby, will: (a) with or without notice or lapse of time, constitute, create or result in a breach or violation of, default under, loss of benefit or right under or acceleration of performance of any obligation required under any Law, Order, contract or Permit to which the Company is a party or by which it is bound or any of its assets are subject, or any provision of the Company’s organizational documents as in effect on the Closing Date, (b) result in the imposition of any lien, claim or encumbrance upon any assets owned by the Company; (c) require any Consent under any contract or organizational document to which the Company is a party or by which it is bound; or (d) require any Permit under any Law or Order other than (i) required filings, if any, with the SEC and (ii) notifications or other filings with state or federal regulatory agencies after the Closing that are necessary or convenient and do not require approval of the agency as a condition to the validity of the transactions contemplated hereunder; or (e) trigger any rights of first refusal, preferential purchase or similar rights with respect to any of the Shares.</w:t>
      </w:r>
    </w:p>
    <w:p>
      <w:pPr>
        <w:spacing w:after="0" w:line="160"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b w:val="1"/>
          <w:bCs w:val="1"/>
          <w:color w:val="auto"/>
        </w:rPr>
        <w:t>Authorization of the Shares</w:t>
      </w:r>
      <w:r>
        <w:rPr>
          <w:rFonts w:ascii="Arial" w:cs="Arial" w:eastAsia="Arial" w:hAnsi="Arial"/>
          <w:sz w:val="18"/>
          <w:szCs w:val="18"/>
          <w:color w:val="auto"/>
        </w:rPr>
        <w:t>. The Shares have been duly authorized and, when issued in accordance with this Agreement, the Shares will be duly and validly issued, fully paid and non-assessable Class B ordinary shares of the Company and will be free and clear of all Liens and claims, other than restrictions on transfer imposed by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5" w:right="359" w:bottom="1440" w:gutter="0" w:footer="0" w:header="0"/>
        </w:sectPr>
      </w:pPr>
    </w:p>
    <w:bookmarkStart w:id="220" w:name="page221"/>
    <w:bookmarkEnd w:id="220"/>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together with any certificates, documents, instruments and writings that are delivered pursuant hereto,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Successors</w:t>
      </w:r>
      <w:r>
        <w:rPr>
          <w:rFonts w:ascii="Arial" w:cs="Arial" w:eastAsia="Arial" w:hAnsi="Arial"/>
          <w:sz w:val="18"/>
          <w:szCs w:val="18"/>
          <w:color w:val="auto"/>
        </w:rPr>
        <w:t>. All of the terms, agreements, covenants, representations, warranties, and conditions of this Agreement are binding upon, and inure to the benefit of and are enforceable by, the parties hereto and their respective successors.</w:t>
      </w:r>
    </w:p>
    <w:p>
      <w:pPr>
        <w:spacing w:after="0" w:line="16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Assignments</w:t>
      </w:r>
      <w:r>
        <w:rPr>
          <w:rFonts w:ascii="Arial" w:cs="Arial" w:eastAsia="Arial" w:hAnsi="Arial"/>
          <w:sz w:val="18"/>
          <w:szCs w:val="18"/>
          <w:color w:val="auto"/>
        </w:rPr>
        <w:t xml:space="preserve">. Except as otherwise provided herein, no party hereto may assign either this Agreement or any of its rights, interests, or obligations hereunder without the prior written approval of the other party. Any purported assignment in violation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be void and ineffectual and shall not operate to transfer or assign any interest or title to the purported assignee.</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b w:val="1"/>
          <w:bCs w:val="1"/>
          <w:color w:val="auto"/>
        </w:rPr>
        <w:t>Waiver of Jury Trial</w:t>
      </w:r>
      <w:r>
        <w:rPr>
          <w:rFonts w:ascii="Arial" w:cs="Arial" w:eastAsia="Arial" w:hAnsi="Arial"/>
          <w:sz w:val="17"/>
          <w:szCs w:val="17"/>
          <w:color w:val="auto"/>
        </w:rPr>
        <w:t>. THE PARTIES HERETO EACH HEREBY AGREE TO WAIVE THEIR RESPECTIVE RIGHTS TO JURY TRIAL OF ANY DISPUTE BASED UPON OR ARISING OUT OF THIS AGREEMENT OR ANY OTHER AGREEMENTS RELATING HERETO OR ANY DEALINGS AMONG THEM RELATING TO THE TRANSACTIONS. THE SCOPE OF THIS WAIVER IS INTENDED TO BE ALL ENCOMPASSING OF ANY AND ALL ACTIONS THAT MAY BE FILED IN ANY COURT AND THAT RELATE TO THE SUBJECT MATTER OF THE TRANSACTIONS, INCLUDING, CONTRACT CLAIMS, TORT CLAIMS, BREACH OF DUTY CLAIMS, AND ALL OTHER COMMON LAW AND STATUTORY CLAIMS. THE PARTIES HERETO EACH ACKNOWLEDGE THAT THIS WAIVER IS A MATERIAL INDUCEMENT TO ENTER INTO A BUSINESS RELATIONSHIP AND THAT THEY WILL CONTINUE TO RELY ON THE WAIVER IN THEIR RELATED FUTURE DEALINGS. EACH PARTY HERETO FURTHER REPRESENTS AND WARRANTS THAT IT HAS REVIEWED THIS WAIVER WITH ITS LEGAL COUNSEL, AND THAT EACH KNOWINGLY AND VOLUNTARILY WAIVES ITS JURY TRIAL RIGHTS FOLLOWING CONSULTATION WITH LEGAL COUNSEL. NOTWITHSTANDING ANYTHING TO THE CONTRARY HEREIN, THIS WAIVER IS IRREVOCABLE, MEANING THAT IT MAY NOT BE MODIFIED ORALLY OR IN WRITING, AND THE WAIVER WILL APPLY TO ANY AMENDMENTS, RENEWALS, SUPPLEMENTS OR MODIFICATIONS TO THIS AGREEMENT OR TO ANY OTHER DOCUMENTS OR AGREEMENTS RELATING HERETO. IN THE EVENT OF AN ACTION, THIS AGREEMENT MAY BE FILED AS A WRITTEN CONSENT TO TRIAL BY A COURT.</w:t>
      </w:r>
    </w:p>
    <w:p>
      <w:pPr>
        <w:spacing w:after="0" w:line="177"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b w:val="1"/>
          <w:bCs w:val="1"/>
          <w:color w:val="auto"/>
        </w:rPr>
        <w:t>Headings</w:t>
      </w:r>
      <w:r>
        <w:rPr>
          <w:rFonts w:ascii="Arial" w:cs="Arial" w:eastAsia="Arial" w:hAnsi="Arial"/>
          <w:sz w:val="18"/>
          <w:szCs w:val="18"/>
          <w:color w:val="auto"/>
        </w:rPr>
        <w:t>. The article and section headings contained in this Agreement are inserted for convenience only and will not affect in any way the meaning or interpretation of this Agreement.</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the entire relationship of the parties hereto, and any litigation between the parties (whether grounded in contract, tort, statute, law or equity) shall be governed by, construed in accordance with, and interpreted pursuant to the laws of the State of Delaware, without giving effect to its choice of laws principles.</w:t>
      </w:r>
    </w:p>
    <w:p>
      <w:pPr>
        <w:spacing w:after="0" w:line="176"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color w:val="auto"/>
        </w:rPr>
        <w:t>Amendments</w:t>
      </w:r>
      <w:r>
        <w:rPr>
          <w:rFonts w:ascii="Arial" w:cs="Arial" w:eastAsia="Arial" w:hAnsi="Arial"/>
          <w:sz w:val="18"/>
          <w:szCs w:val="18"/>
          <w:color w:val="auto"/>
        </w:rPr>
        <w:t>. This Agreement may not be amended, modified or waived as to any particular provision, except by a written instrument executed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221" w:name="page222"/>
    <w:bookmarkEnd w:id="221"/>
    <w:p>
      <w:pPr>
        <w:jc w:val="both"/>
        <w:ind w:right="180" w:firstLine="648"/>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will be deemed severable and the invalidity or unenforceability of any provision will not affect the validity or enforceability of the other provisions hereof; provided that if any provision of this Agreement, as applied to any party hereto or to any circumstance, is adjudged by a Governmental Body, arbitrator, or mediator not to be enforceable in accordance with its terms, the parties hereto agree that the Governmental Body,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8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b w:val="1"/>
          <w:bCs w:val="1"/>
          <w:color w:val="auto"/>
        </w:rPr>
        <w:t>Expenses</w:t>
      </w:r>
      <w:r>
        <w:rPr>
          <w:rFonts w:ascii="Arial" w:cs="Arial" w:eastAsia="Arial" w:hAnsi="Arial"/>
          <w:sz w:val="18"/>
          <w:szCs w:val="18"/>
          <w:color w:val="auto"/>
        </w:rPr>
        <w:t>. Except as otherwise expressly provided in this Agreement, each party hereto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w:t>
      </w:r>
    </w:p>
    <w:p>
      <w:pPr>
        <w:spacing w:after="0" w:line="17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b w:val="1"/>
          <w:bCs w:val="1"/>
          <w:color w:val="auto"/>
        </w:rPr>
        <w:t>Construction</w:t>
      </w:r>
      <w:r>
        <w:rPr>
          <w:rFonts w:ascii="Arial" w:cs="Arial" w:eastAsia="Arial" w:hAnsi="Arial"/>
          <w:sz w:val="16"/>
          <w:szCs w:val="16"/>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xml:space="preserve"> and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4"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color w:val="auto"/>
        </w:rPr>
        <w:t>Waiver</w:t>
      </w:r>
      <w:r>
        <w:rPr>
          <w:rFonts w:ascii="Arial" w:cs="Arial" w:eastAsia="Arial" w:hAnsi="Arial"/>
          <w:sz w:val="18"/>
          <w:szCs w:val="18"/>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executed this Agreement to be effective as of the date first set forth above.</w:t>
      </w:r>
    </w:p>
    <w:p>
      <w:pPr>
        <w:spacing w:after="0" w:line="200" w:lineRule="exact"/>
        <w:rPr>
          <w:sz w:val="20"/>
          <w:szCs w:val="20"/>
          <w:color w:val="auto"/>
        </w:rPr>
      </w:pPr>
    </w:p>
    <w:p>
      <w:pPr>
        <w:spacing w:after="0" w:line="26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3"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Name:</w:t>
        <w:tab/>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31127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SILVER SPIKE SPONSOR, LLC</w:t>
      </w:r>
    </w:p>
    <w:p>
      <w:pPr>
        <w:spacing w:after="0" w:line="229"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3"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Name:</w:t>
        <w:tab/>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31127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516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640715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10"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inclusion in this Registration Statement of Silver Spike Acquisition Corp. on Form S-1 of our report dated June 20, 2019, which includes an explanatory paragraph as to Silver Spike Acquisition Corp.’s ability to continue as a going concern, with respect to our audit of the financial statements of Silver Spike Acquisition Corp. as of June 11, 2019 and for the period from June 7, 2019 (inception) through June 11, 2019, which report appears in the Prospectus, which is part of this Registration Statement. We also consent to the reference to our Firm under the heading “Experts” in such Prospectus.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19, 2019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amp;"/>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1)"/>
      <w:numFmt w:val="decimal"/>
      <w:start w:val="2"/>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1)"/>
      <w:numFmt w:val="decimal"/>
      <w:start w:val="2"/>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lowerRoman"/>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1)"/>
      <w:numFmt w:val="decimal"/>
      <w:start w:val="3"/>
    </w:lvl>
  </w:abstractNum>
  <w:abstractNum w:abstractNumId="28">
    <w:nsid w:val="A0382C5"/>
    <w:multiLevelType w:val="hybridMultilevel"/>
    <w:lvl w:ilvl="0">
      <w:lvlJc w:val="left"/>
      <w:lvlText w:val="(%1)"/>
      <w:numFmt w:val="decimal"/>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1)"/>
      <w:numFmt w:val="lowerLetter"/>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1)"/>
      <w:numFmt w:val="decimal"/>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lowerLetter"/>
      <w:start w:val="1"/>
    </w:lvl>
  </w:abstractNum>
  <w:abstractNum w:abstractNumId="71">
    <w:nsid w:val="6FC75AF8"/>
    <w:multiLevelType w:val="hybridMultilevel"/>
    <w:lvl w:ilvl="0">
      <w:lvlJc w:val="left"/>
      <w:lvlText w:val="(%1)"/>
      <w:numFmt w:val="lowerLetter"/>
      <w:start w:val="1"/>
    </w:lvl>
  </w:abstractNum>
  <w:abstractNum w:abstractNumId="72">
    <w:nsid w:val="6A5F7029"/>
    <w:multiLevelType w:val="hybridMultilevel"/>
    <w:lvl w:ilvl="0">
      <w:lvlJc w:val="left"/>
      <w:lvlText w:val="(%1)"/>
      <w:numFmt w:val="upperLetter"/>
      <w:start w:val="2"/>
    </w:lvl>
  </w:abstractNum>
  <w:abstractNum w:abstractNumId="73">
    <w:nsid w:val="7D5E18F8"/>
    <w:multiLevelType w:val="hybridMultilevel"/>
    <w:lvl w:ilvl="0">
      <w:lvlJc w:val="left"/>
      <w:lvlText w:val="(%1)"/>
      <w:numFmt w:val="lowerLetter"/>
      <w:start w:val="2"/>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1)"/>
      <w:numFmt w:val="lowerLetter"/>
      <w:start w:val="2"/>
    </w:lvl>
  </w:abstractNum>
  <w:abstractNum w:abstractNumId="83">
    <w:nsid w:val="5329993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4">
    <w:nsid w:val="1FBFE8E0"/>
    <w:multiLevelType w:val="hybridMultilevel"/>
    <w:lvl w:ilvl="0">
      <w:lvlJc w:val="left"/>
      <w:lvlText w:val="1"/>
      <w:numFmt w:val="bullet"/>
      <w:start w:val="1"/>
    </w:lvl>
  </w:abstractNum>
  <w:abstractNum w:abstractNumId="85">
    <w:nsid w:val="5092CA79"/>
    <w:multiLevelType w:val="hybridMultilevel"/>
    <w:lvl w:ilvl="0">
      <w:lvlJc w:val="left"/>
      <w:lvlText w:val="2"/>
      <w:numFmt w:val="bullet"/>
      <w:start w:val="1"/>
    </w:lvl>
  </w:abstractNum>
  <w:abstractNum w:abstractNumId="86">
    <w:nsid w:val="1D545C4D"/>
    <w:multiLevelType w:val="hybridMultilevel"/>
    <w:lvl w:ilvl="0">
      <w:lvlJc w:val="left"/>
      <w:lvlText w:val="3"/>
      <w:numFmt w:val="bullet"/>
      <w:start w:val="1"/>
    </w:lvl>
  </w:abstractNum>
  <w:abstractNum w:abstractNumId="87">
    <w:nsid w:val="59ADEA3D"/>
    <w:multiLevelType w:val="hybridMultilevel"/>
    <w:lvl w:ilvl="0">
      <w:lvlJc w:val="left"/>
      <w:lvlText w:val="4"/>
      <w:numFmt w:val="bullet"/>
      <w:start w:val="1"/>
    </w:lvl>
  </w:abstractNum>
  <w:abstractNum w:abstractNumId="88">
    <w:nsid w:val="288F1A34"/>
    <w:multiLevelType w:val="hybridMultilevel"/>
    <w:lvl w:ilvl="0">
      <w:lvlJc w:val="left"/>
      <w:lvlText w:val="5"/>
      <w:numFmt w:val="bullet"/>
      <w:start w:val="1"/>
    </w:lvl>
  </w:abstractNum>
  <w:abstractNum w:abstractNumId="89">
    <w:nsid w:val="2A155DBC"/>
    <w:multiLevelType w:val="hybridMultilevel"/>
    <w:lvl w:ilvl="0">
      <w:lvlJc w:val="left"/>
      <w:lvlText w:val="6"/>
      <w:numFmt w:val="bullet"/>
      <w:start w:val="1"/>
    </w:lvl>
  </w:abstractNum>
  <w:abstractNum w:abstractNumId="90">
    <w:nsid w:val="1D9F6E5F"/>
    <w:multiLevelType w:val="hybridMultilevel"/>
    <w:lvl w:ilvl="0">
      <w:lvlJc w:val="left"/>
      <w:lvlText w:val="7"/>
      <w:numFmt w:val="bullet"/>
      <w:start w:val="1"/>
    </w:lvl>
  </w:abstractNum>
  <w:abstractNum w:abstractNumId="91">
    <w:nsid w:val="97E1B4E"/>
    <w:multiLevelType w:val="hybridMultilevel"/>
    <w:lvl w:ilvl="0">
      <w:lvlJc w:val="left"/>
      <w:lvlText w:val="1"/>
      <w:numFmt w:val="bullet"/>
      <w:start w:val="1"/>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12"/>
    </w:lvl>
  </w:abstractNum>
  <w:abstractNum w:abstractNumId="94">
    <w:nsid w:val="53584BCB"/>
    <w:multiLevelType w:val="hybridMultilevel"/>
    <w:lvl w:ilvl="0">
      <w:lvlJc w:val="left"/>
      <w:lvlText w:val="2"/>
      <w:numFmt w:val="bullet"/>
      <w:start w:val="1"/>
    </w:lvl>
  </w:abstractNum>
  <w:abstractNum w:abstractNumId="95">
    <w:nsid w:val="415E286C"/>
    <w:multiLevelType w:val="hybridMultilevel"/>
    <w:lvl w:ilvl="0">
      <w:lvlJc w:val="left"/>
      <w:lvlText w:val="3"/>
      <w:numFmt w:val="bullet"/>
      <w:start w:val="1"/>
    </w:lvl>
  </w:abstractNum>
  <w:abstractNum w:abstractNumId="96">
    <w:nsid w:val="7C58FD05"/>
    <w:multiLevelType w:val="hybridMultilevel"/>
    <w:lvl w:ilvl="0">
      <w:lvlJc w:val="left"/>
      <w:lvlText w:val="(%1)"/>
      <w:numFmt w:val="lowerLetter"/>
      <w:start w:val="1"/>
    </w:lvl>
  </w:abstractNum>
  <w:abstractNum w:abstractNumId="97">
    <w:nsid w:val="23D86AAC"/>
    <w:multiLevelType w:val="hybridMultilevel"/>
    <w:lvl w:ilvl="0">
      <w:lvlJc w:val="left"/>
      <w:lvlText w:val="4"/>
      <w:numFmt w:val="bullet"/>
      <w:start w:val="1"/>
    </w:lvl>
  </w:abstractNum>
  <w:abstractNum w:abstractNumId="98">
    <w:nsid w:val="45E6D486"/>
    <w:multiLevelType w:val="hybridMultilevel"/>
    <w:lvl w:ilvl="0">
      <w:lvlJc w:val="left"/>
      <w:lvlText w:val="5"/>
      <w:numFmt w:val="bullet"/>
      <w:start w:val="1"/>
    </w:lvl>
  </w:abstractNum>
  <w:abstractNum w:abstractNumId="99">
    <w:nsid w:val="5C10FE21"/>
    <w:multiLevelType w:val="hybridMultilevel"/>
    <w:lvl w:ilvl="0">
      <w:lvlJc w:val="left"/>
      <w:lvlText w:val="6"/>
      <w:numFmt w:val="bullet"/>
      <w:start w:val="1"/>
    </w:lvl>
  </w:abstractNum>
  <w:abstractNum w:abstractNumId="100">
    <w:nsid w:val="E7FFA2B"/>
    <w:multiLevelType w:val="hybridMultilevel"/>
    <w:lvl w:ilvl="0">
      <w:lvlJc w:val="left"/>
      <w:lvlText w:val="7"/>
      <w:numFmt w:val="bullet"/>
      <w:start w:val="1"/>
    </w:lvl>
  </w:abstractNum>
  <w:abstractNum w:abstractNumId="101">
    <w:nsid w:val="3C5991AA"/>
    <w:multiLevelType w:val="hybridMultilevel"/>
    <w:lvl w:ilvl="0">
      <w:lvlJc w:val="left"/>
      <w:lvlText w:val="8"/>
      <w:numFmt w:val="bullet"/>
      <w:start w:val="1"/>
    </w:lvl>
  </w:abstractNum>
  <w:abstractNum w:abstractNumId="102">
    <w:nsid w:val="4BD8591A"/>
    <w:multiLevelType w:val="hybridMultilevel"/>
    <w:lvl w:ilvl="0">
      <w:lvlJc w:val="left"/>
      <w:lvlText w:val="9"/>
      <w:numFmt w:val="bullet"/>
      <w:start w:val="1"/>
    </w:lvl>
  </w:abstractNum>
  <w:abstractNum w:abstractNumId="103">
    <w:nsid w:val="78DF6A55"/>
    <w:multiLevelType w:val="hybridMultilevel"/>
    <w:lvl w:ilvl="0">
      <w:lvlJc w:val="left"/>
      <w:lvlText w:val="%1"/>
      <w:numFmt w:val="decimal"/>
      <w:start w:val="11"/>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lowerLetter"/>
      <w:start w:val="3"/>
    </w:lvl>
  </w:abstractNum>
  <w:abstractNum w:abstractNumId="107">
    <w:nsid w:val="379E21B5"/>
    <w:multiLevelType w:val="hybridMultilevel"/>
    <w:lvl w:ilvl="0">
      <w:lvlJc w:val="left"/>
      <w:lvlText w:val="%1"/>
      <w:numFmt w:val="decimal"/>
      <w:start w:val="19"/>
    </w:lvl>
  </w:abstractNum>
  <w:abstractNum w:abstractNumId="108">
    <w:nsid w:val="69E373"/>
    <w:multiLevelType w:val="hybridMultilevel"/>
    <w:lvl w:ilvl="0">
      <w:lvlJc w:val="left"/>
      <w:lvlText w:val="(%1)"/>
      <w:numFmt w:val="lowerLetter"/>
      <w:start w:val="1"/>
    </w:lvl>
  </w:abstractNum>
  <w:abstractNum w:abstractNumId="109">
    <w:nsid w:val="2C27173B"/>
    <w:multiLevelType w:val="hybridMultilevel"/>
    <w:lvl w:ilvl="0">
      <w:lvlJc w:val="left"/>
      <w:lvlText w:val="%1"/>
      <w:numFmt w:val="decimal"/>
      <w:start w:val="25"/>
    </w:lvl>
  </w:abstractNum>
  <w:abstractNum w:abstractNumId="110">
    <w:nsid w:val="4C9B0904"/>
    <w:multiLevelType w:val="hybridMultilevel"/>
    <w:lvl w:ilvl="0">
      <w:lvlJc w:val="left"/>
      <w:lvlText w:val="%1"/>
      <w:numFmt w:val="decimal"/>
      <w:start w:val="26"/>
    </w:lvl>
  </w:abstractNum>
  <w:abstractNum w:abstractNumId="111">
    <w:nsid w:val="6AA7B75C"/>
    <w:multiLevelType w:val="hybridMultilevel"/>
    <w:lvl w:ilvl="0">
      <w:lvlJc w:val="left"/>
      <w:lvlText w:val="%1"/>
      <w:numFmt w:val="decimal"/>
      <w:start w:val="30"/>
    </w:lvl>
    <w:lvl w:ilvl="1">
      <w:lvlJc w:val="left"/>
      <w:lvlText w:val="(%2)"/>
      <w:numFmt w:val="lowerLetter"/>
      <w:start w:val="1"/>
    </w:lvl>
  </w:abstractNum>
  <w:abstractNum w:abstractNumId="112">
    <w:nsid w:val="1DF029D3"/>
    <w:multiLevelType w:val="hybridMultilevel"/>
    <w:lvl w:ilvl="0">
      <w:lvlJc w:val="left"/>
      <w:lvlText w:val="%1"/>
      <w:numFmt w:val="decimal"/>
      <w:start w:val="32"/>
    </w:lvl>
  </w:abstractNum>
  <w:abstractNum w:abstractNumId="113">
    <w:nsid w:val="5675FF36"/>
    <w:multiLevelType w:val="hybridMultilevel"/>
    <w:lvl w:ilvl="0">
      <w:lvlJc w:val="left"/>
      <w:lvlText w:val="%1"/>
      <w:numFmt w:val="decimal"/>
      <w:start w:val="34"/>
    </w:lvl>
  </w:abstractNum>
  <w:abstractNum w:abstractNumId="114">
    <w:nsid w:val="3DD15094"/>
    <w:multiLevelType w:val="hybridMultilevel"/>
    <w:lvl w:ilvl="0">
      <w:lvlJc w:val="left"/>
      <w:lvlText w:val="%1"/>
      <w:numFmt w:val="decimal"/>
      <w:start w:val="37"/>
    </w:lvl>
  </w:abstractNum>
  <w:abstractNum w:abstractNumId="115">
    <w:nsid w:val="3DB012B3"/>
    <w:multiLevelType w:val="hybridMultilevel"/>
    <w:lvl w:ilvl="0">
      <w:lvlJc w:val="left"/>
      <w:lvlText w:val="%1"/>
      <w:numFmt w:val="decimal"/>
      <w:start w:val="41"/>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decimal"/>
      <w:start w:val="47"/>
    </w:lvl>
  </w:abstractNum>
  <w:abstractNum w:abstractNumId="118">
    <w:nsid w:val="175DFCF0"/>
    <w:multiLevelType w:val="hybridMultilevel"/>
    <w:lvl w:ilvl="0">
      <w:lvlJc w:val="left"/>
      <w:lvlText w:val="%1."/>
      <w:numFmt w:val="decimal"/>
      <w:start w:val="1"/>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decimal"/>
      <w:start w:val="5"/>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1."/>
      <w:numFmt w:val="decimal"/>
      <w:start w:val="6"/>
    </w:lvl>
  </w:abstractNum>
  <w:abstractNum w:abstractNumId="123">
    <w:nsid w:val="56438D15"/>
    <w:multiLevelType w:val="hybridMultilevel"/>
    <w:lvl w:ilvl="0">
      <w:lvlJc w:val="left"/>
      <w:lvlText w:val="%1."/>
      <w:numFmt w:val="decimal"/>
      <w:start w:val="11"/>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2019-11-30T22:13:04Z</dcterms:created>
  <dcterms:modified xsi:type="dcterms:W3CDTF">2019-11-30T22:13:04Z</dcterms:modified>
</cp:coreProperties>
</file>